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5C48" w14:textId="77777777" w:rsidR="00A305E2" w:rsidRDefault="00114B68" w:rsidP="00AD0DE7">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MYKOLO ROMERIO UNIVERSITETAS</w:t>
      </w:r>
    </w:p>
    <w:p w14:paraId="78D734DB" w14:textId="77777777" w:rsidR="00114B68" w:rsidRDefault="00114B68" w:rsidP="00AD0D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EKONOMIKOS IR FINANSŲ VALDYMO FAKULTETAS</w:t>
      </w:r>
    </w:p>
    <w:p w14:paraId="7313BBAD" w14:textId="77777777" w:rsidR="00114B68" w:rsidRDefault="00114B68" w:rsidP="00AD0D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FINANSŲ IR MOKESČIŲ KATEDRA</w:t>
      </w:r>
    </w:p>
    <w:p w14:paraId="5713E172" w14:textId="77777777" w:rsidR="00114B68" w:rsidRPr="00114B68" w:rsidRDefault="00114B68" w:rsidP="00AD0DE7">
      <w:pPr>
        <w:spacing w:after="0" w:line="360" w:lineRule="auto"/>
        <w:jc w:val="center"/>
        <w:rPr>
          <w:rFonts w:ascii="Times New Roman" w:hAnsi="Times New Roman" w:cs="Times New Roman"/>
          <w:b/>
        </w:rPr>
      </w:pPr>
    </w:p>
    <w:p w14:paraId="30BCA729" w14:textId="77777777" w:rsidR="00114B68" w:rsidRPr="00114B68" w:rsidRDefault="00114B68" w:rsidP="00AD0DE7">
      <w:pPr>
        <w:spacing w:after="0" w:line="360" w:lineRule="auto"/>
        <w:jc w:val="center"/>
        <w:rPr>
          <w:rFonts w:ascii="Times New Roman" w:hAnsi="Times New Roman" w:cs="Times New Roman"/>
          <w:b/>
        </w:rPr>
      </w:pPr>
    </w:p>
    <w:p w14:paraId="50659414" w14:textId="77777777" w:rsidR="00114B68" w:rsidRPr="00114B68" w:rsidRDefault="00114B68" w:rsidP="00AD0DE7">
      <w:pPr>
        <w:spacing w:after="0" w:line="360" w:lineRule="auto"/>
        <w:jc w:val="center"/>
        <w:rPr>
          <w:rFonts w:ascii="Times New Roman" w:hAnsi="Times New Roman" w:cs="Times New Roman"/>
          <w:b/>
        </w:rPr>
      </w:pPr>
    </w:p>
    <w:p w14:paraId="63EEA858" w14:textId="77777777" w:rsidR="00114B68" w:rsidRPr="00114B68" w:rsidRDefault="00114B68" w:rsidP="00AD0DE7">
      <w:pPr>
        <w:spacing w:after="0" w:line="360" w:lineRule="auto"/>
        <w:jc w:val="center"/>
        <w:rPr>
          <w:rFonts w:ascii="Times New Roman" w:hAnsi="Times New Roman" w:cs="Times New Roman"/>
          <w:b/>
        </w:rPr>
      </w:pPr>
    </w:p>
    <w:p w14:paraId="55BD1315" w14:textId="77777777" w:rsidR="00114B68" w:rsidRPr="00114B68" w:rsidRDefault="00114B68" w:rsidP="00AD0DE7">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EIMANTAS VERENIUS</w:t>
      </w:r>
    </w:p>
    <w:p w14:paraId="5191E1AC" w14:textId="77777777" w:rsidR="00114B68" w:rsidRDefault="00114B68" w:rsidP="00AD0DE7">
      <w:pPr>
        <w:spacing w:after="0" w:line="360" w:lineRule="auto"/>
        <w:jc w:val="center"/>
        <w:rPr>
          <w:rFonts w:ascii="Times New Roman" w:hAnsi="Times New Roman" w:cs="Times New Roman"/>
          <w:b/>
          <w:sz w:val="32"/>
          <w:szCs w:val="32"/>
        </w:rPr>
      </w:pPr>
    </w:p>
    <w:p w14:paraId="648B638A" w14:textId="77777777" w:rsidR="00B062DE" w:rsidRDefault="00B062DE" w:rsidP="00AD0DE7">
      <w:pPr>
        <w:spacing w:after="0" w:line="360" w:lineRule="auto"/>
        <w:jc w:val="center"/>
        <w:rPr>
          <w:rFonts w:ascii="Times New Roman" w:hAnsi="Times New Roman" w:cs="Times New Roman"/>
          <w:b/>
          <w:sz w:val="32"/>
          <w:szCs w:val="32"/>
        </w:rPr>
      </w:pPr>
    </w:p>
    <w:p w14:paraId="5276A017" w14:textId="77777777" w:rsidR="00B062DE" w:rsidRDefault="00B062DE" w:rsidP="00AD0DE7">
      <w:pPr>
        <w:spacing w:after="0" w:line="360" w:lineRule="auto"/>
        <w:jc w:val="center"/>
        <w:rPr>
          <w:rFonts w:ascii="Times New Roman" w:hAnsi="Times New Roman" w:cs="Times New Roman"/>
          <w:b/>
          <w:sz w:val="40"/>
          <w:szCs w:val="40"/>
        </w:rPr>
      </w:pPr>
      <w:r w:rsidRPr="00B062DE">
        <w:rPr>
          <w:rFonts w:ascii="Times New Roman" w:hAnsi="Times New Roman" w:cs="Times New Roman"/>
          <w:b/>
          <w:sz w:val="40"/>
          <w:szCs w:val="40"/>
        </w:rPr>
        <w:t xml:space="preserve">BIRŽOJE </w:t>
      </w:r>
      <w:r>
        <w:rPr>
          <w:rFonts w:ascii="Times New Roman" w:hAnsi="Times New Roman" w:cs="Times New Roman"/>
          <w:b/>
          <w:sz w:val="40"/>
          <w:szCs w:val="40"/>
        </w:rPr>
        <w:t>KOTIRUOJAMŲ LIETUVOS ĮMONIŲ LIKVIDUMO DINAMIKA IR PERSPEKTYVOS</w:t>
      </w:r>
    </w:p>
    <w:p w14:paraId="2BE86EF8" w14:textId="77777777" w:rsidR="00114B68" w:rsidRDefault="00476A31" w:rsidP="00AD0D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Magistro baigiamasis darbas</w:t>
      </w:r>
    </w:p>
    <w:p w14:paraId="0EF5E70E" w14:textId="77777777" w:rsidR="00476A31" w:rsidRDefault="00476A31" w:rsidP="00476A31">
      <w:pPr>
        <w:spacing w:after="0" w:line="360" w:lineRule="auto"/>
        <w:rPr>
          <w:rFonts w:ascii="Times New Roman" w:hAnsi="Times New Roman" w:cs="Times New Roman"/>
          <w:b/>
        </w:rPr>
      </w:pPr>
    </w:p>
    <w:p w14:paraId="0AADB817" w14:textId="77777777" w:rsidR="00476A31" w:rsidRDefault="00476A31" w:rsidP="00476A31">
      <w:pPr>
        <w:spacing w:after="0" w:line="360" w:lineRule="auto"/>
        <w:rPr>
          <w:rFonts w:ascii="Times New Roman" w:hAnsi="Times New Roman" w:cs="Times New Roman"/>
          <w:b/>
        </w:rPr>
      </w:pPr>
    </w:p>
    <w:p w14:paraId="457C0014" w14:textId="77777777" w:rsidR="00476A31" w:rsidRPr="00476A31" w:rsidRDefault="00476A31" w:rsidP="00476A31">
      <w:pPr>
        <w:spacing w:after="0" w:line="360" w:lineRule="auto"/>
        <w:rPr>
          <w:rFonts w:ascii="Times New Roman" w:hAnsi="Times New Roman" w:cs="Times New Roman"/>
          <w:b/>
        </w:rPr>
      </w:pPr>
    </w:p>
    <w:p w14:paraId="411BE22C" w14:textId="77777777" w:rsidR="00114B68" w:rsidRDefault="00114B68" w:rsidP="00AD0DE7">
      <w:pPr>
        <w:spacing w:after="0" w:line="360" w:lineRule="auto"/>
        <w:jc w:val="center"/>
        <w:rPr>
          <w:rFonts w:ascii="Times New Roman" w:hAnsi="Times New Roman" w:cs="Times New Roman"/>
          <w:b/>
          <w:sz w:val="28"/>
          <w:szCs w:val="28"/>
        </w:rPr>
      </w:pPr>
    </w:p>
    <w:p w14:paraId="65C082D4" w14:textId="77777777" w:rsidR="00476A31" w:rsidRDefault="00476A31" w:rsidP="00476A31">
      <w:pPr>
        <w:spacing w:after="0" w:line="360" w:lineRule="auto"/>
        <w:ind w:firstLine="6237"/>
        <w:rPr>
          <w:rFonts w:ascii="Times New Roman" w:hAnsi="Times New Roman" w:cs="Times New Roman"/>
          <w:b/>
          <w:sz w:val="28"/>
          <w:szCs w:val="28"/>
        </w:rPr>
      </w:pPr>
      <w:r>
        <w:rPr>
          <w:rFonts w:ascii="Times New Roman" w:hAnsi="Times New Roman" w:cs="Times New Roman"/>
          <w:b/>
          <w:sz w:val="28"/>
          <w:szCs w:val="28"/>
        </w:rPr>
        <w:t>Vadovas:</w:t>
      </w:r>
    </w:p>
    <w:p w14:paraId="2567FED8" w14:textId="77777777" w:rsidR="00476A31" w:rsidRDefault="00476A31" w:rsidP="00476A31">
      <w:pPr>
        <w:spacing w:after="0" w:line="360" w:lineRule="auto"/>
        <w:ind w:firstLine="6237"/>
        <w:rPr>
          <w:rFonts w:ascii="Times New Roman" w:hAnsi="Times New Roman" w:cs="Times New Roman"/>
          <w:b/>
          <w:sz w:val="28"/>
          <w:szCs w:val="28"/>
        </w:rPr>
      </w:pPr>
      <w:r>
        <w:rPr>
          <w:rFonts w:ascii="Times New Roman" w:hAnsi="Times New Roman" w:cs="Times New Roman"/>
          <w:b/>
          <w:sz w:val="28"/>
          <w:szCs w:val="28"/>
        </w:rPr>
        <w:t>Doc. dr. Mindaugas Strumskis</w:t>
      </w:r>
    </w:p>
    <w:p w14:paraId="21A879AA" w14:textId="77777777" w:rsidR="00114B68" w:rsidRDefault="00114B68" w:rsidP="00AD0DE7">
      <w:pPr>
        <w:spacing w:after="0" w:line="360" w:lineRule="auto"/>
        <w:jc w:val="center"/>
        <w:rPr>
          <w:rFonts w:ascii="Times New Roman" w:hAnsi="Times New Roman" w:cs="Times New Roman"/>
          <w:b/>
          <w:sz w:val="28"/>
          <w:szCs w:val="28"/>
        </w:rPr>
      </w:pPr>
    </w:p>
    <w:p w14:paraId="57503663" w14:textId="77777777" w:rsidR="00114B68" w:rsidRDefault="00114B68" w:rsidP="00AD0DE7">
      <w:pPr>
        <w:spacing w:after="0" w:line="360" w:lineRule="auto"/>
        <w:jc w:val="center"/>
        <w:rPr>
          <w:rFonts w:ascii="Times New Roman" w:hAnsi="Times New Roman" w:cs="Times New Roman"/>
          <w:b/>
          <w:sz w:val="28"/>
          <w:szCs w:val="28"/>
        </w:rPr>
      </w:pPr>
    </w:p>
    <w:p w14:paraId="3B4366AE" w14:textId="77777777" w:rsidR="00114B68" w:rsidRDefault="00114B68" w:rsidP="00AD0DE7">
      <w:pPr>
        <w:spacing w:after="0" w:line="360" w:lineRule="auto"/>
        <w:jc w:val="center"/>
        <w:rPr>
          <w:rFonts w:ascii="Times New Roman" w:hAnsi="Times New Roman" w:cs="Times New Roman"/>
          <w:b/>
          <w:sz w:val="28"/>
          <w:szCs w:val="28"/>
        </w:rPr>
      </w:pPr>
    </w:p>
    <w:p w14:paraId="23C6FE93" w14:textId="77777777" w:rsidR="00114B68" w:rsidRDefault="00114B68" w:rsidP="00AD0DE7">
      <w:pPr>
        <w:spacing w:after="0" w:line="360" w:lineRule="auto"/>
        <w:jc w:val="center"/>
        <w:rPr>
          <w:rFonts w:ascii="Times New Roman" w:hAnsi="Times New Roman" w:cs="Times New Roman"/>
          <w:b/>
          <w:sz w:val="28"/>
          <w:szCs w:val="28"/>
        </w:rPr>
      </w:pPr>
    </w:p>
    <w:p w14:paraId="24210D51" w14:textId="77777777" w:rsidR="00114B68" w:rsidRDefault="00114B68" w:rsidP="00AD0DE7">
      <w:pPr>
        <w:spacing w:after="0" w:line="360" w:lineRule="auto"/>
        <w:jc w:val="center"/>
        <w:rPr>
          <w:rFonts w:ascii="Times New Roman" w:hAnsi="Times New Roman" w:cs="Times New Roman"/>
          <w:b/>
          <w:sz w:val="28"/>
          <w:szCs w:val="28"/>
        </w:rPr>
      </w:pPr>
    </w:p>
    <w:p w14:paraId="2308B3F2" w14:textId="77777777" w:rsidR="00114B68" w:rsidRDefault="00114B68" w:rsidP="00AD0DE7">
      <w:pPr>
        <w:spacing w:after="0" w:line="360" w:lineRule="auto"/>
        <w:jc w:val="center"/>
        <w:rPr>
          <w:rFonts w:ascii="Times New Roman" w:hAnsi="Times New Roman" w:cs="Times New Roman"/>
          <w:b/>
          <w:sz w:val="28"/>
          <w:szCs w:val="28"/>
        </w:rPr>
      </w:pPr>
    </w:p>
    <w:p w14:paraId="1FEC0463" w14:textId="77777777" w:rsidR="00114B68" w:rsidRDefault="00114B68" w:rsidP="00AD0DE7">
      <w:pPr>
        <w:spacing w:after="0" w:line="360" w:lineRule="auto"/>
        <w:jc w:val="center"/>
        <w:rPr>
          <w:rFonts w:ascii="Times New Roman" w:hAnsi="Times New Roman" w:cs="Times New Roman"/>
          <w:b/>
          <w:sz w:val="28"/>
          <w:szCs w:val="28"/>
        </w:rPr>
      </w:pPr>
    </w:p>
    <w:p w14:paraId="3C7109A8" w14:textId="77777777" w:rsidR="00114B68" w:rsidRDefault="00114B68" w:rsidP="00AD0DE7">
      <w:pPr>
        <w:spacing w:after="0" w:line="360" w:lineRule="auto"/>
        <w:jc w:val="center"/>
        <w:rPr>
          <w:rFonts w:ascii="Times New Roman" w:hAnsi="Times New Roman" w:cs="Times New Roman"/>
          <w:b/>
          <w:sz w:val="28"/>
          <w:szCs w:val="28"/>
        </w:rPr>
      </w:pPr>
    </w:p>
    <w:p w14:paraId="578C34A4" w14:textId="77777777" w:rsidR="00114B68" w:rsidRDefault="00114B68" w:rsidP="00AD0DE7">
      <w:pPr>
        <w:spacing w:after="0" w:line="360" w:lineRule="auto"/>
        <w:jc w:val="center"/>
        <w:rPr>
          <w:rFonts w:ascii="Times New Roman" w:hAnsi="Times New Roman" w:cs="Times New Roman"/>
          <w:b/>
          <w:sz w:val="28"/>
          <w:szCs w:val="28"/>
        </w:rPr>
      </w:pPr>
    </w:p>
    <w:p w14:paraId="38CC63C6" w14:textId="77777777" w:rsidR="00114B68" w:rsidRDefault="00476A31" w:rsidP="00AD0D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VILNIUS, 2013</w:t>
      </w:r>
    </w:p>
    <w:p w14:paraId="141C87DC" w14:textId="77777777" w:rsidR="00114B68" w:rsidRDefault="00114B68" w:rsidP="004E677E">
      <w:pPr>
        <w:spacing w:after="0" w:line="360" w:lineRule="auto"/>
        <w:rPr>
          <w:rFonts w:ascii="Times New Roman" w:hAnsi="Times New Roman" w:cs="Times New Roman"/>
          <w:b/>
          <w:sz w:val="28"/>
          <w:szCs w:val="28"/>
        </w:rPr>
      </w:pPr>
    </w:p>
    <w:p w14:paraId="2594D01A" w14:textId="77777777" w:rsidR="00476A31" w:rsidRDefault="00476A31" w:rsidP="00AD0DE7">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MYKOLO ROMERIO UNIVERSITETAS</w:t>
      </w:r>
    </w:p>
    <w:p w14:paraId="59002C5E" w14:textId="77777777" w:rsidR="00476A31" w:rsidRDefault="00476A31" w:rsidP="00AD0D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EKONOMIKOS IR FINANSŲ VALDYMO FAKULTETAS</w:t>
      </w:r>
    </w:p>
    <w:p w14:paraId="76B2F174" w14:textId="77777777" w:rsidR="00476A31" w:rsidRDefault="00476A31" w:rsidP="00AD0D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FINANSŲ IR MOKESČIŲ KATEDRA</w:t>
      </w:r>
    </w:p>
    <w:p w14:paraId="49E5F124" w14:textId="77777777" w:rsidR="00476A31" w:rsidRDefault="00476A31" w:rsidP="00AD0DE7">
      <w:pPr>
        <w:spacing w:after="0" w:line="360" w:lineRule="auto"/>
        <w:jc w:val="center"/>
        <w:rPr>
          <w:rFonts w:ascii="Times New Roman" w:hAnsi="Times New Roman" w:cs="Times New Roman"/>
          <w:b/>
          <w:sz w:val="24"/>
          <w:szCs w:val="24"/>
        </w:rPr>
      </w:pPr>
    </w:p>
    <w:p w14:paraId="1560D19D" w14:textId="77777777" w:rsidR="00476A31" w:rsidRDefault="00476A31" w:rsidP="00AD0DE7">
      <w:pPr>
        <w:spacing w:after="0" w:line="360" w:lineRule="auto"/>
        <w:jc w:val="center"/>
        <w:rPr>
          <w:rFonts w:ascii="Times New Roman" w:hAnsi="Times New Roman" w:cs="Times New Roman"/>
          <w:b/>
          <w:sz w:val="24"/>
          <w:szCs w:val="24"/>
        </w:rPr>
      </w:pPr>
    </w:p>
    <w:p w14:paraId="3E563E37" w14:textId="77777777" w:rsidR="00476A31" w:rsidRDefault="00476A31" w:rsidP="00AD0DE7">
      <w:pPr>
        <w:spacing w:after="0" w:line="360" w:lineRule="auto"/>
        <w:jc w:val="center"/>
        <w:rPr>
          <w:rFonts w:ascii="Times New Roman" w:hAnsi="Times New Roman" w:cs="Times New Roman"/>
          <w:b/>
          <w:sz w:val="24"/>
          <w:szCs w:val="24"/>
        </w:rPr>
      </w:pPr>
    </w:p>
    <w:p w14:paraId="0D9D9714" w14:textId="77777777" w:rsidR="00476A31" w:rsidRDefault="00476A31" w:rsidP="00AD0DE7">
      <w:pPr>
        <w:spacing w:after="0" w:line="360" w:lineRule="auto"/>
        <w:jc w:val="center"/>
        <w:rPr>
          <w:rFonts w:ascii="Times New Roman" w:hAnsi="Times New Roman" w:cs="Times New Roman"/>
          <w:b/>
          <w:sz w:val="24"/>
          <w:szCs w:val="24"/>
        </w:rPr>
      </w:pPr>
    </w:p>
    <w:p w14:paraId="71B99E99" w14:textId="77777777" w:rsidR="00476A31" w:rsidRDefault="00AD3263" w:rsidP="00AD0DE7">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BIRŽOJE KOTIRUOJAMŲ LIETUVOS ĮMONIŲ LIKVIDUMO DINAMIKA IR PERSPEKTYVOS</w:t>
      </w:r>
    </w:p>
    <w:p w14:paraId="79064698" w14:textId="77777777" w:rsidR="00AD3263" w:rsidRDefault="00AD3263" w:rsidP="00AD0D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Finansų valdymo magistro baigiamasis darbas</w:t>
      </w:r>
    </w:p>
    <w:p w14:paraId="00CF2E88" w14:textId="77777777" w:rsidR="00AD3263" w:rsidRDefault="00AD3263" w:rsidP="00AD0D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Studijų programa 621N30005</w:t>
      </w:r>
    </w:p>
    <w:p w14:paraId="2738CDE2" w14:textId="77777777" w:rsidR="00AD3263" w:rsidRDefault="00AD3263" w:rsidP="00AD0DE7">
      <w:pPr>
        <w:spacing w:after="0" w:line="360" w:lineRule="auto"/>
        <w:jc w:val="center"/>
        <w:rPr>
          <w:rFonts w:ascii="Times New Roman" w:hAnsi="Times New Roman" w:cs="Times New Roman"/>
          <w:b/>
          <w:sz w:val="28"/>
          <w:szCs w:val="28"/>
        </w:rPr>
      </w:pPr>
    </w:p>
    <w:p w14:paraId="493F0C9A" w14:textId="77777777" w:rsidR="00AD3263" w:rsidRDefault="00AD3263" w:rsidP="00AD0DE7">
      <w:pPr>
        <w:spacing w:after="0" w:line="360" w:lineRule="auto"/>
        <w:jc w:val="center"/>
        <w:rPr>
          <w:rFonts w:ascii="Times New Roman" w:hAnsi="Times New Roman" w:cs="Times New Roman"/>
          <w:b/>
          <w:sz w:val="28"/>
          <w:szCs w:val="28"/>
        </w:rPr>
      </w:pPr>
    </w:p>
    <w:p w14:paraId="12D34973" w14:textId="77777777" w:rsidR="00AD3263" w:rsidRDefault="00AD3263" w:rsidP="004E677E">
      <w:pPr>
        <w:spacing w:after="0" w:line="360" w:lineRule="auto"/>
        <w:ind w:firstLine="5245"/>
        <w:rPr>
          <w:rFonts w:ascii="Times New Roman" w:hAnsi="Times New Roman" w:cs="Times New Roman"/>
          <w:b/>
          <w:sz w:val="24"/>
          <w:szCs w:val="24"/>
        </w:rPr>
      </w:pPr>
      <w:r>
        <w:rPr>
          <w:rFonts w:ascii="Times New Roman" w:hAnsi="Times New Roman" w:cs="Times New Roman"/>
          <w:b/>
          <w:sz w:val="24"/>
          <w:szCs w:val="24"/>
        </w:rPr>
        <w:t>Vadovas</w:t>
      </w:r>
    </w:p>
    <w:p w14:paraId="4EB5864F" w14:textId="77777777" w:rsidR="00AD3263" w:rsidRDefault="00AD3263" w:rsidP="004E677E">
      <w:pPr>
        <w:spacing w:after="0" w:line="360" w:lineRule="auto"/>
        <w:ind w:firstLine="5245"/>
        <w:rPr>
          <w:rFonts w:ascii="Times New Roman" w:hAnsi="Times New Roman" w:cs="Times New Roman"/>
          <w:b/>
          <w:sz w:val="24"/>
          <w:szCs w:val="24"/>
        </w:rPr>
      </w:pPr>
      <w:r>
        <w:rPr>
          <w:rFonts w:ascii="Times New Roman" w:hAnsi="Times New Roman" w:cs="Times New Roman"/>
          <w:b/>
          <w:sz w:val="24"/>
          <w:szCs w:val="24"/>
        </w:rPr>
        <w:tab/>
        <w:t>doc. dr. Mindaugas Strumskis</w:t>
      </w:r>
    </w:p>
    <w:p w14:paraId="24EE741F" w14:textId="77777777" w:rsidR="00AD3263" w:rsidRDefault="00AD3263" w:rsidP="004E677E">
      <w:pPr>
        <w:spacing w:after="0" w:line="360" w:lineRule="auto"/>
        <w:ind w:firstLine="5245"/>
        <w:rPr>
          <w:rFonts w:ascii="Times New Roman" w:hAnsi="Times New Roman" w:cs="Times New Roman"/>
          <w:b/>
          <w:sz w:val="24"/>
          <w:szCs w:val="24"/>
        </w:rPr>
      </w:pPr>
      <w:r>
        <w:rPr>
          <w:rFonts w:ascii="Times New Roman" w:hAnsi="Times New Roman" w:cs="Times New Roman"/>
          <w:b/>
          <w:sz w:val="24"/>
          <w:szCs w:val="24"/>
        </w:rPr>
        <w:t>2013 04 15</w:t>
      </w:r>
    </w:p>
    <w:p w14:paraId="6AE9808E" w14:textId="77777777" w:rsidR="00AD3263" w:rsidRDefault="00AD3263" w:rsidP="004E677E">
      <w:pPr>
        <w:spacing w:after="0" w:line="360" w:lineRule="auto"/>
        <w:ind w:firstLine="5245"/>
        <w:rPr>
          <w:rFonts w:ascii="Times New Roman" w:hAnsi="Times New Roman" w:cs="Times New Roman"/>
          <w:b/>
          <w:sz w:val="24"/>
          <w:szCs w:val="24"/>
        </w:rPr>
      </w:pPr>
    </w:p>
    <w:p w14:paraId="1AF5C9BD" w14:textId="77777777" w:rsidR="004E677E" w:rsidRDefault="004E677E" w:rsidP="004E677E">
      <w:pPr>
        <w:tabs>
          <w:tab w:val="left" w:pos="993"/>
        </w:tabs>
        <w:spacing w:after="0" w:line="360" w:lineRule="auto"/>
        <w:rPr>
          <w:rFonts w:ascii="Times New Roman" w:hAnsi="Times New Roman" w:cs="Times New Roman"/>
          <w:b/>
          <w:sz w:val="24"/>
          <w:szCs w:val="24"/>
        </w:rPr>
      </w:pPr>
    </w:p>
    <w:p w14:paraId="62491EC4" w14:textId="77777777" w:rsidR="00AD3263" w:rsidRDefault="004E677E" w:rsidP="004E677E">
      <w:pPr>
        <w:tabs>
          <w:tab w:val="left" w:pos="993"/>
        </w:tabs>
        <w:spacing w:after="0" w:line="360" w:lineRule="auto"/>
        <w:rPr>
          <w:rFonts w:ascii="Times New Roman" w:hAnsi="Times New Roman" w:cs="Times New Roman"/>
          <w:b/>
          <w:sz w:val="24"/>
          <w:szCs w:val="24"/>
        </w:rPr>
      </w:pPr>
      <w:r>
        <w:rPr>
          <w:rFonts w:ascii="Times New Roman" w:hAnsi="Times New Roman" w:cs="Times New Roman"/>
          <w:b/>
          <w:sz w:val="24"/>
          <w:szCs w:val="24"/>
        </w:rPr>
        <w:t>Recenzentas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D3263">
        <w:rPr>
          <w:rFonts w:ascii="Times New Roman" w:hAnsi="Times New Roman" w:cs="Times New Roman"/>
          <w:b/>
          <w:sz w:val="24"/>
          <w:szCs w:val="24"/>
        </w:rPr>
        <w:t xml:space="preserve">Atliko </w:t>
      </w:r>
    </w:p>
    <w:p w14:paraId="2A2E2D81" w14:textId="77777777" w:rsidR="004E677E" w:rsidRDefault="004E677E" w:rsidP="004E677E">
      <w:pPr>
        <w:spacing w:after="0" w:line="36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D3263">
        <w:rPr>
          <w:rFonts w:ascii="Times New Roman" w:hAnsi="Times New Roman" w:cs="Times New Roman"/>
          <w:b/>
          <w:sz w:val="24"/>
          <w:szCs w:val="24"/>
        </w:rPr>
        <w:t xml:space="preserve">Fvmis1-01 gr. stud. </w:t>
      </w:r>
    </w:p>
    <w:p w14:paraId="489481B5" w14:textId="77777777" w:rsidR="00AD3263" w:rsidRDefault="004E677E" w:rsidP="004E677E">
      <w:pPr>
        <w:spacing w:after="0" w:line="360" w:lineRule="auto"/>
        <w:rPr>
          <w:rFonts w:ascii="Times New Roman" w:hAnsi="Times New Roman" w:cs="Times New Roman"/>
          <w:b/>
          <w:sz w:val="24"/>
          <w:szCs w:val="24"/>
        </w:rPr>
      </w:pPr>
      <w:r>
        <w:rPr>
          <w:rFonts w:ascii="Times New Roman" w:hAnsi="Times New Roman" w:cs="Times New Roman"/>
          <w:b/>
          <w:sz w:val="24"/>
          <w:szCs w:val="24"/>
        </w:rPr>
        <w:t>2013 04 15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D3263">
        <w:rPr>
          <w:rFonts w:ascii="Times New Roman" w:hAnsi="Times New Roman" w:cs="Times New Roman"/>
          <w:b/>
          <w:sz w:val="24"/>
          <w:szCs w:val="24"/>
        </w:rPr>
        <w:t>E. Verenius</w:t>
      </w:r>
    </w:p>
    <w:p w14:paraId="0440E06A" w14:textId="77777777" w:rsidR="00AD3263" w:rsidRPr="00AD3263" w:rsidRDefault="00AD3263" w:rsidP="004E677E">
      <w:pPr>
        <w:spacing w:after="0" w:line="360" w:lineRule="auto"/>
        <w:ind w:firstLine="5245"/>
        <w:rPr>
          <w:rFonts w:ascii="Times New Roman" w:hAnsi="Times New Roman" w:cs="Times New Roman"/>
          <w:b/>
          <w:sz w:val="24"/>
          <w:szCs w:val="24"/>
        </w:rPr>
      </w:pPr>
      <w:r>
        <w:rPr>
          <w:rFonts w:ascii="Times New Roman" w:hAnsi="Times New Roman" w:cs="Times New Roman"/>
          <w:b/>
          <w:sz w:val="24"/>
          <w:szCs w:val="24"/>
        </w:rPr>
        <w:t>2013 04 15</w:t>
      </w:r>
    </w:p>
    <w:p w14:paraId="47EDE5F3" w14:textId="77777777" w:rsidR="00476A31" w:rsidRDefault="00476A31" w:rsidP="00AD0DE7">
      <w:pPr>
        <w:spacing w:after="0" w:line="360" w:lineRule="auto"/>
        <w:jc w:val="center"/>
        <w:rPr>
          <w:rFonts w:ascii="Times New Roman" w:hAnsi="Times New Roman" w:cs="Times New Roman"/>
          <w:b/>
          <w:sz w:val="28"/>
          <w:szCs w:val="28"/>
        </w:rPr>
      </w:pPr>
    </w:p>
    <w:p w14:paraId="0C9B71E6" w14:textId="77777777" w:rsidR="00476A31" w:rsidRDefault="00476A31" w:rsidP="00AD0DE7">
      <w:pPr>
        <w:spacing w:after="0" w:line="360" w:lineRule="auto"/>
        <w:jc w:val="center"/>
        <w:rPr>
          <w:rFonts w:ascii="Times New Roman" w:hAnsi="Times New Roman" w:cs="Times New Roman"/>
          <w:b/>
          <w:sz w:val="28"/>
          <w:szCs w:val="28"/>
        </w:rPr>
      </w:pPr>
    </w:p>
    <w:p w14:paraId="426D3722" w14:textId="77777777" w:rsidR="00476A31" w:rsidRDefault="00476A31" w:rsidP="00AD0DE7">
      <w:pPr>
        <w:spacing w:after="0" w:line="360" w:lineRule="auto"/>
        <w:jc w:val="center"/>
        <w:rPr>
          <w:rFonts w:ascii="Times New Roman" w:hAnsi="Times New Roman" w:cs="Times New Roman"/>
          <w:b/>
          <w:sz w:val="28"/>
          <w:szCs w:val="28"/>
        </w:rPr>
      </w:pPr>
    </w:p>
    <w:p w14:paraId="72E8DE21" w14:textId="77777777" w:rsidR="00476A31" w:rsidRDefault="00476A31" w:rsidP="00AD0DE7">
      <w:pPr>
        <w:spacing w:after="0" w:line="360" w:lineRule="auto"/>
        <w:jc w:val="center"/>
        <w:rPr>
          <w:rFonts w:ascii="Times New Roman" w:hAnsi="Times New Roman" w:cs="Times New Roman"/>
          <w:b/>
          <w:sz w:val="28"/>
          <w:szCs w:val="28"/>
        </w:rPr>
      </w:pPr>
    </w:p>
    <w:p w14:paraId="6A9E7C77" w14:textId="77777777" w:rsidR="00476A31" w:rsidRDefault="00476A31" w:rsidP="00AD0DE7">
      <w:pPr>
        <w:spacing w:after="0" w:line="360" w:lineRule="auto"/>
        <w:jc w:val="center"/>
        <w:rPr>
          <w:rFonts w:ascii="Times New Roman" w:hAnsi="Times New Roman" w:cs="Times New Roman"/>
          <w:b/>
          <w:sz w:val="28"/>
          <w:szCs w:val="28"/>
        </w:rPr>
      </w:pPr>
    </w:p>
    <w:p w14:paraId="5D19D166" w14:textId="77777777" w:rsidR="00476A31" w:rsidRDefault="00476A31" w:rsidP="00AD0DE7">
      <w:pPr>
        <w:spacing w:after="0" w:line="360" w:lineRule="auto"/>
        <w:jc w:val="center"/>
        <w:rPr>
          <w:rFonts w:ascii="Times New Roman" w:hAnsi="Times New Roman" w:cs="Times New Roman"/>
          <w:b/>
          <w:sz w:val="28"/>
          <w:szCs w:val="28"/>
        </w:rPr>
      </w:pPr>
    </w:p>
    <w:p w14:paraId="42830CAC" w14:textId="77777777" w:rsidR="00476A31" w:rsidRDefault="00476A31" w:rsidP="00AD0DE7">
      <w:pPr>
        <w:spacing w:after="0" w:line="360" w:lineRule="auto"/>
        <w:jc w:val="center"/>
        <w:rPr>
          <w:rFonts w:ascii="Times New Roman" w:hAnsi="Times New Roman" w:cs="Times New Roman"/>
          <w:b/>
          <w:sz w:val="28"/>
          <w:szCs w:val="28"/>
        </w:rPr>
      </w:pPr>
    </w:p>
    <w:p w14:paraId="3889FB6D" w14:textId="77777777" w:rsidR="00476A31" w:rsidRDefault="004E677E" w:rsidP="00AD0DE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VILNIUS, 2013</w:t>
      </w:r>
    </w:p>
    <w:p w14:paraId="207F4F61" w14:textId="77777777" w:rsidR="00476A31" w:rsidRDefault="00476A31" w:rsidP="00AD0DE7">
      <w:pPr>
        <w:spacing w:after="0" w:line="360" w:lineRule="auto"/>
        <w:jc w:val="center"/>
        <w:rPr>
          <w:rFonts w:ascii="Times New Roman" w:hAnsi="Times New Roman" w:cs="Times New Roman"/>
          <w:b/>
          <w:sz w:val="28"/>
          <w:szCs w:val="28"/>
        </w:rPr>
      </w:pPr>
    </w:p>
    <w:p w14:paraId="4F14FA5A" w14:textId="77777777" w:rsidR="00953524" w:rsidRDefault="00953524" w:rsidP="00953524">
      <w:pPr>
        <w:pStyle w:val="Heading1"/>
        <w:spacing w:before="0" w:line="360" w:lineRule="auto"/>
        <w:jc w:val="center"/>
        <w:rPr>
          <w:rStyle w:val="1antChar"/>
          <w:rFonts w:eastAsiaTheme="majorEastAsia"/>
          <w:b/>
          <w:color w:val="auto"/>
          <w:sz w:val="24"/>
          <w:szCs w:val="24"/>
        </w:rPr>
      </w:pPr>
      <w:bookmarkStart w:id="0" w:name="_Toc353730647"/>
      <w:bookmarkStart w:id="1" w:name="_Toc303339929"/>
      <w:bookmarkStart w:id="2" w:name="_Toc303339930"/>
      <w:bookmarkStart w:id="3" w:name="_Toc303340670"/>
      <w:bookmarkStart w:id="4" w:name="_Toc303340671"/>
      <w:bookmarkStart w:id="5" w:name="_Toc303341696"/>
      <w:bookmarkStart w:id="6" w:name="_Toc303341904"/>
      <w:bookmarkStart w:id="7" w:name="_Toc303341905"/>
      <w:bookmarkStart w:id="8" w:name="_Toc343460511"/>
      <w:r>
        <w:rPr>
          <w:rStyle w:val="1antChar"/>
          <w:rFonts w:eastAsiaTheme="majorEastAsia"/>
          <w:b/>
          <w:color w:val="auto"/>
        </w:rPr>
        <w:lastRenderedPageBreak/>
        <w:t>TURINYS</w:t>
      </w:r>
      <w:bookmarkEnd w:id="0"/>
    </w:p>
    <w:sdt>
      <w:sdtPr>
        <w:rPr>
          <w:rFonts w:asciiTheme="minorHAnsi" w:eastAsiaTheme="minorHAnsi" w:hAnsiTheme="minorHAnsi" w:cstheme="minorBidi"/>
          <w:b w:val="0"/>
          <w:bCs w:val="0"/>
          <w:color w:val="auto"/>
          <w:sz w:val="22"/>
          <w:szCs w:val="22"/>
          <w:lang w:val="lt-LT" w:eastAsia="en-US"/>
        </w:rPr>
        <w:id w:val="-2061390630"/>
        <w:docPartObj>
          <w:docPartGallery w:val="Table of Contents"/>
          <w:docPartUnique/>
        </w:docPartObj>
      </w:sdtPr>
      <w:sdtEndPr>
        <w:rPr>
          <w:noProof/>
        </w:rPr>
      </w:sdtEndPr>
      <w:sdtContent>
        <w:p w14:paraId="72D53EC9" w14:textId="77777777" w:rsidR="00E2302E" w:rsidRPr="009E1406" w:rsidRDefault="00E2302E">
          <w:pPr>
            <w:pStyle w:val="TOCHeading"/>
            <w:rPr>
              <w:rFonts w:ascii="Times New Roman" w:hAnsi="Times New Roman" w:cs="Times New Roman"/>
              <w:sz w:val="24"/>
              <w:szCs w:val="24"/>
            </w:rPr>
          </w:pPr>
        </w:p>
        <w:p w14:paraId="79D69B07" w14:textId="77777777" w:rsidR="009E1406" w:rsidRPr="009E1406" w:rsidRDefault="00A96EAC">
          <w:pPr>
            <w:pStyle w:val="TOC1"/>
            <w:tabs>
              <w:tab w:val="right" w:leader="dot" w:pos="9911"/>
            </w:tabs>
            <w:rPr>
              <w:rFonts w:ascii="Times New Roman" w:eastAsiaTheme="minorEastAsia" w:hAnsi="Times New Roman" w:cs="Times New Roman"/>
              <w:noProof/>
              <w:sz w:val="24"/>
              <w:szCs w:val="24"/>
              <w:lang w:val="en-US"/>
            </w:rPr>
          </w:pPr>
          <w:r w:rsidRPr="009E1406">
            <w:rPr>
              <w:rFonts w:ascii="Times New Roman" w:hAnsi="Times New Roman" w:cs="Times New Roman"/>
              <w:sz w:val="24"/>
              <w:szCs w:val="24"/>
            </w:rPr>
            <w:fldChar w:fldCharType="begin"/>
          </w:r>
          <w:r w:rsidR="00E2302E" w:rsidRPr="009E1406">
            <w:rPr>
              <w:rFonts w:ascii="Times New Roman" w:hAnsi="Times New Roman" w:cs="Times New Roman"/>
              <w:sz w:val="24"/>
              <w:szCs w:val="24"/>
            </w:rPr>
            <w:instrText xml:space="preserve"> TOC \o "1-3" \h \z \u </w:instrText>
          </w:r>
          <w:r w:rsidRPr="009E1406">
            <w:rPr>
              <w:rFonts w:ascii="Times New Roman" w:hAnsi="Times New Roman" w:cs="Times New Roman"/>
              <w:sz w:val="24"/>
              <w:szCs w:val="24"/>
            </w:rPr>
            <w:fldChar w:fldCharType="separate"/>
          </w:r>
          <w:hyperlink w:anchor="_Toc353730648" w:history="1">
            <w:r w:rsidR="009E1406" w:rsidRPr="009E1406">
              <w:rPr>
                <w:rStyle w:val="Hyperlink"/>
                <w:rFonts w:ascii="Times New Roman" w:hAnsi="Times New Roman" w:cs="Times New Roman"/>
                <w:noProof/>
                <w:sz w:val="24"/>
                <w:szCs w:val="24"/>
                <w:lang w:eastAsia="lt-LT"/>
              </w:rPr>
              <w:t>ĮVADAS</w:t>
            </w:r>
            <w:r w:rsidR="009E1406" w:rsidRPr="009E1406">
              <w:rPr>
                <w:rFonts w:ascii="Times New Roman" w:hAnsi="Times New Roman" w:cs="Times New Roman"/>
                <w:noProof/>
                <w:webHidden/>
                <w:sz w:val="24"/>
                <w:szCs w:val="24"/>
              </w:rPr>
              <w:tab/>
            </w:r>
            <w:r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_Toc353730648 \h </w:instrText>
            </w:r>
            <w:r w:rsidRPr="009E1406">
              <w:rPr>
                <w:rFonts w:ascii="Times New Roman" w:hAnsi="Times New Roman" w:cs="Times New Roman"/>
                <w:noProof/>
                <w:webHidden/>
                <w:sz w:val="24"/>
                <w:szCs w:val="24"/>
              </w:rPr>
            </w:r>
            <w:r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6</w:t>
            </w:r>
            <w:r w:rsidRPr="009E1406">
              <w:rPr>
                <w:rFonts w:ascii="Times New Roman" w:hAnsi="Times New Roman" w:cs="Times New Roman"/>
                <w:noProof/>
                <w:webHidden/>
                <w:sz w:val="24"/>
                <w:szCs w:val="24"/>
              </w:rPr>
              <w:fldChar w:fldCharType="end"/>
            </w:r>
          </w:hyperlink>
        </w:p>
        <w:p w14:paraId="39065F0B" w14:textId="77777777" w:rsidR="009E1406" w:rsidRPr="009E1406" w:rsidRDefault="00E612B9">
          <w:pPr>
            <w:pStyle w:val="TOC1"/>
            <w:tabs>
              <w:tab w:val="left" w:pos="440"/>
              <w:tab w:val="right" w:leader="dot" w:pos="9911"/>
            </w:tabs>
            <w:rPr>
              <w:rFonts w:ascii="Times New Roman" w:eastAsiaTheme="minorEastAsia" w:hAnsi="Times New Roman" w:cs="Times New Roman"/>
              <w:noProof/>
              <w:sz w:val="24"/>
              <w:szCs w:val="24"/>
              <w:lang w:val="en-US"/>
            </w:rPr>
          </w:pPr>
          <w:hyperlink w:anchor="_Toc353730649" w:history="1">
            <w:r w:rsidR="009E1406" w:rsidRPr="009E1406">
              <w:rPr>
                <w:rStyle w:val="Hyperlink"/>
                <w:rFonts w:ascii="Times New Roman" w:hAnsi="Times New Roman" w:cs="Times New Roman"/>
                <w:noProof/>
                <w:sz w:val="24"/>
                <w:szCs w:val="24"/>
                <w:lang w:eastAsia="lt-LT"/>
              </w:rPr>
              <w:t>1.</w:t>
            </w:r>
            <w:r w:rsidR="009E1406">
              <w:rPr>
                <w:rFonts w:ascii="Times New Roman" w:eastAsiaTheme="minorEastAsia" w:hAnsi="Times New Roman" w:cs="Times New Roman"/>
                <w:noProof/>
                <w:sz w:val="24"/>
                <w:szCs w:val="24"/>
                <w:lang w:val="en-US"/>
              </w:rPr>
              <w:t xml:space="preserve"> </w:t>
            </w:r>
            <w:r w:rsidR="009E1406" w:rsidRPr="009E1406">
              <w:rPr>
                <w:rStyle w:val="Hyperlink"/>
                <w:rFonts w:ascii="Times New Roman" w:hAnsi="Times New Roman" w:cs="Times New Roman"/>
                <w:noProof/>
                <w:sz w:val="24"/>
                <w:szCs w:val="24"/>
                <w:lang w:eastAsia="lt-LT"/>
              </w:rPr>
              <w:t>ĮMONIŲ LIKVIDUMO KONCEPCIJA</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_Toc353730649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8</w:t>
            </w:r>
            <w:r w:rsidR="00A96EAC" w:rsidRPr="009E1406">
              <w:rPr>
                <w:rFonts w:ascii="Times New Roman" w:hAnsi="Times New Roman" w:cs="Times New Roman"/>
                <w:noProof/>
                <w:webHidden/>
                <w:sz w:val="24"/>
                <w:szCs w:val="24"/>
              </w:rPr>
              <w:fldChar w:fldCharType="end"/>
            </w:r>
          </w:hyperlink>
        </w:p>
        <w:p w14:paraId="4478FA71" w14:textId="77777777" w:rsidR="009E1406" w:rsidRPr="009E1406" w:rsidRDefault="009E1406" w:rsidP="009E1406">
          <w:pPr>
            <w:pStyle w:val="TOC2"/>
            <w:rPr>
              <w:rStyle w:val="Hyperlink"/>
              <w:color w:val="000000" w:themeColor="text1"/>
              <w:u w:val="none"/>
            </w:rPr>
          </w:pPr>
          <w:r w:rsidRPr="009E1406">
            <w:rPr>
              <w:rStyle w:val="Hyperlink"/>
              <w:color w:val="000000" w:themeColor="text1"/>
              <w:u w:val="none"/>
            </w:rPr>
            <w:t xml:space="preserve">1.1. </w:t>
          </w:r>
          <w:hyperlink w:anchor="_Toc353730650" w:history="1">
            <w:r w:rsidRPr="009E1406">
              <w:rPr>
                <w:rStyle w:val="Hyperlink"/>
                <w:color w:val="000000" w:themeColor="text1"/>
                <w:u w:val="none"/>
              </w:rPr>
              <w:t>Finansinė analizė ir likvidumo reikšmė joje</w:t>
            </w:r>
            <w:r w:rsidRPr="009E1406">
              <w:rPr>
                <w:rStyle w:val="Hyperlink"/>
                <w:webHidden/>
                <w:color w:val="000000" w:themeColor="text1"/>
                <w:u w:val="none"/>
              </w:rPr>
              <w:tab/>
            </w:r>
            <w:r w:rsidR="00A96EAC" w:rsidRPr="009E1406">
              <w:rPr>
                <w:rStyle w:val="Hyperlink"/>
                <w:webHidden/>
                <w:color w:val="000000" w:themeColor="text1"/>
                <w:u w:val="none"/>
              </w:rPr>
              <w:fldChar w:fldCharType="begin"/>
            </w:r>
            <w:r w:rsidRPr="009E1406">
              <w:rPr>
                <w:rStyle w:val="Hyperlink"/>
                <w:webHidden/>
                <w:color w:val="000000" w:themeColor="text1"/>
                <w:u w:val="none"/>
              </w:rPr>
              <w:instrText xml:space="preserve"> PAGEREF _Toc353730650 \h </w:instrText>
            </w:r>
            <w:r w:rsidR="00A96EAC" w:rsidRPr="009E1406">
              <w:rPr>
                <w:rStyle w:val="Hyperlink"/>
                <w:webHidden/>
                <w:color w:val="000000" w:themeColor="text1"/>
                <w:u w:val="none"/>
              </w:rPr>
            </w:r>
            <w:r w:rsidR="00A96EAC" w:rsidRPr="009E1406">
              <w:rPr>
                <w:rStyle w:val="Hyperlink"/>
                <w:webHidden/>
                <w:color w:val="000000" w:themeColor="text1"/>
                <w:u w:val="none"/>
              </w:rPr>
              <w:fldChar w:fldCharType="separate"/>
            </w:r>
            <w:r w:rsidR="004E51DB">
              <w:rPr>
                <w:rStyle w:val="Hyperlink"/>
                <w:webHidden/>
                <w:color w:val="000000" w:themeColor="text1"/>
                <w:u w:val="none"/>
              </w:rPr>
              <w:t>8</w:t>
            </w:r>
            <w:r w:rsidR="00A96EAC" w:rsidRPr="009E1406">
              <w:rPr>
                <w:rStyle w:val="Hyperlink"/>
                <w:webHidden/>
                <w:color w:val="000000" w:themeColor="text1"/>
                <w:u w:val="none"/>
              </w:rPr>
              <w:fldChar w:fldCharType="end"/>
            </w:r>
          </w:hyperlink>
        </w:p>
        <w:p w14:paraId="702CABE5" w14:textId="77777777" w:rsidR="009E1406" w:rsidRPr="009E1406" w:rsidRDefault="00E612B9" w:rsidP="009E1406">
          <w:pPr>
            <w:pStyle w:val="TOC2"/>
            <w:rPr>
              <w:rFonts w:eastAsiaTheme="minorEastAsia"/>
              <w:lang w:val="en-US"/>
            </w:rPr>
          </w:pPr>
          <w:hyperlink w:anchor="_Toc353730651" w:history="1">
            <w:r w:rsidR="009E1406" w:rsidRPr="009E1406">
              <w:rPr>
                <w:rStyle w:val="Hyperlink"/>
              </w:rPr>
              <w:t>1.2.</w:t>
            </w:r>
            <w:r w:rsidR="009E1406">
              <w:rPr>
                <w:rFonts w:eastAsiaTheme="minorEastAsia"/>
                <w:lang w:val="en-US"/>
              </w:rPr>
              <w:t xml:space="preserve"> </w:t>
            </w:r>
            <w:r w:rsidR="009E1406" w:rsidRPr="009E1406">
              <w:rPr>
                <w:rStyle w:val="Hyperlink"/>
              </w:rPr>
              <w:t>Likvidumo samprata</w:t>
            </w:r>
            <w:r w:rsidR="009E1406" w:rsidRPr="009E1406">
              <w:rPr>
                <w:webHidden/>
              </w:rPr>
              <w:tab/>
            </w:r>
            <w:r w:rsidR="00A96EAC" w:rsidRPr="009E1406">
              <w:rPr>
                <w:webHidden/>
              </w:rPr>
              <w:fldChar w:fldCharType="begin"/>
            </w:r>
            <w:r w:rsidR="009E1406" w:rsidRPr="009E1406">
              <w:rPr>
                <w:webHidden/>
              </w:rPr>
              <w:instrText xml:space="preserve"> PAGEREF _Toc353730651 \h </w:instrText>
            </w:r>
            <w:r w:rsidR="00A96EAC" w:rsidRPr="009E1406">
              <w:rPr>
                <w:webHidden/>
              </w:rPr>
            </w:r>
            <w:r w:rsidR="00A96EAC" w:rsidRPr="009E1406">
              <w:rPr>
                <w:webHidden/>
              </w:rPr>
              <w:fldChar w:fldCharType="separate"/>
            </w:r>
            <w:r w:rsidR="004E51DB">
              <w:rPr>
                <w:webHidden/>
              </w:rPr>
              <w:t>11</w:t>
            </w:r>
            <w:r w:rsidR="00A96EAC" w:rsidRPr="009E1406">
              <w:rPr>
                <w:webHidden/>
              </w:rPr>
              <w:fldChar w:fldCharType="end"/>
            </w:r>
          </w:hyperlink>
        </w:p>
        <w:p w14:paraId="7CCB7124" w14:textId="77777777" w:rsidR="009E1406" w:rsidRPr="009E1406" w:rsidRDefault="00E612B9" w:rsidP="009E1406">
          <w:pPr>
            <w:pStyle w:val="TOC2"/>
            <w:rPr>
              <w:rFonts w:eastAsiaTheme="minorEastAsia"/>
              <w:lang w:val="en-US"/>
            </w:rPr>
          </w:pPr>
          <w:hyperlink w:anchor="_Toc353730652" w:history="1">
            <w:r w:rsidR="009E1406" w:rsidRPr="009E1406">
              <w:rPr>
                <w:rStyle w:val="Hyperlink"/>
              </w:rPr>
              <w:t>1.3.</w:t>
            </w:r>
            <w:r w:rsidR="009E1406">
              <w:rPr>
                <w:rFonts w:eastAsiaTheme="minorEastAsia"/>
                <w:lang w:val="en-US"/>
              </w:rPr>
              <w:t xml:space="preserve"> </w:t>
            </w:r>
            <w:r w:rsidR="009E1406" w:rsidRPr="009E1406">
              <w:rPr>
                <w:rStyle w:val="Hyperlink"/>
              </w:rPr>
              <w:t>Balansas – pagrindinis duomenų šaltinis likvidumui vertinti</w:t>
            </w:r>
            <w:r w:rsidR="009E1406" w:rsidRPr="009E1406">
              <w:rPr>
                <w:webHidden/>
              </w:rPr>
              <w:tab/>
            </w:r>
            <w:r w:rsidR="00A96EAC" w:rsidRPr="009E1406">
              <w:rPr>
                <w:webHidden/>
              </w:rPr>
              <w:fldChar w:fldCharType="begin"/>
            </w:r>
            <w:r w:rsidR="009E1406" w:rsidRPr="009E1406">
              <w:rPr>
                <w:webHidden/>
              </w:rPr>
              <w:instrText xml:space="preserve"> PAGEREF _Toc353730652 \h </w:instrText>
            </w:r>
            <w:r w:rsidR="00A96EAC" w:rsidRPr="009E1406">
              <w:rPr>
                <w:webHidden/>
              </w:rPr>
            </w:r>
            <w:r w:rsidR="00A96EAC" w:rsidRPr="009E1406">
              <w:rPr>
                <w:webHidden/>
              </w:rPr>
              <w:fldChar w:fldCharType="separate"/>
            </w:r>
            <w:r w:rsidR="004E51DB">
              <w:rPr>
                <w:webHidden/>
              </w:rPr>
              <w:t>13</w:t>
            </w:r>
            <w:r w:rsidR="00A96EAC" w:rsidRPr="009E1406">
              <w:rPr>
                <w:webHidden/>
              </w:rPr>
              <w:fldChar w:fldCharType="end"/>
            </w:r>
          </w:hyperlink>
        </w:p>
        <w:p w14:paraId="23C06326" w14:textId="77777777" w:rsidR="009E1406" w:rsidRPr="009E1406" w:rsidRDefault="00E612B9" w:rsidP="009E1406">
          <w:pPr>
            <w:pStyle w:val="TOC2"/>
            <w:rPr>
              <w:rFonts w:eastAsiaTheme="minorEastAsia"/>
              <w:lang w:val="en-US"/>
            </w:rPr>
          </w:pPr>
          <w:hyperlink w:anchor="_Toc353730653" w:history="1">
            <w:r w:rsidR="009E1406" w:rsidRPr="009E1406">
              <w:rPr>
                <w:rStyle w:val="Hyperlink"/>
              </w:rPr>
              <w:t>1.4.</w:t>
            </w:r>
            <w:r w:rsidR="009E1406">
              <w:rPr>
                <w:rFonts w:eastAsiaTheme="minorEastAsia"/>
                <w:lang w:val="en-US"/>
              </w:rPr>
              <w:t xml:space="preserve"> </w:t>
            </w:r>
            <w:r w:rsidR="009E1406" w:rsidRPr="009E1406">
              <w:rPr>
                <w:rStyle w:val="Hyperlink"/>
              </w:rPr>
              <w:t>Įmonių likvidumą įtakojantys sprendimai</w:t>
            </w:r>
            <w:r w:rsidR="009E1406" w:rsidRPr="009E1406">
              <w:rPr>
                <w:webHidden/>
              </w:rPr>
              <w:tab/>
            </w:r>
            <w:r w:rsidR="00A96EAC" w:rsidRPr="009E1406">
              <w:rPr>
                <w:webHidden/>
              </w:rPr>
              <w:fldChar w:fldCharType="begin"/>
            </w:r>
            <w:r w:rsidR="009E1406" w:rsidRPr="009E1406">
              <w:rPr>
                <w:webHidden/>
              </w:rPr>
              <w:instrText xml:space="preserve"> PAGEREF _Toc353730653 \h </w:instrText>
            </w:r>
            <w:r w:rsidR="00A96EAC" w:rsidRPr="009E1406">
              <w:rPr>
                <w:webHidden/>
              </w:rPr>
            </w:r>
            <w:r w:rsidR="00A96EAC" w:rsidRPr="009E1406">
              <w:rPr>
                <w:webHidden/>
              </w:rPr>
              <w:fldChar w:fldCharType="separate"/>
            </w:r>
            <w:r w:rsidR="004E51DB">
              <w:rPr>
                <w:webHidden/>
              </w:rPr>
              <w:t>14</w:t>
            </w:r>
            <w:r w:rsidR="00A96EAC" w:rsidRPr="009E1406">
              <w:rPr>
                <w:webHidden/>
              </w:rPr>
              <w:fldChar w:fldCharType="end"/>
            </w:r>
          </w:hyperlink>
        </w:p>
        <w:p w14:paraId="26A86007" w14:textId="77777777" w:rsidR="009E1406" w:rsidRPr="009E1406" w:rsidRDefault="00E612B9" w:rsidP="009E1406">
          <w:pPr>
            <w:pStyle w:val="TOC2"/>
            <w:rPr>
              <w:rFonts w:eastAsiaTheme="minorEastAsia"/>
              <w:lang w:val="en-US"/>
            </w:rPr>
          </w:pPr>
          <w:hyperlink w:anchor="_Toc353730654" w:history="1">
            <w:r w:rsidR="009E1406" w:rsidRPr="009E1406">
              <w:rPr>
                <w:rStyle w:val="Hyperlink"/>
              </w:rPr>
              <w:t>1.5.</w:t>
            </w:r>
            <w:r w:rsidR="009E1406">
              <w:rPr>
                <w:rFonts w:eastAsiaTheme="minorEastAsia"/>
                <w:lang w:val="en-US"/>
              </w:rPr>
              <w:t xml:space="preserve"> </w:t>
            </w:r>
            <w:r w:rsidR="009E1406" w:rsidRPr="009E1406">
              <w:rPr>
                <w:rStyle w:val="Hyperlink"/>
              </w:rPr>
              <w:t>Pinigų srautų įtaka likvidumui</w:t>
            </w:r>
            <w:r w:rsidR="009E1406" w:rsidRPr="009E1406">
              <w:rPr>
                <w:webHidden/>
              </w:rPr>
              <w:tab/>
            </w:r>
            <w:r w:rsidR="00A96EAC" w:rsidRPr="009E1406">
              <w:rPr>
                <w:webHidden/>
              </w:rPr>
              <w:fldChar w:fldCharType="begin"/>
            </w:r>
            <w:r w:rsidR="009E1406" w:rsidRPr="009E1406">
              <w:rPr>
                <w:webHidden/>
              </w:rPr>
              <w:instrText xml:space="preserve"> PAGEREF _Toc353730654 \h </w:instrText>
            </w:r>
            <w:r w:rsidR="00A96EAC" w:rsidRPr="009E1406">
              <w:rPr>
                <w:webHidden/>
              </w:rPr>
            </w:r>
            <w:r w:rsidR="00A96EAC" w:rsidRPr="009E1406">
              <w:rPr>
                <w:webHidden/>
              </w:rPr>
              <w:fldChar w:fldCharType="separate"/>
            </w:r>
            <w:r w:rsidR="004E51DB">
              <w:rPr>
                <w:webHidden/>
              </w:rPr>
              <w:t>18</w:t>
            </w:r>
            <w:r w:rsidR="00A96EAC" w:rsidRPr="009E1406">
              <w:rPr>
                <w:webHidden/>
              </w:rPr>
              <w:fldChar w:fldCharType="end"/>
            </w:r>
          </w:hyperlink>
        </w:p>
        <w:p w14:paraId="2478C15D" w14:textId="77777777" w:rsidR="009E1406" w:rsidRPr="009E1406" w:rsidRDefault="00E612B9" w:rsidP="009E1406">
          <w:pPr>
            <w:pStyle w:val="TOC2"/>
            <w:rPr>
              <w:rFonts w:eastAsiaTheme="minorEastAsia"/>
              <w:lang w:val="en-US"/>
            </w:rPr>
          </w:pPr>
          <w:hyperlink w:anchor="_Toc353730655" w:history="1">
            <w:r w:rsidR="009E1406" w:rsidRPr="009E1406">
              <w:rPr>
                <w:rStyle w:val="Hyperlink"/>
              </w:rPr>
              <w:t>1.6.</w:t>
            </w:r>
            <w:r w:rsidR="009E1406">
              <w:rPr>
                <w:rFonts w:eastAsiaTheme="minorEastAsia"/>
                <w:lang w:val="en-US"/>
              </w:rPr>
              <w:t xml:space="preserve"> </w:t>
            </w:r>
            <w:r w:rsidR="009E1406" w:rsidRPr="009E1406">
              <w:rPr>
                <w:rStyle w:val="Hyperlink"/>
              </w:rPr>
              <w:t>Likvidumo rizika ir jos vertinimas</w:t>
            </w:r>
            <w:r w:rsidR="009E1406" w:rsidRPr="009E1406">
              <w:rPr>
                <w:webHidden/>
              </w:rPr>
              <w:tab/>
            </w:r>
            <w:r w:rsidR="00A96EAC" w:rsidRPr="009E1406">
              <w:rPr>
                <w:webHidden/>
              </w:rPr>
              <w:fldChar w:fldCharType="begin"/>
            </w:r>
            <w:r w:rsidR="009E1406" w:rsidRPr="009E1406">
              <w:rPr>
                <w:webHidden/>
              </w:rPr>
              <w:instrText xml:space="preserve"> PAGEREF _Toc353730655 \h </w:instrText>
            </w:r>
            <w:r w:rsidR="00A96EAC" w:rsidRPr="009E1406">
              <w:rPr>
                <w:webHidden/>
              </w:rPr>
            </w:r>
            <w:r w:rsidR="00A96EAC" w:rsidRPr="009E1406">
              <w:rPr>
                <w:webHidden/>
              </w:rPr>
              <w:fldChar w:fldCharType="separate"/>
            </w:r>
            <w:r w:rsidR="004E51DB">
              <w:rPr>
                <w:webHidden/>
              </w:rPr>
              <w:t>19</w:t>
            </w:r>
            <w:r w:rsidR="00A96EAC" w:rsidRPr="009E1406">
              <w:rPr>
                <w:webHidden/>
              </w:rPr>
              <w:fldChar w:fldCharType="end"/>
            </w:r>
          </w:hyperlink>
        </w:p>
        <w:p w14:paraId="479ED7F0" w14:textId="77777777" w:rsidR="009E1406" w:rsidRPr="009E1406" w:rsidRDefault="00E612B9">
          <w:pPr>
            <w:pStyle w:val="TOC1"/>
            <w:tabs>
              <w:tab w:val="left" w:pos="440"/>
              <w:tab w:val="right" w:leader="dot" w:pos="9911"/>
            </w:tabs>
            <w:rPr>
              <w:rFonts w:ascii="Times New Roman" w:eastAsiaTheme="minorEastAsia" w:hAnsi="Times New Roman" w:cs="Times New Roman"/>
              <w:noProof/>
              <w:sz w:val="24"/>
              <w:szCs w:val="24"/>
              <w:lang w:val="en-US"/>
            </w:rPr>
          </w:pPr>
          <w:hyperlink w:anchor="_Toc353730656" w:history="1">
            <w:r w:rsidR="009E1406" w:rsidRPr="009E1406">
              <w:rPr>
                <w:rStyle w:val="Hyperlink"/>
                <w:rFonts w:ascii="Times New Roman" w:hAnsi="Times New Roman" w:cs="Times New Roman"/>
                <w:noProof/>
                <w:sz w:val="24"/>
                <w:szCs w:val="24"/>
              </w:rPr>
              <w:t>2.</w:t>
            </w:r>
            <w:r w:rsidR="009E1406">
              <w:rPr>
                <w:rFonts w:ascii="Times New Roman" w:eastAsiaTheme="minorEastAsia" w:hAnsi="Times New Roman" w:cs="Times New Roman"/>
                <w:noProof/>
                <w:sz w:val="24"/>
                <w:szCs w:val="24"/>
                <w:lang w:val="en-US"/>
              </w:rPr>
              <w:t xml:space="preserve"> </w:t>
            </w:r>
            <w:r w:rsidR="009E1406" w:rsidRPr="009E1406">
              <w:rPr>
                <w:rStyle w:val="Hyperlink"/>
                <w:rFonts w:ascii="Times New Roman" w:hAnsi="Times New Roman" w:cs="Times New Roman"/>
                <w:noProof/>
                <w:sz w:val="24"/>
                <w:szCs w:val="24"/>
                <w:lang w:eastAsia="lt-LT"/>
              </w:rPr>
              <w:t>RODIKLIAI ĮMONIŲ LIKVIDUMUI VERTINTI</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_Toc353730656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23</w:t>
            </w:r>
            <w:r w:rsidR="00A96EAC" w:rsidRPr="009E1406">
              <w:rPr>
                <w:rFonts w:ascii="Times New Roman" w:hAnsi="Times New Roman" w:cs="Times New Roman"/>
                <w:noProof/>
                <w:webHidden/>
                <w:sz w:val="24"/>
                <w:szCs w:val="24"/>
              </w:rPr>
              <w:fldChar w:fldCharType="end"/>
            </w:r>
          </w:hyperlink>
        </w:p>
        <w:p w14:paraId="33CEF325" w14:textId="77777777" w:rsidR="009E1406" w:rsidRPr="009E1406" w:rsidRDefault="00E612B9" w:rsidP="009E1406">
          <w:pPr>
            <w:pStyle w:val="TOC2"/>
            <w:rPr>
              <w:rFonts w:eastAsiaTheme="minorEastAsia"/>
              <w:lang w:val="en-US"/>
            </w:rPr>
          </w:pPr>
          <w:hyperlink w:anchor="_Toc353730657" w:history="1">
            <w:r w:rsidR="009E1406" w:rsidRPr="009E1406">
              <w:rPr>
                <w:rStyle w:val="Hyperlink"/>
              </w:rPr>
              <w:t>2.1.</w:t>
            </w:r>
            <w:r w:rsidR="009E1406">
              <w:rPr>
                <w:rFonts w:eastAsiaTheme="minorEastAsia"/>
                <w:lang w:val="en-US"/>
              </w:rPr>
              <w:t xml:space="preserve"> </w:t>
            </w:r>
            <w:r w:rsidR="009E1406" w:rsidRPr="009E1406">
              <w:rPr>
                <w:rStyle w:val="Hyperlink"/>
              </w:rPr>
              <w:t>Tradiciniai likvidumo rodikliai</w:t>
            </w:r>
            <w:r w:rsidR="009E1406" w:rsidRPr="009E1406">
              <w:rPr>
                <w:webHidden/>
              </w:rPr>
              <w:tab/>
            </w:r>
            <w:r w:rsidR="00A96EAC" w:rsidRPr="009E1406">
              <w:rPr>
                <w:webHidden/>
              </w:rPr>
              <w:fldChar w:fldCharType="begin"/>
            </w:r>
            <w:r w:rsidR="009E1406" w:rsidRPr="009E1406">
              <w:rPr>
                <w:webHidden/>
              </w:rPr>
              <w:instrText xml:space="preserve"> PAGEREF _Toc353730657 \h </w:instrText>
            </w:r>
            <w:r w:rsidR="00A96EAC" w:rsidRPr="009E1406">
              <w:rPr>
                <w:webHidden/>
              </w:rPr>
            </w:r>
            <w:r w:rsidR="00A96EAC" w:rsidRPr="009E1406">
              <w:rPr>
                <w:webHidden/>
              </w:rPr>
              <w:fldChar w:fldCharType="separate"/>
            </w:r>
            <w:r w:rsidR="004E51DB">
              <w:rPr>
                <w:webHidden/>
              </w:rPr>
              <w:t>23</w:t>
            </w:r>
            <w:r w:rsidR="00A96EAC" w:rsidRPr="009E1406">
              <w:rPr>
                <w:webHidden/>
              </w:rPr>
              <w:fldChar w:fldCharType="end"/>
            </w:r>
          </w:hyperlink>
        </w:p>
        <w:p w14:paraId="2552ADEE" w14:textId="77777777" w:rsidR="009E1406" w:rsidRPr="009E1406" w:rsidRDefault="00E612B9" w:rsidP="009E1406">
          <w:pPr>
            <w:pStyle w:val="TOC2"/>
            <w:rPr>
              <w:rFonts w:eastAsiaTheme="minorEastAsia"/>
              <w:lang w:val="en-US"/>
            </w:rPr>
          </w:pPr>
          <w:hyperlink w:anchor="_Toc353730658" w:history="1">
            <w:r w:rsidR="009E1406" w:rsidRPr="009E1406">
              <w:rPr>
                <w:rStyle w:val="Hyperlink"/>
              </w:rPr>
              <w:t>2.2.</w:t>
            </w:r>
            <w:r w:rsidR="009E1406">
              <w:rPr>
                <w:rFonts w:eastAsiaTheme="minorEastAsia"/>
                <w:lang w:val="en-US"/>
              </w:rPr>
              <w:t xml:space="preserve"> </w:t>
            </w:r>
            <w:r w:rsidR="009E1406" w:rsidRPr="009E1406">
              <w:rPr>
                <w:rStyle w:val="Hyperlink"/>
              </w:rPr>
              <w:t>Netradiciniai likvidumo rodikliai</w:t>
            </w:r>
            <w:r w:rsidR="009E1406" w:rsidRPr="009E1406">
              <w:rPr>
                <w:webHidden/>
              </w:rPr>
              <w:tab/>
            </w:r>
            <w:r w:rsidR="00A96EAC" w:rsidRPr="009E1406">
              <w:rPr>
                <w:webHidden/>
              </w:rPr>
              <w:fldChar w:fldCharType="begin"/>
            </w:r>
            <w:r w:rsidR="009E1406" w:rsidRPr="009E1406">
              <w:rPr>
                <w:webHidden/>
              </w:rPr>
              <w:instrText xml:space="preserve"> PAGEREF _Toc353730658 \h </w:instrText>
            </w:r>
            <w:r w:rsidR="00A96EAC" w:rsidRPr="009E1406">
              <w:rPr>
                <w:webHidden/>
              </w:rPr>
            </w:r>
            <w:r w:rsidR="00A96EAC" w:rsidRPr="009E1406">
              <w:rPr>
                <w:webHidden/>
              </w:rPr>
              <w:fldChar w:fldCharType="separate"/>
            </w:r>
            <w:r w:rsidR="004E51DB">
              <w:rPr>
                <w:webHidden/>
              </w:rPr>
              <w:t>27</w:t>
            </w:r>
            <w:r w:rsidR="00A96EAC" w:rsidRPr="009E1406">
              <w:rPr>
                <w:webHidden/>
              </w:rPr>
              <w:fldChar w:fldCharType="end"/>
            </w:r>
          </w:hyperlink>
        </w:p>
        <w:p w14:paraId="6FE754FB" w14:textId="77777777" w:rsidR="009E1406" w:rsidRPr="009E1406" w:rsidRDefault="00E612B9">
          <w:pPr>
            <w:pStyle w:val="TOC1"/>
            <w:tabs>
              <w:tab w:val="left" w:pos="440"/>
              <w:tab w:val="right" w:leader="dot" w:pos="9911"/>
            </w:tabs>
            <w:rPr>
              <w:rFonts w:ascii="Times New Roman" w:eastAsiaTheme="minorEastAsia" w:hAnsi="Times New Roman" w:cs="Times New Roman"/>
              <w:noProof/>
              <w:sz w:val="24"/>
              <w:szCs w:val="24"/>
              <w:lang w:val="en-US"/>
            </w:rPr>
          </w:pPr>
          <w:hyperlink w:anchor="_Toc353730659" w:history="1">
            <w:r w:rsidR="009E1406" w:rsidRPr="009E1406">
              <w:rPr>
                <w:rStyle w:val="Hyperlink"/>
                <w:rFonts w:ascii="Times New Roman" w:hAnsi="Times New Roman" w:cs="Times New Roman"/>
                <w:noProof/>
                <w:sz w:val="24"/>
                <w:szCs w:val="24"/>
              </w:rPr>
              <w:t>3.</w:t>
            </w:r>
            <w:r w:rsidR="009E1406">
              <w:rPr>
                <w:rFonts w:ascii="Times New Roman" w:eastAsiaTheme="minorEastAsia" w:hAnsi="Times New Roman" w:cs="Times New Roman"/>
                <w:noProof/>
                <w:sz w:val="24"/>
                <w:szCs w:val="24"/>
                <w:lang w:val="en-US"/>
              </w:rPr>
              <w:t xml:space="preserve"> </w:t>
            </w:r>
            <w:r w:rsidR="009E1406" w:rsidRPr="009E1406">
              <w:rPr>
                <w:rStyle w:val="Hyperlink"/>
                <w:rFonts w:ascii="Times New Roman" w:hAnsi="Times New Roman" w:cs="Times New Roman"/>
                <w:noProof/>
                <w:sz w:val="24"/>
                <w:szCs w:val="24"/>
                <w:lang w:eastAsia="lt-LT"/>
              </w:rPr>
              <w:t>BIRŽOJE KOTIRUOJAMOS LIETUVOS ĮMONĖS, JŲ LIKVIDUMO DINAMIKA IR PERSPEKTYVOS</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_Toc353730659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30</w:t>
            </w:r>
            <w:r w:rsidR="00A96EAC" w:rsidRPr="009E1406">
              <w:rPr>
                <w:rFonts w:ascii="Times New Roman" w:hAnsi="Times New Roman" w:cs="Times New Roman"/>
                <w:noProof/>
                <w:webHidden/>
                <w:sz w:val="24"/>
                <w:szCs w:val="24"/>
              </w:rPr>
              <w:fldChar w:fldCharType="end"/>
            </w:r>
          </w:hyperlink>
        </w:p>
        <w:p w14:paraId="18B41301" w14:textId="77777777" w:rsidR="009E1406" w:rsidRPr="009E1406" w:rsidRDefault="00E612B9" w:rsidP="009E1406">
          <w:pPr>
            <w:pStyle w:val="TOC2"/>
            <w:rPr>
              <w:rFonts w:eastAsiaTheme="minorEastAsia"/>
              <w:lang w:val="en-US"/>
            </w:rPr>
          </w:pPr>
          <w:hyperlink w:anchor="_Toc353730660" w:history="1">
            <w:r w:rsidR="009E1406" w:rsidRPr="009E1406">
              <w:rPr>
                <w:rStyle w:val="Hyperlink"/>
              </w:rPr>
              <w:t>3.1.</w:t>
            </w:r>
            <w:r w:rsidR="009E1406">
              <w:rPr>
                <w:rFonts w:eastAsiaTheme="minorEastAsia"/>
                <w:lang w:val="en-US"/>
              </w:rPr>
              <w:t xml:space="preserve"> </w:t>
            </w:r>
            <w:r w:rsidR="009E1406" w:rsidRPr="009E1406">
              <w:rPr>
                <w:rStyle w:val="Hyperlink"/>
              </w:rPr>
              <w:t>Biržoje kotiruojamos Lietuvos įmonės</w:t>
            </w:r>
            <w:r w:rsidR="009E1406" w:rsidRPr="009E1406">
              <w:rPr>
                <w:webHidden/>
              </w:rPr>
              <w:tab/>
            </w:r>
            <w:r w:rsidR="00A96EAC" w:rsidRPr="009E1406">
              <w:rPr>
                <w:webHidden/>
              </w:rPr>
              <w:fldChar w:fldCharType="begin"/>
            </w:r>
            <w:r w:rsidR="009E1406" w:rsidRPr="009E1406">
              <w:rPr>
                <w:webHidden/>
              </w:rPr>
              <w:instrText xml:space="preserve"> PAGEREF _Toc353730660 \h </w:instrText>
            </w:r>
            <w:r w:rsidR="00A96EAC" w:rsidRPr="009E1406">
              <w:rPr>
                <w:webHidden/>
              </w:rPr>
            </w:r>
            <w:r w:rsidR="00A96EAC" w:rsidRPr="009E1406">
              <w:rPr>
                <w:webHidden/>
              </w:rPr>
              <w:fldChar w:fldCharType="separate"/>
            </w:r>
            <w:r w:rsidR="004E51DB">
              <w:rPr>
                <w:webHidden/>
              </w:rPr>
              <w:t>30</w:t>
            </w:r>
            <w:r w:rsidR="00A96EAC" w:rsidRPr="009E1406">
              <w:rPr>
                <w:webHidden/>
              </w:rPr>
              <w:fldChar w:fldCharType="end"/>
            </w:r>
          </w:hyperlink>
        </w:p>
        <w:p w14:paraId="4F49BD8B" w14:textId="77777777" w:rsidR="009E1406" w:rsidRPr="009E1406" w:rsidRDefault="00E612B9" w:rsidP="009E1406">
          <w:pPr>
            <w:pStyle w:val="TOC2"/>
            <w:rPr>
              <w:rFonts w:eastAsiaTheme="minorEastAsia"/>
              <w:lang w:val="en-US"/>
            </w:rPr>
          </w:pPr>
          <w:hyperlink w:anchor="_Toc353730661" w:history="1">
            <w:r w:rsidR="009E1406" w:rsidRPr="009E1406">
              <w:rPr>
                <w:rStyle w:val="Hyperlink"/>
              </w:rPr>
              <w:t>3.2.</w:t>
            </w:r>
            <w:r w:rsidR="009E1406">
              <w:rPr>
                <w:rFonts w:eastAsiaTheme="minorEastAsia"/>
                <w:lang w:val="en-US"/>
              </w:rPr>
              <w:t xml:space="preserve"> </w:t>
            </w:r>
            <w:r w:rsidR="009E1406" w:rsidRPr="009E1406">
              <w:rPr>
                <w:rStyle w:val="Hyperlink"/>
              </w:rPr>
              <w:t>Likvidumo dinamika ir perspektyvos</w:t>
            </w:r>
            <w:r w:rsidR="009E1406" w:rsidRPr="009E1406">
              <w:rPr>
                <w:webHidden/>
              </w:rPr>
              <w:tab/>
            </w:r>
            <w:r w:rsidR="00A96EAC" w:rsidRPr="009E1406">
              <w:rPr>
                <w:webHidden/>
              </w:rPr>
              <w:fldChar w:fldCharType="begin"/>
            </w:r>
            <w:r w:rsidR="009E1406" w:rsidRPr="009E1406">
              <w:rPr>
                <w:webHidden/>
              </w:rPr>
              <w:instrText xml:space="preserve"> PAGEREF _Toc353730661 \h </w:instrText>
            </w:r>
            <w:r w:rsidR="00A96EAC" w:rsidRPr="009E1406">
              <w:rPr>
                <w:webHidden/>
              </w:rPr>
            </w:r>
            <w:r w:rsidR="00A96EAC" w:rsidRPr="009E1406">
              <w:rPr>
                <w:webHidden/>
              </w:rPr>
              <w:fldChar w:fldCharType="separate"/>
            </w:r>
            <w:r w:rsidR="004E51DB">
              <w:rPr>
                <w:webHidden/>
              </w:rPr>
              <w:t>32</w:t>
            </w:r>
            <w:r w:rsidR="00A96EAC" w:rsidRPr="009E1406">
              <w:rPr>
                <w:webHidden/>
              </w:rPr>
              <w:fldChar w:fldCharType="end"/>
            </w:r>
          </w:hyperlink>
        </w:p>
        <w:p w14:paraId="5AF94F77" w14:textId="77777777" w:rsidR="009E1406" w:rsidRPr="009E1406" w:rsidRDefault="00E612B9">
          <w:pPr>
            <w:pStyle w:val="TOC1"/>
            <w:tabs>
              <w:tab w:val="left" w:pos="440"/>
              <w:tab w:val="right" w:leader="dot" w:pos="9911"/>
            </w:tabs>
            <w:rPr>
              <w:rFonts w:ascii="Times New Roman" w:eastAsiaTheme="minorEastAsia" w:hAnsi="Times New Roman" w:cs="Times New Roman"/>
              <w:noProof/>
              <w:sz w:val="24"/>
              <w:szCs w:val="24"/>
              <w:lang w:val="en-US"/>
            </w:rPr>
          </w:pPr>
          <w:hyperlink w:anchor="_Toc353730662" w:history="1">
            <w:r w:rsidR="009E1406" w:rsidRPr="009E1406">
              <w:rPr>
                <w:rStyle w:val="Hyperlink"/>
                <w:rFonts w:ascii="Times New Roman" w:hAnsi="Times New Roman" w:cs="Times New Roman"/>
                <w:noProof/>
                <w:sz w:val="24"/>
                <w:szCs w:val="24"/>
                <w:lang w:eastAsia="lt-LT"/>
              </w:rPr>
              <w:t>4.</w:t>
            </w:r>
            <w:r w:rsidR="009E1406">
              <w:rPr>
                <w:rFonts w:ascii="Times New Roman" w:eastAsiaTheme="minorEastAsia" w:hAnsi="Times New Roman" w:cs="Times New Roman"/>
                <w:noProof/>
                <w:sz w:val="24"/>
                <w:szCs w:val="24"/>
                <w:lang w:val="en-US"/>
              </w:rPr>
              <w:t xml:space="preserve"> </w:t>
            </w:r>
            <w:r w:rsidR="009E1406" w:rsidRPr="009E1406">
              <w:rPr>
                <w:rStyle w:val="Hyperlink"/>
                <w:rFonts w:ascii="Times New Roman" w:hAnsi="Times New Roman" w:cs="Times New Roman"/>
                <w:noProof/>
                <w:sz w:val="24"/>
                <w:szCs w:val="24"/>
                <w:lang w:eastAsia="lt-LT"/>
              </w:rPr>
              <w:t>LIKVIDUMO VALDYMĄ RIBOJANČIŲ VEIKSNIŲ TYRIMAS</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_Toc353730662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55</w:t>
            </w:r>
            <w:r w:rsidR="00A96EAC" w:rsidRPr="009E1406">
              <w:rPr>
                <w:rFonts w:ascii="Times New Roman" w:hAnsi="Times New Roman" w:cs="Times New Roman"/>
                <w:noProof/>
                <w:webHidden/>
                <w:sz w:val="24"/>
                <w:szCs w:val="24"/>
              </w:rPr>
              <w:fldChar w:fldCharType="end"/>
            </w:r>
          </w:hyperlink>
        </w:p>
        <w:p w14:paraId="296A7D7F" w14:textId="77777777" w:rsidR="009E1406" w:rsidRPr="009E1406" w:rsidRDefault="00E612B9" w:rsidP="009E1406">
          <w:pPr>
            <w:pStyle w:val="TOC2"/>
            <w:rPr>
              <w:rFonts w:eastAsiaTheme="minorEastAsia"/>
              <w:lang w:val="en-US"/>
            </w:rPr>
          </w:pPr>
          <w:hyperlink w:anchor="_Toc353730663" w:history="1">
            <w:r w:rsidR="009E1406" w:rsidRPr="009E1406">
              <w:rPr>
                <w:rStyle w:val="Hyperlink"/>
              </w:rPr>
              <w:t>4.1.</w:t>
            </w:r>
            <w:r w:rsidR="009E1406">
              <w:rPr>
                <w:rFonts w:eastAsiaTheme="minorEastAsia"/>
                <w:lang w:val="en-US"/>
              </w:rPr>
              <w:t xml:space="preserve"> </w:t>
            </w:r>
            <w:r w:rsidR="009E1406" w:rsidRPr="009E1406">
              <w:rPr>
                <w:rStyle w:val="Hyperlink"/>
              </w:rPr>
              <w:t>Ekspertinio vertinimo samprata</w:t>
            </w:r>
            <w:r w:rsidR="009E1406" w:rsidRPr="009E1406">
              <w:rPr>
                <w:webHidden/>
              </w:rPr>
              <w:tab/>
            </w:r>
            <w:r w:rsidR="00A96EAC" w:rsidRPr="009E1406">
              <w:rPr>
                <w:webHidden/>
              </w:rPr>
              <w:fldChar w:fldCharType="begin"/>
            </w:r>
            <w:r w:rsidR="009E1406" w:rsidRPr="009E1406">
              <w:rPr>
                <w:webHidden/>
              </w:rPr>
              <w:instrText xml:space="preserve"> PAGEREF _Toc353730663 \h </w:instrText>
            </w:r>
            <w:r w:rsidR="00A96EAC" w:rsidRPr="009E1406">
              <w:rPr>
                <w:webHidden/>
              </w:rPr>
            </w:r>
            <w:r w:rsidR="00A96EAC" w:rsidRPr="009E1406">
              <w:rPr>
                <w:webHidden/>
              </w:rPr>
              <w:fldChar w:fldCharType="separate"/>
            </w:r>
            <w:r w:rsidR="004E51DB">
              <w:rPr>
                <w:webHidden/>
              </w:rPr>
              <w:t>55</w:t>
            </w:r>
            <w:r w:rsidR="00A96EAC" w:rsidRPr="009E1406">
              <w:rPr>
                <w:webHidden/>
              </w:rPr>
              <w:fldChar w:fldCharType="end"/>
            </w:r>
          </w:hyperlink>
        </w:p>
        <w:p w14:paraId="755D2EE0" w14:textId="77777777" w:rsidR="009E1406" w:rsidRPr="009E1406" w:rsidRDefault="00E612B9" w:rsidP="009E1406">
          <w:pPr>
            <w:pStyle w:val="TOC2"/>
            <w:rPr>
              <w:rFonts w:eastAsiaTheme="minorEastAsia"/>
              <w:lang w:val="en-US"/>
            </w:rPr>
          </w:pPr>
          <w:hyperlink w:anchor="_Toc353730664" w:history="1">
            <w:r w:rsidR="009E1406" w:rsidRPr="009E1406">
              <w:rPr>
                <w:rStyle w:val="Hyperlink"/>
              </w:rPr>
              <w:t>4.2.</w:t>
            </w:r>
            <w:r w:rsidR="009E1406">
              <w:rPr>
                <w:rFonts w:eastAsiaTheme="minorEastAsia"/>
                <w:lang w:val="en-US"/>
              </w:rPr>
              <w:t xml:space="preserve"> </w:t>
            </w:r>
            <w:r w:rsidR="009E1406" w:rsidRPr="009E1406">
              <w:rPr>
                <w:rStyle w:val="Hyperlink"/>
              </w:rPr>
              <w:t>Efektyvų likvidumo valdymą ribojančių veiksnių tyrimas</w:t>
            </w:r>
            <w:r w:rsidR="009E1406" w:rsidRPr="009E1406">
              <w:rPr>
                <w:webHidden/>
              </w:rPr>
              <w:tab/>
            </w:r>
            <w:r w:rsidR="00A96EAC" w:rsidRPr="009E1406">
              <w:rPr>
                <w:webHidden/>
              </w:rPr>
              <w:fldChar w:fldCharType="begin"/>
            </w:r>
            <w:r w:rsidR="009E1406" w:rsidRPr="009E1406">
              <w:rPr>
                <w:webHidden/>
              </w:rPr>
              <w:instrText xml:space="preserve"> PAGEREF _Toc353730664 \h </w:instrText>
            </w:r>
            <w:r w:rsidR="00A96EAC" w:rsidRPr="009E1406">
              <w:rPr>
                <w:webHidden/>
              </w:rPr>
            </w:r>
            <w:r w:rsidR="00A96EAC" w:rsidRPr="009E1406">
              <w:rPr>
                <w:webHidden/>
              </w:rPr>
              <w:fldChar w:fldCharType="separate"/>
            </w:r>
            <w:r w:rsidR="004E51DB">
              <w:rPr>
                <w:webHidden/>
              </w:rPr>
              <w:t>55</w:t>
            </w:r>
            <w:r w:rsidR="00A96EAC" w:rsidRPr="009E1406">
              <w:rPr>
                <w:webHidden/>
              </w:rPr>
              <w:fldChar w:fldCharType="end"/>
            </w:r>
          </w:hyperlink>
        </w:p>
        <w:p w14:paraId="12DC3AFE" w14:textId="77777777" w:rsidR="009E1406" w:rsidRPr="009E1406" w:rsidRDefault="00E612B9">
          <w:pPr>
            <w:pStyle w:val="TOC1"/>
            <w:tabs>
              <w:tab w:val="right" w:leader="dot" w:pos="9911"/>
            </w:tabs>
            <w:rPr>
              <w:rFonts w:ascii="Times New Roman" w:eastAsiaTheme="minorEastAsia" w:hAnsi="Times New Roman" w:cs="Times New Roman"/>
              <w:noProof/>
              <w:sz w:val="24"/>
              <w:szCs w:val="24"/>
              <w:lang w:val="en-US"/>
            </w:rPr>
          </w:pPr>
          <w:hyperlink w:anchor="_Toc353730665" w:history="1">
            <w:r w:rsidR="009E1406" w:rsidRPr="009E1406">
              <w:rPr>
                <w:rStyle w:val="Hyperlink"/>
                <w:rFonts w:ascii="Times New Roman" w:hAnsi="Times New Roman" w:cs="Times New Roman"/>
                <w:noProof/>
                <w:sz w:val="24"/>
                <w:szCs w:val="24"/>
                <w:lang w:eastAsia="lt-LT"/>
              </w:rPr>
              <w:t>IŠVADOS IR SIŪLYMAI</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_Toc353730665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61</w:t>
            </w:r>
            <w:r w:rsidR="00A96EAC" w:rsidRPr="009E1406">
              <w:rPr>
                <w:rFonts w:ascii="Times New Roman" w:hAnsi="Times New Roman" w:cs="Times New Roman"/>
                <w:noProof/>
                <w:webHidden/>
                <w:sz w:val="24"/>
                <w:szCs w:val="24"/>
              </w:rPr>
              <w:fldChar w:fldCharType="end"/>
            </w:r>
          </w:hyperlink>
        </w:p>
        <w:p w14:paraId="25CFE03E" w14:textId="77777777" w:rsidR="009E1406" w:rsidRPr="009E1406" w:rsidRDefault="00E612B9">
          <w:pPr>
            <w:pStyle w:val="TOC1"/>
            <w:tabs>
              <w:tab w:val="right" w:leader="dot" w:pos="9911"/>
            </w:tabs>
            <w:rPr>
              <w:rFonts w:ascii="Times New Roman" w:eastAsiaTheme="minorEastAsia" w:hAnsi="Times New Roman" w:cs="Times New Roman"/>
              <w:noProof/>
              <w:sz w:val="24"/>
              <w:szCs w:val="24"/>
              <w:lang w:val="en-US"/>
            </w:rPr>
          </w:pPr>
          <w:hyperlink w:anchor="_Toc353730666" w:history="1">
            <w:r w:rsidR="009E1406" w:rsidRPr="009E1406">
              <w:rPr>
                <w:rStyle w:val="Hyperlink"/>
                <w:rFonts w:ascii="Times New Roman" w:hAnsi="Times New Roman" w:cs="Times New Roman"/>
                <w:noProof/>
                <w:sz w:val="24"/>
                <w:szCs w:val="24"/>
                <w:lang w:eastAsia="lt-LT"/>
              </w:rPr>
              <w:t>LITERATŪRA</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_Toc353730666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63</w:t>
            </w:r>
            <w:r w:rsidR="00A96EAC" w:rsidRPr="009E1406">
              <w:rPr>
                <w:rFonts w:ascii="Times New Roman" w:hAnsi="Times New Roman" w:cs="Times New Roman"/>
                <w:noProof/>
                <w:webHidden/>
                <w:sz w:val="24"/>
                <w:szCs w:val="24"/>
              </w:rPr>
              <w:fldChar w:fldCharType="end"/>
            </w:r>
          </w:hyperlink>
        </w:p>
        <w:p w14:paraId="32DA6651" w14:textId="29084781" w:rsidR="009E1406" w:rsidRPr="009E1406" w:rsidRDefault="00E612B9">
          <w:pPr>
            <w:pStyle w:val="TOC1"/>
            <w:tabs>
              <w:tab w:val="right" w:leader="dot" w:pos="9911"/>
            </w:tabs>
            <w:rPr>
              <w:rFonts w:ascii="Times New Roman" w:eastAsiaTheme="minorEastAsia" w:hAnsi="Times New Roman" w:cs="Times New Roman"/>
              <w:noProof/>
              <w:sz w:val="24"/>
              <w:szCs w:val="24"/>
              <w:lang w:val="en-US"/>
            </w:rPr>
          </w:pPr>
          <w:hyperlink w:anchor="_Toc353730667" w:history="1">
            <w:r w:rsidR="009E1406" w:rsidRPr="009E1406">
              <w:rPr>
                <w:rStyle w:val="Hyperlink"/>
                <w:rFonts w:ascii="Times New Roman" w:hAnsi="Times New Roman" w:cs="Times New Roman"/>
                <w:noProof/>
                <w:sz w:val="24"/>
                <w:szCs w:val="24"/>
                <w:lang w:eastAsia="lt-LT"/>
              </w:rPr>
              <w:t>ANOTACIJ</w:t>
            </w:r>
            <w:r w:rsidR="00373521">
              <w:rPr>
                <w:rStyle w:val="Hyperlink"/>
                <w:rFonts w:ascii="Times New Roman" w:hAnsi="Times New Roman" w:cs="Times New Roman"/>
                <w:noProof/>
                <w:sz w:val="24"/>
                <w:szCs w:val="24"/>
                <w:lang w:eastAsia="lt-LT"/>
              </w:rPr>
              <w:t>A LIETUVIŲ KALBA</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_Toc353730667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66</w:t>
            </w:r>
            <w:r w:rsidR="00A96EAC" w:rsidRPr="009E1406">
              <w:rPr>
                <w:rFonts w:ascii="Times New Roman" w:hAnsi="Times New Roman" w:cs="Times New Roman"/>
                <w:noProof/>
                <w:webHidden/>
                <w:sz w:val="24"/>
                <w:szCs w:val="24"/>
              </w:rPr>
              <w:fldChar w:fldCharType="end"/>
            </w:r>
          </w:hyperlink>
        </w:p>
        <w:p w14:paraId="7F940950" w14:textId="6211C19B" w:rsidR="009E1406" w:rsidRPr="009E1406" w:rsidRDefault="00E612B9">
          <w:pPr>
            <w:pStyle w:val="TOC1"/>
            <w:tabs>
              <w:tab w:val="right" w:leader="dot" w:pos="9911"/>
            </w:tabs>
            <w:rPr>
              <w:rFonts w:ascii="Times New Roman" w:eastAsiaTheme="minorEastAsia" w:hAnsi="Times New Roman" w:cs="Times New Roman"/>
              <w:noProof/>
              <w:sz w:val="24"/>
              <w:szCs w:val="24"/>
              <w:lang w:val="en-US"/>
            </w:rPr>
          </w:pPr>
          <w:hyperlink w:anchor="_Toc353730668" w:history="1">
            <w:r w:rsidR="00373521">
              <w:rPr>
                <w:rStyle w:val="Hyperlink"/>
                <w:rFonts w:ascii="Times New Roman" w:hAnsi="Times New Roman" w:cs="Times New Roman"/>
                <w:noProof/>
                <w:sz w:val="24"/>
                <w:szCs w:val="24"/>
                <w:lang w:eastAsia="lt-LT"/>
              </w:rPr>
              <w:t>ANOTACIJA ANGLŲ KALBA</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_Toc353730668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67</w:t>
            </w:r>
            <w:r w:rsidR="00A96EAC" w:rsidRPr="009E1406">
              <w:rPr>
                <w:rFonts w:ascii="Times New Roman" w:hAnsi="Times New Roman" w:cs="Times New Roman"/>
                <w:noProof/>
                <w:webHidden/>
                <w:sz w:val="24"/>
                <w:szCs w:val="24"/>
              </w:rPr>
              <w:fldChar w:fldCharType="end"/>
            </w:r>
          </w:hyperlink>
        </w:p>
        <w:p w14:paraId="6D3644BC" w14:textId="5C195FCC" w:rsidR="009E1406" w:rsidRPr="009E1406" w:rsidRDefault="00E612B9">
          <w:pPr>
            <w:pStyle w:val="TOC1"/>
            <w:tabs>
              <w:tab w:val="right" w:leader="dot" w:pos="9911"/>
            </w:tabs>
            <w:rPr>
              <w:rFonts w:ascii="Times New Roman" w:eastAsiaTheme="minorEastAsia" w:hAnsi="Times New Roman" w:cs="Times New Roman"/>
              <w:noProof/>
              <w:sz w:val="24"/>
              <w:szCs w:val="24"/>
              <w:lang w:val="en-US"/>
            </w:rPr>
          </w:pPr>
          <w:hyperlink w:anchor="_Toc353730669" w:history="1">
            <w:r w:rsidR="009E1406" w:rsidRPr="009E1406">
              <w:rPr>
                <w:rStyle w:val="Hyperlink"/>
                <w:rFonts w:ascii="Times New Roman" w:hAnsi="Times New Roman" w:cs="Times New Roman"/>
                <w:noProof/>
                <w:sz w:val="24"/>
                <w:szCs w:val="24"/>
                <w:lang w:eastAsia="lt-LT"/>
              </w:rPr>
              <w:t>SANTRAUK</w:t>
            </w:r>
            <w:r w:rsidR="00373521">
              <w:rPr>
                <w:rStyle w:val="Hyperlink"/>
                <w:rFonts w:ascii="Times New Roman" w:hAnsi="Times New Roman" w:cs="Times New Roman"/>
                <w:noProof/>
                <w:sz w:val="24"/>
                <w:szCs w:val="24"/>
                <w:lang w:eastAsia="lt-LT"/>
              </w:rPr>
              <w:t>A LIETUVIŲ KALBA</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_Toc353730669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68</w:t>
            </w:r>
            <w:r w:rsidR="00A96EAC" w:rsidRPr="009E1406">
              <w:rPr>
                <w:rFonts w:ascii="Times New Roman" w:hAnsi="Times New Roman" w:cs="Times New Roman"/>
                <w:noProof/>
                <w:webHidden/>
                <w:sz w:val="24"/>
                <w:szCs w:val="24"/>
              </w:rPr>
              <w:fldChar w:fldCharType="end"/>
            </w:r>
          </w:hyperlink>
        </w:p>
        <w:p w14:paraId="55F7D81B" w14:textId="106B337A" w:rsidR="009E1406" w:rsidRPr="009E1406" w:rsidRDefault="00E612B9">
          <w:pPr>
            <w:pStyle w:val="TOC1"/>
            <w:tabs>
              <w:tab w:val="right" w:leader="dot" w:pos="9911"/>
            </w:tabs>
            <w:rPr>
              <w:rFonts w:ascii="Times New Roman" w:eastAsiaTheme="minorEastAsia" w:hAnsi="Times New Roman" w:cs="Times New Roman"/>
              <w:noProof/>
              <w:sz w:val="24"/>
              <w:szCs w:val="24"/>
              <w:lang w:val="en-US"/>
            </w:rPr>
          </w:pPr>
          <w:hyperlink w:anchor="_Toc353730670" w:history="1">
            <w:r w:rsidR="00373521">
              <w:rPr>
                <w:rStyle w:val="Hyperlink"/>
                <w:rFonts w:ascii="Times New Roman" w:hAnsi="Times New Roman" w:cs="Times New Roman"/>
                <w:noProof/>
                <w:sz w:val="24"/>
                <w:szCs w:val="24"/>
                <w:lang w:eastAsia="lt-LT"/>
              </w:rPr>
              <w:t>SANTRAUKA ANGLŲ KALBA</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_Toc353730670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70</w:t>
            </w:r>
            <w:r w:rsidR="00A96EAC" w:rsidRPr="009E1406">
              <w:rPr>
                <w:rFonts w:ascii="Times New Roman" w:hAnsi="Times New Roman" w:cs="Times New Roman"/>
                <w:noProof/>
                <w:webHidden/>
                <w:sz w:val="24"/>
                <w:szCs w:val="24"/>
              </w:rPr>
              <w:fldChar w:fldCharType="end"/>
            </w:r>
          </w:hyperlink>
        </w:p>
        <w:p w14:paraId="202A6EBC" w14:textId="77777777" w:rsidR="009E1406" w:rsidRPr="009E1406" w:rsidRDefault="00E612B9">
          <w:pPr>
            <w:pStyle w:val="TOC1"/>
            <w:tabs>
              <w:tab w:val="right" w:leader="dot" w:pos="9911"/>
            </w:tabs>
            <w:rPr>
              <w:rFonts w:ascii="Times New Roman" w:eastAsiaTheme="minorEastAsia" w:hAnsi="Times New Roman" w:cs="Times New Roman"/>
              <w:noProof/>
              <w:sz w:val="24"/>
              <w:szCs w:val="24"/>
              <w:lang w:val="en-US"/>
            </w:rPr>
          </w:pPr>
          <w:hyperlink w:anchor="_Toc353730671" w:history="1">
            <w:r w:rsidR="009E1406" w:rsidRPr="009E1406">
              <w:rPr>
                <w:rStyle w:val="Hyperlink"/>
                <w:rFonts w:ascii="Times New Roman" w:hAnsi="Times New Roman" w:cs="Times New Roman"/>
                <w:noProof/>
                <w:sz w:val="24"/>
                <w:szCs w:val="24"/>
                <w:lang w:eastAsia="lt-LT"/>
              </w:rPr>
              <w:t>PRIEDAI</w:t>
            </w:r>
            <w:r w:rsidR="009E1406" w:rsidRPr="009E1406">
              <w:rPr>
                <w:rFonts w:ascii="Times New Roman" w:hAnsi="Times New Roman" w:cs="Times New Roman"/>
                <w:noProof/>
                <w:webHidden/>
                <w:sz w:val="24"/>
                <w:szCs w:val="24"/>
              </w:rPr>
              <w:tab/>
            </w:r>
            <w:r w:rsidR="00A96EAC" w:rsidRPr="009E1406">
              <w:rPr>
                <w:rFonts w:ascii="Times New Roman" w:hAnsi="Times New Roman" w:cs="Times New Roman"/>
                <w:noProof/>
                <w:webHidden/>
                <w:sz w:val="24"/>
                <w:szCs w:val="24"/>
              </w:rPr>
              <w:fldChar w:fldCharType="begin"/>
            </w:r>
            <w:r w:rsidR="009E1406" w:rsidRPr="009E1406">
              <w:rPr>
                <w:rFonts w:ascii="Times New Roman" w:hAnsi="Times New Roman" w:cs="Times New Roman"/>
                <w:noProof/>
                <w:webHidden/>
                <w:sz w:val="24"/>
                <w:szCs w:val="24"/>
              </w:rPr>
              <w:instrText xml:space="preserve"> PAGEREF _Toc353730671 \h </w:instrText>
            </w:r>
            <w:r w:rsidR="00A96EAC" w:rsidRPr="009E1406">
              <w:rPr>
                <w:rFonts w:ascii="Times New Roman" w:hAnsi="Times New Roman" w:cs="Times New Roman"/>
                <w:noProof/>
                <w:webHidden/>
                <w:sz w:val="24"/>
                <w:szCs w:val="24"/>
              </w:rPr>
            </w:r>
            <w:r w:rsidR="00A96EAC" w:rsidRPr="009E1406">
              <w:rPr>
                <w:rFonts w:ascii="Times New Roman" w:hAnsi="Times New Roman" w:cs="Times New Roman"/>
                <w:noProof/>
                <w:webHidden/>
                <w:sz w:val="24"/>
                <w:szCs w:val="24"/>
              </w:rPr>
              <w:fldChar w:fldCharType="separate"/>
            </w:r>
            <w:r w:rsidR="004E51DB">
              <w:rPr>
                <w:rFonts w:ascii="Times New Roman" w:hAnsi="Times New Roman" w:cs="Times New Roman"/>
                <w:noProof/>
                <w:webHidden/>
                <w:sz w:val="24"/>
                <w:szCs w:val="24"/>
              </w:rPr>
              <w:t>72</w:t>
            </w:r>
            <w:r w:rsidR="00A96EAC" w:rsidRPr="009E1406">
              <w:rPr>
                <w:rFonts w:ascii="Times New Roman" w:hAnsi="Times New Roman" w:cs="Times New Roman"/>
                <w:noProof/>
                <w:webHidden/>
                <w:sz w:val="24"/>
                <w:szCs w:val="24"/>
              </w:rPr>
              <w:fldChar w:fldCharType="end"/>
            </w:r>
          </w:hyperlink>
        </w:p>
        <w:p w14:paraId="16E6DD7E" w14:textId="77777777" w:rsidR="00E2302E" w:rsidRDefault="00A96EAC">
          <w:r w:rsidRPr="009E1406">
            <w:rPr>
              <w:rFonts w:ascii="Times New Roman" w:hAnsi="Times New Roman" w:cs="Times New Roman"/>
              <w:b/>
              <w:bCs/>
              <w:noProof/>
              <w:sz w:val="24"/>
              <w:szCs w:val="24"/>
            </w:rPr>
            <w:fldChar w:fldCharType="end"/>
          </w:r>
        </w:p>
      </w:sdtContent>
    </w:sdt>
    <w:p w14:paraId="31CBF148" w14:textId="77777777" w:rsidR="00953524" w:rsidRPr="00E2302E" w:rsidRDefault="00953524" w:rsidP="00E2302E">
      <w:pPr>
        <w:pStyle w:val="Heading2"/>
        <w:spacing w:before="0" w:beforeAutospacing="0" w:after="0" w:afterAutospacing="0"/>
        <w:ind w:left="425"/>
        <w:rPr>
          <w:sz w:val="24"/>
          <w:szCs w:val="24"/>
        </w:rPr>
      </w:pPr>
    </w:p>
    <w:p w14:paraId="77F42E12" w14:textId="77777777" w:rsidR="00953524" w:rsidRPr="00953524" w:rsidRDefault="00953524" w:rsidP="00953524">
      <w:pPr>
        <w:rPr>
          <w:lang w:eastAsia="lt-LT"/>
        </w:rPr>
      </w:pPr>
    </w:p>
    <w:p w14:paraId="6D985D5A" w14:textId="77777777" w:rsidR="00953524" w:rsidRDefault="00953524" w:rsidP="00953524">
      <w:pPr>
        <w:rPr>
          <w:lang w:eastAsia="lt-LT"/>
        </w:rPr>
      </w:pPr>
    </w:p>
    <w:p w14:paraId="0942266E" w14:textId="77777777" w:rsidR="00725FC7" w:rsidRDefault="00725FC7" w:rsidP="00953524">
      <w:pPr>
        <w:rPr>
          <w:lang w:eastAsia="lt-LT"/>
        </w:rPr>
      </w:pPr>
    </w:p>
    <w:p w14:paraId="49C9109E" w14:textId="77777777" w:rsidR="00492F38" w:rsidRDefault="00492F38" w:rsidP="00953524">
      <w:pPr>
        <w:rPr>
          <w:lang w:eastAsia="lt-LT"/>
        </w:rPr>
      </w:pPr>
    </w:p>
    <w:p w14:paraId="418F6241" w14:textId="77777777" w:rsidR="007F2B73" w:rsidRDefault="007F2B73" w:rsidP="00492F38">
      <w:pPr>
        <w:pStyle w:val="1ant"/>
        <w:rPr>
          <w:rStyle w:val="Heading1Char"/>
          <w:rFonts w:ascii="Times New Roman" w:hAnsi="Times New Roman" w:cs="Times New Roman"/>
          <w:b/>
          <w:bCs w:val="0"/>
          <w:color w:val="000000"/>
        </w:rPr>
      </w:pPr>
      <w:bookmarkStart w:id="9" w:name="_Toc342245431"/>
      <w:bookmarkStart w:id="10" w:name="_Toc342326724"/>
      <w:bookmarkStart w:id="11" w:name="_Toc342488497"/>
      <w:bookmarkStart w:id="12" w:name="_Toc343430496"/>
      <w:bookmarkStart w:id="13" w:name="_Toc343460509"/>
    </w:p>
    <w:p w14:paraId="34B91DD2" w14:textId="77777777" w:rsidR="00492F38" w:rsidRPr="009900EC" w:rsidRDefault="00492F38" w:rsidP="009900EC">
      <w:pPr>
        <w:jc w:val="center"/>
        <w:rPr>
          <w:rStyle w:val="Heading1Char"/>
          <w:rFonts w:ascii="Times New Roman" w:hAnsi="Times New Roman" w:cs="Times New Roman"/>
          <w:bCs w:val="0"/>
          <w:color w:val="000000"/>
        </w:rPr>
      </w:pPr>
      <w:r w:rsidRPr="009900EC">
        <w:rPr>
          <w:rStyle w:val="Heading1Char"/>
          <w:rFonts w:ascii="Times New Roman" w:hAnsi="Times New Roman" w:cs="Times New Roman"/>
          <w:bCs w:val="0"/>
          <w:color w:val="000000"/>
        </w:rPr>
        <w:t>LENTELĖS</w:t>
      </w:r>
      <w:bookmarkEnd w:id="9"/>
      <w:bookmarkEnd w:id="10"/>
      <w:bookmarkEnd w:id="11"/>
      <w:bookmarkEnd w:id="12"/>
      <w:bookmarkEnd w:id="13"/>
    </w:p>
    <w:p w14:paraId="3CB9E2B2" w14:textId="77777777" w:rsidR="007F2B73" w:rsidRDefault="007F2B73" w:rsidP="00492F38">
      <w:pPr>
        <w:pStyle w:val="1ant"/>
        <w:rPr>
          <w:rStyle w:val="Heading1Char"/>
          <w:rFonts w:ascii="Times New Roman" w:hAnsi="Times New Roman" w:cs="Times New Roman"/>
          <w:b/>
          <w:bCs w:val="0"/>
          <w:color w:val="000000"/>
        </w:rPr>
      </w:pPr>
    </w:p>
    <w:p w14:paraId="423AA599" w14:textId="77777777" w:rsidR="00BF37B9" w:rsidRPr="00BF37B9" w:rsidRDefault="009900EC" w:rsidP="00BF37B9">
      <w:pPr>
        <w:pStyle w:val="TableofFigures"/>
        <w:spacing w:line="360" w:lineRule="auto"/>
        <w:rPr>
          <w:rFonts w:ascii="Times New Roman" w:eastAsiaTheme="minorEastAsia" w:hAnsi="Times New Roman" w:cs="Times New Roman"/>
          <w:noProof/>
          <w:szCs w:val="24"/>
          <w:lang w:val="cs-CZ" w:eastAsia="ja-JP"/>
        </w:rPr>
      </w:pPr>
      <w:r w:rsidRPr="00BF37B9">
        <w:rPr>
          <w:rStyle w:val="Heading1Char"/>
          <w:rFonts w:ascii="Times New Roman" w:hAnsi="Times New Roman" w:cs="Times New Roman"/>
          <w:b w:val="0"/>
          <w:bCs w:val="0"/>
          <w:color w:val="000000"/>
          <w:sz w:val="24"/>
          <w:szCs w:val="24"/>
        </w:rPr>
        <w:fldChar w:fldCharType="begin"/>
      </w:r>
      <w:r w:rsidRPr="00BF37B9">
        <w:rPr>
          <w:rStyle w:val="Heading1Char"/>
          <w:rFonts w:ascii="Times New Roman" w:hAnsi="Times New Roman" w:cs="Times New Roman"/>
          <w:b w:val="0"/>
          <w:bCs w:val="0"/>
          <w:color w:val="000000"/>
          <w:sz w:val="24"/>
          <w:szCs w:val="24"/>
        </w:rPr>
        <w:instrText xml:space="preserve"> TOC \f \t "1 ant" \c </w:instrText>
      </w:r>
      <w:r w:rsidRPr="00BF37B9">
        <w:rPr>
          <w:rStyle w:val="Heading1Char"/>
          <w:rFonts w:ascii="Times New Roman" w:hAnsi="Times New Roman" w:cs="Times New Roman"/>
          <w:b w:val="0"/>
          <w:bCs w:val="0"/>
          <w:color w:val="000000"/>
          <w:sz w:val="24"/>
          <w:szCs w:val="24"/>
        </w:rPr>
        <w:fldChar w:fldCharType="separate"/>
      </w:r>
      <w:r w:rsidR="00BF37B9" w:rsidRPr="00BF37B9">
        <w:rPr>
          <w:rFonts w:ascii="Times New Roman" w:hAnsi="Times New Roman" w:cs="Times New Roman"/>
          <w:noProof/>
          <w:szCs w:val="24"/>
        </w:rPr>
        <w:t>1 lentelė. Finansinės veiklos vertinimo metodai</w:t>
      </w:r>
      <w:r w:rsidR="00BF37B9" w:rsidRPr="00BF37B9">
        <w:rPr>
          <w:rFonts w:ascii="Times New Roman" w:hAnsi="Times New Roman" w:cs="Times New Roman"/>
          <w:noProof/>
          <w:szCs w:val="24"/>
        </w:rPr>
        <w:tab/>
      </w:r>
      <w:r w:rsidR="00BF37B9" w:rsidRPr="00BF37B9">
        <w:rPr>
          <w:rFonts w:ascii="Times New Roman" w:hAnsi="Times New Roman" w:cs="Times New Roman"/>
          <w:noProof/>
          <w:szCs w:val="24"/>
        </w:rPr>
        <w:fldChar w:fldCharType="begin"/>
      </w:r>
      <w:r w:rsidR="00BF37B9" w:rsidRPr="00BF37B9">
        <w:rPr>
          <w:rFonts w:ascii="Times New Roman" w:hAnsi="Times New Roman" w:cs="Times New Roman"/>
          <w:noProof/>
          <w:szCs w:val="24"/>
        </w:rPr>
        <w:instrText xml:space="preserve"> PAGEREF _Toc227595957 \h </w:instrText>
      </w:r>
      <w:r w:rsidR="00BF37B9" w:rsidRPr="00BF37B9">
        <w:rPr>
          <w:rFonts w:ascii="Times New Roman" w:hAnsi="Times New Roman" w:cs="Times New Roman"/>
          <w:noProof/>
          <w:szCs w:val="24"/>
        </w:rPr>
      </w:r>
      <w:r w:rsidR="00BF37B9" w:rsidRPr="00BF37B9">
        <w:rPr>
          <w:rFonts w:ascii="Times New Roman" w:hAnsi="Times New Roman" w:cs="Times New Roman"/>
          <w:noProof/>
          <w:szCs w:val="24"/>
        </w:rPr>
        <w:fldChar w:fldCharType="separate"/>
      </w:r>
      <w:r w:rsidR="004E51DB">
        <w:rPr>
          <w:rFonts w:ascii="Times New Roman" w:hAnsi="Times New Roman" w:cs="Times New Roman"/>
          <w:noProof/>
          <w:szCs w:val="24"/>
        </w:rPr>
        <w:t>9</w:t>
      </w:r>
      <w:r w:rsidR="00BF37B9" w:rsidRPr="00BF37B9">
        <w:rPr>
          <w:rFonts w:ascii="Times New Roman" w:hAnsi="Times New Roman" w:cs="Times New Roman"/>
          <w:noProof/>
          <w:szCs w:val="24"/>
        </w:rPr>
        <w:fldChar w:fldCharType="end"/>
      </w:r>
    </w:p>
    <w:p w14:paraId="5EEFBDBD"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bCs/>
          <w:noProof/>
          <w:szCs w:val="24"/>
        </w:rPr>
        <w:t>2 lentelė. Biržoje kotiruojamų Lietuvos įmonių sąrašas</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_Toc227595958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31</w:t>
      </w:r>
      <w:r w:rsidRPr="00BF37B9">
        <w:rPr>
          <w:rFonts w:ascii="Times New Roman" w:hAnsi="Times New Roman" w:cs="Times New Roman"/>
          <w:noProof/>
          <w:szCs w:val="24"/>
        </w:rPr>
        <w:fldChar w:fldCharType="end"/>
      </w:r>
    </w:p>
    <w:p w14:paraId="2E4EEFBA"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3 lentelė. AB „Invalda“ likvidumo rodiklių dinamika 2008-2012 m.</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_Toc227595959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38</w:t>
      </w:r>
      <w:r w:rsidRPr="00BF37B9">
        <w:rPr>
          <w:rFonts w:ascii="Times New Roman" w:hAnsi="Times New Roman" w:cs="Times New Roman"/>
          <w:noProof/>
          <w:szCs w:val="24"/>
        </w:rPr>
        <w:fldChar w:fldCharType="end"/>
      </w:r>
    </w:p>
    <w:p w14:paraId="254F73E9"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4 lentelė. AB „Klaipėdos nafta“ likvidumo rodiklių dinamika 2008-2012 m.</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_Toc227595960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39</w:t>
      </w:r>
      <w:r w:rsidRPr="00BF37B9">
        <w:rPr>
          <w:rFonts w:ascii="Times New Roman" w:hAnsi="Times New Roman" w:cs="Times New Roman"/>
          <w:noProof/>
          <w:szCs w:val="24"/>
        </w:rPr>
        <w:fldChar w:fldCharType="end"/>
      </w:r>
    </w:p>
    <w:p w14:paraId="741E741A"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5 lentelė. AB „Lesto“ likvidumo rodiklių dinamika 2008-2012 m.</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_Toc227595961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40</w:t>
      </w:r>
      <w:r w:rsidRPr="00BF37B9">
        <w:rPr>
          <w:rFonts w:ascii="Times New Roman" w:hAnsi="Times New Roman" w:cs="Times New Roman"/>
          <w:noProof/>
          <w:szCs w:val="24"/>
        </w:rPr>
        <w:fldChar w:fldCharType="end"/>
      </w:r>
    </w:p>
    <w:p w14:paraId="4F590E11"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6 lentelė. AB „Lietuvos energija“ likvidumo rodiklių dinamika 2008-2012 m.</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_Toc227595962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41</w:t>
      </w:r>
      <w:r w:rsidRPr="00BF37B9">
        <w:rPr>
          <w:rFonts w:ascii="Times New Roman" w:hAnsi="Times New Roman" w:cs="Times New Roman"/>
          <w:noProof/>
          <w:szCs w:val="24"/>
        </w:rPr>
        <w:fldChar w:fldCharType="end"/>
      </w:r>
    </w:p>
    <w:p w14:paraId="267D8F7F"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7 lentelė. AB „Litgrid“ likvidumo rodiklių dinamika 2008-2012 m.</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_Toc227595963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44</w:t>
      </w:r>
      <w:r w:rsidRPr="00BF37B9">
        <w:rPr>
          <w:rFonts w:ascii="Times New Roman" w:hAnsi="Times New Roman" w:cs="Times New Roman"/>
          <w:noProof/>
          <w:szCs w:val="24"/>
        </w:rPr>
        <w:fldChar w:fldCharType="end"/>
      </w:r>
    </w:p>
    <w:p w14:paraId="39F6D580"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8 lentelė. AB „Sanitas“ likvidumo rodiklių dinamika 2008-2012 m.</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_Toc227595964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49</w:t>
      </w:r>
      <w:r w:rsidRPr="00BF37B9">
        <w:rPr>
          <w:rFonts w:ascii="Times New Roman" w:hAnsi="Times New Roman" w:cs="Times New Roman"/>
          <w:noProof/>
          <w:szCs w:val="24"/>
        </w:rPr>
        <w:fldChar w:fldCharType="end"/>
      </w:r>
    </w:p>
    <w:p w14:paraId="4D696B96"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9 lentelė. AB „TEO LT“ likvidumo rodiklių dinamika 2008-2012 m.</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_Toc227595965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50</w:t>
      </w:r>
      <w:r w:rsidRPr="00BF37B9">
        <w:rPr>
          <w:rFonts w:ascii="Times New Roman" w:hAnsi="Times New Roman" w:cs="Times New Roman"/>
          <w:noProof/>
          <w:szCs w:val="24"/>
        </w:rPr>
        <w:fldChar w:fldCharType="end"/>
      </w:r>
    </w:p>
    <w:p w14:paraId="60513C65"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10 lentelė. Tyrimo rezultatai: likvidumas, likvidumo dinamika ir perspektyvos</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_Toc227595966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53</w:t>
      </w:r>
      <w:r w:rsidRPr="00BF37B9">
        <w:rPr>
          <w:rFonts w:ascii="Times New Roman" w:hAnsi="Times New Roman" w:cs="Times New Roman"/>
          <w:noProof/>
          <w:szCs w:val="24"/>
        </w:rPr>
        <w:fldChar w:fldCharType="end"/>
      </w:r>
    </w:p>
    <w:p w14:paraId="2786E5E7"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lang w:val="en-US"/>
        </w:rPr>
        <w:t>10 lentel</w:t>
      </w:r>
      <w:r w:rsidRPr="00BF37B9">
        <w:rPr>
          <w:rFonts w:ascii="Times New Roman" w:hAnsi="Times New Roman" w:cs="Times New Roman"/>
          <w:noProof/>
          <w:szCs w:val="24"/>
        </w:rPr>
        <w:t>ė. Veiksniai ribojantys likvidumo valdymo efektyvumą</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_Toc227595967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56</w:t>
      </w:r>
      <w:r w:rsidRPr="00BF37B9">
        <w:rPr>
          <w:rFonts w:ascii="Times New Roman" w:hAnsi="Times New Roman" w:cs="Times New Roman"/>
          <w:noProof/>
          <w:szCs w:val="24"/>
        </w:rPr>
        <w:fldChar w:fldCharType="end"/>
      </w:r>
    </w:p>
    <w:p w14:paraId="7D2EA861"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11 lentelė. Ekspertinio vertinimo anketa</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_Toc227595968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57</w:t>
      </w:r>
      <w:r w:rsidRPr="00BF37B9">
        <w:rPr>
          <w:rFonts w:ascii="Times New Roman" w:hAnsi="Times New Roman" w:cs="Times New Roman"/>
          <w:noProof/>
          <w:szCs w:val="24"/>
        </w:rPr>
        <w:fldChar w:fldCharType="end"/>
      </w:r>
    </w:p>
    <w:p w14:paraId="01FE8CCD"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12 lentelė. Grupiniai alternatyvų įverčiai</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_Toc227595969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59</w:t>
      </w:r>
      <w:r w:rsidRPr="00BF37B9">
        <w:rPr>
          <w:rFonts w:ascii="Times New Roman" w:hAnsi="Times New Roman" w:cs="Times New Roman"/>
          <w:noProof/>
          <w:szCs w:val="24"/>
        </w:rPr>
        <w:fldChar w:fldCharType="end"/>
      </w:r>
    </w:p>
    <w:p w14:paraId="1D6C35D1"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13 lentelė. Apskaičiuota elementų suma</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_Toc227595970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60</w:t>
      </w:r>
      <w:r w:rsidRPr="00BF37B9">
        <w:rPr>
          <w:rFonts w:ascii="Times New Roman" w:hAnsi="Times New Roman" w:cs="Times New Roman"/>
          <w:noProof/>
          <w:szCs w:val="24"/>
        </w:rPr>
        <w:fldChar w:fldCharType="end"/>
      </w:r>
    </w:p>
    <w:p w14:paraId="5B59663F" w14:textId="77777777" w:rsidR="00BF37B9" w:rsidRPr="00BF37B9" w:rsidRDefault="00BF37B9" w:rsidP="00BF37B9">
      <w:pPr>
        <w:pStyle w:val="TableofFigures"/>
        <w:spacing w:line="360" w:lineRule="auto"/>
        <w:rPr>
          <w:rFonts w:ascii="Times New Roman" w:eastAsiaTheme="minorEastAsia" w:hAnsi="Times New Roman" w:cs="Times New Roman"/>
          <w:noProof/>
          <w:szCs w:val="24"/>
          <w:lang w:val="cs-CZ" w:eastAsia="ja-JP"/>
        </w:rPr>
      </w:pPr>
      <w:r w:rsidRPr="00BF37B9">
        <w:rPr>
          <w:rFonts w:ascii="Times New Roman" w:hAnsi="Times New Roman" w:cs="Times New Roman"/>
          <w:noProof/>
          <w:szCs w:val="24"/>
        </w:rPr>
        <w:t>14 lentelė. Kompetencijos koeficiento įvertis</w:t>
      </w:r>
      <w:r w:rsidRPr="00BF37B9">
        <w:rPr>
          <w:rFonts w:ascii="Times New Roman" w:hAnsi="Times New Roman" w:cs="Times New Roman"/>
          <w:noProof/>
          <w:szCs w:val="24"/>
        </w:rPr>
        <w:tab/>
      </w:r>
      <w:r w:rsidRPr="00BF37B9">
        <w:rPr>
          <w:rFonts w:ascii="Times New Roman" w:hAnsi="Times New Roman" w:cs="Times New Roman"/>
          <w:noProof/>
          <w:szCs w:val="24"/>
        </w:rPr>
        <w:fldChar w:fldCharType="begin"/>
      </w:r>
      <w:r w:rsidRPr="00BF37B9">
        <w:rPr>
          <w:rFonts w:ascii="Times New Roman" w:hAnsi="Times New Roman" w:cs="Times New Roman"/>
          <w:noProof/>
          <w:szCs w:val="24"/>
        </w:rPr>
        <w:instrText xml:space="preserve"> PAGEREF _Toc227595971 \h </w:instrText>
      </w:r>
      <w:r w:rsidRPr="00BF37B9">
        <w:rPr>
          <w:rFonts w:ascii="Times New Roman" w:hAnsi="Times New Roman" w:cs="Times New Roman"/>
          <w:noProof/>
          <w:szCs w:val="24"/>
        </w:rPr>
      </w:r>
      <w:r w:rsidRPr="00BF37B9">
        <w:rPr>
          <w:rFonts w:ascii="Times New Roman" w:hAnsi="Times New Roman" w:cs="Times New Roman"/>
          <w:noProof/>
          <w:szCs w:val="24"/>
        </w:rPr>
        <w:fldChar w:fldCharType="separate"/>
      </w:r>
      <w:r w:rsidR="004E51DB">
        <w:rPr>
          <w:rFonts w:ascii="Times New Roman" w:hAnsi="Times New Roman" w:cs="Times New Roman"/>
          <w:noProof/>
          <w:szCs w:val="24"/>
        </w:rPr>
        <w:t>60</w:t>
      </w:r>
      <w:r w:rsidRPr="00BF37B9">
        <w:rPr>
          <w:rFonts w:ascii="Times New Roman" w:hAnsi="Times New Roman" w:cs="Times New Roman"/>
          <w:noProof/>
          <w:szCs w:val="24"/>
        </w:rPr>
        <w:fldChar w:fldCharType="end"/>
      </w:r>
    </w:p>
    <w:p w14:paraId="0FB46F22" w14:textId="77777777" w:rsidR="007F2B73" w:rsidRDefault="009900EC" w:rsidP="00BF37B9">
      <w:pPr>
        <w:pStyle w:val="TableofFigures"/>
        <w:spacing w:line="360" w:lineRule="auto"/>
        <w:rPr>
          <w:rFonts w:eastAsiaTheme="minorEastAsia"/>
          <w:i/>
          <w:noProof/>
          <w:szCs w:val="24"/>
          <w:lang w:val="cs-CZ" w:eastAsia="ja-JP"/>
        </w:rPr>
      </w:pPr>
      <w:r w:rsidRPr="00BF37B9">
        <w:rPr>
          <w:rStyle w:val="Heading1Char"/>
          <w:rFonts w:ascii="Times New Roman" w:hAnsi="Times New Roman" w:cs="Times New Roman"/>
          <w:b w:val="0"/>
          <w:bCs w:val="0"/>
          <w:color w:val="000000"/>
          <w:sz w:val="24"/>
          <w:szCs w:val="24"/>
        </w:rPr>
        <w:fldChar w:fldCharType="end"/>
      </w:r>
      <w:r w:rsidR="007F2B73">
        <w:rPr>
          <w:rStyle w:val="Heading1Char"/>
          <w:rFonts w:ascii="Times New Roman" w:hAnsi="Times New Roman" w:cs="Times New Roman"/>
          <w:b w:val="0"/>
          <w:bCs w:val="0"/>
          <w:color w:val="000000"/>
        </w:rPr>
        <w:fldChar w:fldCharType="begin"/>
      </w:r>
      <w:r w:rsidR="007F2B73">
        <w:rPr>
          <w:rStyle w:val="Heading1Char"/>
          <w:rFonts w:ascii="Times New Roman" w:hAnsi="Times New Roman" w:cs="Times New Roman"/>
          <w:b w:val="0"/>
          <w:bCs w:val="0"/>
          <w:color w:val="000000"/>
        </w:rPr>
        <w:instrText xml:space="preserve"> TOC \f E \t "Caption,Caption E" \c </w:instrText>
      </w:r>
      <w:r w:rsidR="007F2B73">
        <w:rPr>
          <w:rStyle w:val="Heading1Char"/>
          <w:rFonts w:ascii="Times New Roman" w:hAnsi="Times New Roman" w:cs="Times New Roman"/>
          <w:b w:val="0"/>
          <w:bCs w:val="0"/>
          <w:color w:val="000000"/>
        </w:rPr>
        <w:fldChar w:fldCharType="separate"/>
      </w:r>
    </w:p>
    <w:p w14:paraId="18182294" w14:textId="77777777" w:rsidR="00492F38" w:rsidRDefault="007F2B73" w:rsidP="00492F38">
      <w:pPr>
        <w:pStyle w:val="1ant"/>
        <w:rPr>
          <w:rStyle w:val="Heading1Char"/>
          <w:rFonts w:ascii="Times New Roman" w:hAnsi="Times New Roman" w:cs="Times New Roman"/>
          <w:b/>
          <w:bCs w:val="0"/>
          <w:color w:val="000000"/>
        </w:rPr>
      </w:pPr>
      <w:r>
        <w:rPr>
          <w:rStyle w:val="Heading1Char"/>
          <w:rFonts w:ascii="Times New Roman" w:hAnsi="Times New Roman" w:cs="Times New Roman"/>
          <w:b/>
          <w:bCs w:val="0"/>
          <w:color w:val="000000"/>
        </w:rPr>
        <w:fldChar w:fldCharType="end"/>
      </w:r>
      <w:r w:rsidR="00A96EAC">
        <w:rPr>
          <w:rStyle w:val="Heading1Char"/>
          <w:rFonts w:ascii="Times New Roman" w:hAnsi="Times New Roman" w:cs="Times New Roman"/>
          <w:b/>
          <w:bCs w:val="0"/>
          <w:color w:val="000000"/>
        </w:rPr>
        <w:fldChar w:fldCharType="begin"/>
      </w:r>
      <w:r w:rsidR="0070433E">
        <w:rPr>
          <w:rStyle w:val="Heading1Char"/>
          <w:rFonts w:ascii="Times New Roman" w:hAnsi="Times New Roman" w:cs="Times New Roman"/>
          <w:b/>
          <w:bCs w:val="0"/>
          <w:color w:val="000000"/>
        </w:rPr>
        <w:instrText xml:space="preserve"> TOC \h \z \c "Lentelė" </w:instrText>
      </w:r>
      <w:r w:rsidR="00A96EAC">
        <w:rPr>
          <w:rStyle w:val="Heading1Char"/>
          <w:rFonts w:ascii="Times New Roman" w:hAnsi="Times New Roman" w:cs="Times New Roman"/>
          <w:b/>
          <w:bCs w:val="0"/>
          <w:color w:val="000000"/>
        </w:rPr>
        <w:fldChar w:fldCharType="end"/>
      </w:r>
    </w:p>
    <w:p w14:paraId="70F33638" w14:textId="77777777" w:rsidR="007F2B73" w:rsidRDefault="007F2B73" w:rsidP="00492F38">
      <w:pPr>
        <w:pStyle w:val="1ant"/>
        <w:rPr>
          <w:rStyle w:val="Heading1Char"/>
          <w:rFonts w:ascii="Times New Roman" w:hAnsi="Times New Roman" w:cs="Times New Roman"/>
          <w:b/>
          <w:bCs w:val="0"/>
          <w:color w:val="000000"/>
          <w:sz w:val="24"/>
          <w:szCs w:val="24"/>
        </w:rPr>
      </w:pPr>
      <w:r>
        <w:rPr>
          <w:rStyle w:val="Heading1Char"/>
          <w:rFonts w:ascii="Times New Roman" w:hAnsi="Times New Roman" w:cs="Times New Roman"/>
          <w:b/>
          <w:bCs w:val="0"/>
          <w:color w:val="000000"/>
          <w:sz w:val="24"/>
          <w:szCs w:val="24"/>
        </w:rPr>
        <w:br w:type="page"/>
      </w:r>
    </w:p>
    <w:p w14:paraId="3D73F3DC" w14:textId="77777777" w:rsidR="00492F38" w:rsidRPr="00492F38" w:rsidRDefault="00492F38" w:rsidP="00492F38">
      <w:pPr>
        <w:pStyle w:val="1ant"/>
        <w:rPr>
          <w:rStyle w:val="Heading1Char"/>
          <w:rFonts w:ascii="Times New Roman" w:hAnsi="Times New Roman" w:cs="Times New Roman"/>
          <w:b/>
          <w:bCs w:val="0"/>
          <w:color w:val="000000"/>
          <w:sz w:val="24"/>
          <w:szCs w:val="24"/>
        </w:rPr>
      </w:pPr>
    </w:p>
    <w:p w14:paraId="245F1FF5" w14:textId="77777777" w:rsidR="00492F38" w:rsidRPr="009900EC" w:rsidRDefault="007F2B73" w:rsidP="009900EC">
      <w:pPr>
        <w:jc w:val="center"/>
        <w:rPr>
          <w:rFonts w:ascii="Times" w:hAnsi="Times"/>
          <w:b/>
          <w:sz w:val="28"/>
          <w:szCs w:val="28"/>
        </w:rPr>
      </w:pPr>
      <w:r w:rsidRPr="009900EC">
        <w:rPr>
          <w:rFonts w:ascii="Times" w:hAnsi="Times"/>
          <w:b/>
          <w:sz w:val="28"/>
          <w:szCs w:val="28"/>
        </w:rPr>
        <w:t>PAVEIKSLAI</w:t>
      </w:r>
    </w:p>
    <w:p w14:paraId="7059B618" w14:textId="77777777" w:rsidR="007F2B73" w:rsidRDefault="007F2B73" w:rsidP="00492F38">
      <w:pPr>
        <w:pStyle w:val="1ant"/>
      </w:pPr>
    </w:p>
    <w:p w14:paraId="3CABAA7C"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r>
        <w:rPr>
          <w:b/>
        </w:rPr>
        <w:fldChar w:fldCharType="begin"/>
      </w:r>
      <w:r>
        <w:rPr>
          <w:b/>
        </w:rPr>
        <w:instrText xml:space="preserve"> TOC \f g \t "Caption,1" \c "Figure" </w:instrText>
      </w:r>
      <w:r>
        <w:rPr>
          <w:b/>
        </w:rPr>
        <w:fldChar w:fldCharType="separate"/>
      </w:r>
      <w:bookmarkStart w:id="14" w:name="_Toc227594600"/>
      <w:r>
        <w:rPr>
          <w:noProof/>
        </w:rPr>
        <w:t>1 pav.</w:t>
      </w:r>
      <w:r w:rsidRPr="0080172E">
        <w:rPr>
          <w:i/>
          <w:noProof/>
        </w:rPr>
        <w:t xml:space="preserve"> </w:t>
      </w:r>
      <w:r>
        <w:rPr>
          <w:noProof/>
        </w:rPr>
        <w:t>Įmonės veiklos analizės ekonominės informacijos fondas</w:t>
      </w:r>
      <w:r>
        <w:rPr>
          <w:noProof/>
        </w:rPr>
        <w:tab/>
      </w:r>
      <w:r>
        <w:rPr>
          <w:noProof/>
        </w:rPr>
        <w:fldChar w:fldCharType="begin"/>
      </w:r>
      <w:r>
        <w:rPr>
          <w:noProof/>
        </w:rPr>
        <w:instrText xml:space="preserve"> PAGEREF _Toc227594498 \h </w:instrText>
      </w:r>
      <w:r>
        <w:rPr>
          <w:noProof/>
        </w:rPr>
      </w:r>
      <w:r>
        <w:rPr>
          <w:noProof/>
        </w:rPr>
        <w:fldChar w:fldCharType="separate"/>
      </w:r>
      <w:r w:rsidR="004E51DB">
        <w:rPr>
          <w:noProof/>
        </w:rPr>
        <w:t>8</w:t>
      </w:r>
      <w:bookmarkEnd w:id="14"/>
      <w:r>
        <w:rPr>
          <w:noProof/>
        </w:rPr>
        <w:fldChar w:fldCharType="end"/>
      </w:r>
    </w:p>
    <w:p w14:paraId="20B822F4"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15" w:name="_Toc227594601"/>
      <w:r>
        <w:rPr>
          <w:noProof/>
        </w:rPr>
        <w:t>2 pav. Nelikvidžios įmonės problemos</w:t>
      </w:r>
      <w:r>
        <w:rPr>
          <w:noProof/>
        </w:rPr>
        <w:tab/>
      </w:r>
      <w:r>
        <w:rPr>
          <w:noProof/>
        </w:rPr>
        <w:fldChar w:fldCharType="begin"/>
      </w:r>
      <w:r>
        <w:rPr>
          <w:noProof/>
        </w:rPr>
        <w:instrText xml:space="preserve"> PAGEREF _Toc227594499 \h </w:instrText>
      </w:r>
      <w:r>
        <w:rPr>
          <w:noProof/>
        </w:rPr>
      </w:r>
      <w:r>
        <w:rPr>
          <w:noProof/>
        </w:rPr>
        <w:fldChar w:fldCharType="separate"/>
      </w:r>
      <w:r w:rsidR="004E51DB">
        <w:rPr>
          <w:noProof/>
        </w:rPr>
        <w:t>11</w:t>
      </w:r>
      <w:bookmarkEnd w:id="15"/>
      <w:r>
        <w:rPr>
          <w:noProof/>
        </w:rPr>
        <w:fldChar w:fldCharType="end"/>
      </w:r>
    </w:p>
    <w:p w14:paraId="53219E31"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16" w:name="_Toc227594602"/>
      <w:r>
        <w:rPr>
          <w:noProof/>
        </w:rPr>
        <w:t>3 pav. Apyvartinio kapitalo pinigų srauto ciklas</w:t>
      </w:r>
      <w:r>
        <w:rPr>
          <w:noProof/>
        </w:rPr>
        <w:tab/>
      </w:r>
      <w:r>
        <w:rPr>
          <w:noProof/>
        </w:rPr>
        <w:fldChar w:fldCharType="begin"/>
      </w:r>
      <w:r>
        <w:rPr>
          <w:noProof/>
        </w:rPr>
        <w:instrText xml:space="preserve"> PAGEREF _Toc227594500 \h </w:instrText>
      </w:r>
      <w:r>
        <w:rPr>
          <w:noProof/>
        </w:rPr>
      </w:r>
      <w:r>
        <w:rPr>
          <w:noProof/>
        </w:rPr>
        <w:fldChar w:fldCharType="separate"/>
      </w:r>
      <w:r w:rsidR="004E51DB">
        <w:rPr>
          <w:noProof/>
        </w:rPr>
        <w:t>15</w:t>
      </w:r>
      <w:bookmarkEnd w:id="16"/>
      <w:r>
        <w:rPr>
          <w:noProof/>
        </w:rPr>
        <w:fldChar w:fldCharType="end"/>
      </w:r>
    </w:p>
    <w:p w14:paraId="4BBE9671"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17" w:name="_Toc227594603"/>
      <w:r>
        <w:rPr>
          <w:noProof/>
          <w:lang w:eastAsia="lt-LT"/>
        </w:rPr>
        <w:t xml:space="preserve">4 pav. </w:t>
      </w:r>
      <w:r>
        <w:rPr>
          <w:noProof/>
        </w:rPr>
        <w:t>Biržoje kotiruojamų Lietuvos įmonių klasifikacija pagal pramonės šaką (ICB klas.)</w:t>
      </w:r>
      <w:r>
        <w:rPr>
          <w:noProof/>
        </w:rPr>
        <w:tab/>
      </w:r>
      <w:r>
        <w:rPr>
          <w:noProof/>
        </w:rPr>
        <w:fldChar w:fldCharType="begin"/>
      </w:r>
      <w:r>
        <w:rPr>
          <w:noProof/>
        </w:rPr>
        <w:instrText xml:space="preserve"> PAGEREF _Toc227594501 \h </w:instrText>
      </w:r>
      <w:r>
        <w:rPr>
          <w:noProof/>
        </w:rPr>
      </w:r>
      <w:r>
        <w:rPr>
          <w:noProof/>
        </w:rPr>
        <w:fldChar w:fldCharType="separate"/>
      </w:r>
      <w:r w:rsidR="004E51DB">
        <w:rPr>
          <w:noProof/>
        </w:rPr>
        <w:t>30</w:t>
      </w:r>
      <w:bookmarkEnd w:id="17"/>
      <w:r>
        <w:rPr>
          <w:noProof/>
        </w:rPr>
        <w:fldChar w:fldCharType="end"/>
      </w:r>
    </w:p>
    <w:p w14:paraId="699E4251"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18" w:name="_Toc227594604"/>
      <w:r>
        <w:rPr>
          <w:noProof/>
        </w:rPr>
        <w:t>5 pav. AB „Agrowill Group“ likvidumo rodiklių dinamika 2008-2012 m.</w:t>
      </w:r>
      <w:r>
        <w:rPr>
          <w:noProof/>
        </w:rPr>
        <w:tab/>
      </w:r>
      <w:r>
        <w:rPr>
          <w:noProof/>
        </w:rPr>
        <w:fldChar w:fldCharType="begin"/>
      </w:r>
      <w:r>
        <w:rPr>
          <w:noProof/>
        </w:rPr>
        <w:instrText xml:space="preserve"> PAGEREF _Toc227594502 \h </w:instrText>
      </w:r>
      <w:r>
        <w:rPr>
          <w:noProof/>
        </w:rPr>
      </w:r>
      <w:r>
        <w:rPr>
          <w:noProof/>
        </w:rPr>
        <w:fldChar w:fldCharType="separate"/>
      </w:r>
      <w:r w:rsidR="004E51DB">
        <w:rPr>
          <w:noProof/>
        </w:rPr>
        <w:t>32</w:t>
      </w:r>
      <w:bookmarkEnd w:id="18"/>
      <w:r>
        <w:rPr>
          <w:noProof/>
        </w:rPr>
        <w:fldChar w:fldCharType="end"/>
      </w:r>
    </w:p>
    <w:p w14:paraId="77631263"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19" w:name="_Toc227594605"/>
      <w:r>
        <w:rPr>
          <w:noProof/>
        </w:rPr>
        <w:t>6 pav. AB „Anykščių vynas“ likvidumo rodiklių dinamika 2008-2012 m.</w:t>
      </w:r>
      <w:r>
        <w:rPr>
          <w:noProof/>
        </w:rPr>
        <w:tab/>
      </w:r>
      <w:r>
        <w:rPr>
          <w:noProof/>
        </w:rPr>
        <w:fldChar w:fldCharType="begin"/>
      </w:r>
      <w:r>
        <w:rPr>
          <w:noProof/>
        </w:rPr>
        <w:instrText xml:space="preserve"> PAGEREF _Toc227594503 \h </w:instrText>
      </w:r>
      <w:r>
        <w:rPr>
          <w:noProof/>
        </w:rPr>
      </w:r>
      <w:r>
        <w:rPr>
          <w:noProof/>
        </w:rPr>
        <w:fldChar w:fldCharType="separate"/>
      </w:r>
      <w:r w:rsidR="004E51DB">
        <w:rPr>
          <w:noProof/>
        </w:rPr>
        <w:t>33</w:t>
      </w:r>
      <w:bookmarkEnd w:id="19"/>
      <w:r>
        <w:rPr>
          <w:noProof/>
        </w:rPr>
        <w:fldChar w:fldCharType="end"/>
      </w:r>
    </w:p>
    <w:p w14:paraId="2EC54E8F"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0" w:name="_Toc227594606"/>
      <w:r>
        <w:rPr>
          <w:noProof/>
        </w:rPr>
        <w:t>7 pav. APB „Apranga“ likvidumo rodiklių dinamika 2008-2012 m.</w:t>
      </w:r>
      <w:r>
        <w:rPr>
          <w:noProof/>
        </w:rPr>
        <w:tab/>
      </w:r>
      <w:r>
        <w:rPr>
          <w:noProof/>
        </w:rPr>
        <w:fldChar w:fldCharType="begin"/>
      </w:r>
      <w:r>
        <w:rPr>
          <w:noProof/>
        </w:rPr>
        <w:instrText xml:space="preserve"> PAGEREF _Toc227594504 \h </w:instrText>
      </w:r>
      <w:r>
        <w:rPr>
          <w:noProof/>
        </w:rPr>
      </w:r>
      <w:r>
        <w:rPr>
          <w:noProof/>
        </w:rPr>
        <w:fldChar w:fldCharType="separate"/>
      </w:r>
      <w:r w:rsidR="004E51DB">
        <w:rPr>
          <w:noProof/>
        </w:rPr>
        <w:t>34</w:t>
      </w:r>
      <w:bookmarkEnd w:id="20"/>
      <w:r>
        <w:rPr>
          <w:noProof/>
        </w:rPr>
        <w:fldChar w:fldCharType="end"/>
      </w:r>
    </w:p>
    <w:p w14:paraId="6263A1AF"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1" w:name="_Toc227594607"/>
      <w:r>
        <w:rPr>
          <w:noProof/>
        </w:rPr>
        <w:t>8 pav. AB „City service“ likvidumo rodiklių dinamika 2008-2012 m.</w:t>
      </w:r>
      <w:r>
        <w:rPr>
          <w:noProof/>
        </w:rPr>
        <w:tab/>
      </w:r>
      <w:r>
        <w:rPr>
          <w:noProof/>
        </w:rPr>
        <w:fldChar w:fldCharType="begin"/>
      </w:r>
      <w:r>
        <w:rPr>
          <w:noProof/>
        </w:rPr>
        <w:instrText xml:space="preserve"> PAGEREF _Toc227594505 \h </w:instrText>
      </w:r>
      <w:r>
        <w:rPr>
          <w:noProof/>
        </w:rPr>
      </w:r>
      <w:r>
        <w:rPr>
          <w:noProof/>
        </w:rPr>
        <w:fldChar w:fldCharType="separate"/>
      </w:r>
      <w:r w:rsidR="004E51DB">
        <w:rPr>
          <w:noProof/>
        </w:rPr>
        <w:t>34</w:t>
      </w:r>
      <w:bookmarkEnd w:id="21"/>
      <w:r>
        <w:rPr>
          <w:noProof/>
        </w:rPr>
        <w:fldChar w:fldCharType="end"/>
      </w:r>
    </w:p>
    <w:p w14:paraId="233E9955"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2" w:name="_Toc227594608"/>
      <w:r>
        <w:rPr>
          <w:noProof/>
        </w:rPr>
        <w:t>9 pav. AB „Dvarčionių keramika“ likvidumo rodiklių dinamika 2008-2012 m.</w:t>
      </w:r>
      <w:r>
        <w:rPr>
          <w:noProof/>
        </w:rPr>
        <w:tab/>
      </w:r>
      <w:r>
        <w:rPr>
          <w:noProof/>
        </w:rPr>
        <w:fldChar w:fldCharType="begin"/>
      </w:r>
      <w:r>
        <w:rPr>
          <w:noProof/>
        </w:rPr>
        <w:instrText xml:space="preserve"> PAGEREF _Toc227594506 \h </w:instrText>
      </w:r>
      <w:r>
        <w:rPr>
          <w:noProof/>
        </w:rPr>
      </w:r>
      <w:r>
        <w:rPr>
          <w:noProof/>
        </w:rPr>
        <w:fldChar w:fldCharType="separate"/>
      </w:r>
      <w:r w:rsidR="004E51DB">
        <w:rPr>
          <w:noProof/>
        </w:rPr>
        <w:t>35</w:t>
      </w:r>
      <w:bookmarkEnd w:id="22"/>
      <w:r>
        <w:rPr>
          <w:noProof/>
        </w:rPr>
        <w:fldChar w:fldCharType="end"/>
      </w:r>
    </w:p>
    <w:p w14:paraId="338D14CA"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3" w:name="_Toc227594609"/>
      <w:r>
        <w:rPr>
          <w:noProof/>
        </w:rPr>
        <w:t>10 pav. AB „Grigiškės“ likvidumo rodiklių dinamika 2008-2012 m.</w:t>
      </w:r>
      <w:r>
        <w:rPr>
          <w:noProof/>
        </w:rPr>
        <w:tab/>
      </w:r>
      <w:r>
        <w:rPr>
          <w:noProof/>
        </w:rPr>
        <w:fldChar w:fldCharType="begin"/>
      </w:r>
      <w:r>
        <w:rPr>
          <w:noProof/>
        </w:rPr>
        <w:instrText xml:space="preserve"> PAGEREF _Toc227594507 \h </w:instrText>
      </w:r>
      <w:r>
        <w:rPr>
          <w:noProof/>
        </w:rPr>
      </w:r>
      <w:r>
        <w:rPr>
          <w:noProof/>
        </w:rPr>
        <w:fldChar w:fldCharType="separate"/>
      </w:r>
      <w:r w:rsidR="004E51DB">
        <w:rPr>
          <w:noProof/>
        </w:rPr>
        <w:t>36</w:t>
      </w:r>
      <w:bookmarkEnd w:id="23"/>
      <w:r>
        <w:rPr>
          <w:noProof/>
        </w:rPr>
        <w:fldChar w:fldCharType="end"/>
      </w:r>
    </w:p>
    <w:p w14:paraId="46636B17"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4" w:name="_Toc227594610"/>
      <w:r>
        <w:rPr>
          <w:noProof/>
        </w:rPr>
        <w:t>11 pav. AB AB „Gubernija“ likvidumo rodiklių dinamika 2008-2012 m.</w:t>
      </w:r>
      <w:r>
        <w:rPr>
          <w:noProof/>
        </w:rPr>
        <w:tab/>
      </w:r>
      <w:r>
        <w:rPr>
          <w:noProof/>
        </w:rPr>
        <w:fldChar w:fldCharType="begin"/>
      </w:r>
      <w:r>
        <w:rPr>
          <w:noProof/>
        </w:rPr>
        <w:instrText xml:space="preserve"> PAGEREF _Toc227594508 \h </w:instrText>
      </w:r>
      <w:r>
        <w:rPr>
          <w:noProof/>
        </w:rPr>
      </w:r>
      <w:r>
        <w:rPr>
          <w:noProof/>
        </w:rPr>
        <w:fldChar w:fldCharType="separate"/>
      </w:r>
      <w:r w:rsidR="004E51DB">
        <w:rPr>
          <w:noProof/>
        </w:rPr>
        <w:t>36</w:t>
      </w:r>
      <w:bookmarkEnd w:id="24"/>
      <w:r>
        <w:rPr>
          <w:noProof/>
        </w:rPr>
        <w:fldChar w:fldCharType="end"/>
      </w:r>
    </w:p>
    <w:p w14:paraId="6F1025CC"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5" w:name="_Toc227594611"/>
      <w:r>
        <w:rPr>
          <w:noProof/>
        </w:rPr>
        <w:t>12 pav. Įmonių grupės „Alita“, AB likvidumo rodiklių dinamika 2008-2012 m.</w:t>
      </w:r>
      <w:r>
        <w:rPr>
          <w:noProof/>
        </w:rPr>
        <w:tab/>
      </w:r>
      <w:r>
        <w:rPr>
          <w:noProof/>
        </w:rPr>
        <w:fldChar w:fldCharType="begin"/>
      </w:r>
      <w:r>
        <w:rPr>
          <w:noProof/>
        </w:rPr>
        <w:instrText xml:space="preserve"> PAGEREF _Toc227594509 \h </w:instrText>
      </w:r>
      <w:r>
        <w:rPr>
          <w:noProof/>
        </w:rPr>
      </w:r>
      <w:r>
        <w:rPr>
          <w:noProof/>
        </w:rPr>
        <w:fldChar w:fldCharType="separate"/>
      </w:r>
      <w:r w:rsidR="004E51DB">
        <w:rPr>
          <w:noProof/>
        </w:rPr>
        <w:t>37</w:t>
      </w:r>
      <w:bookmarkEnd w:id="25"/>
      <w:r>
        <w:rPr>
          <w:noProof/>
        </w:rPr>
        <w:fldChar w:fldCharType="end"/>
      </w:r>
    </w:p>
    <w:p w14:paraId="5986F825"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6" w:name="_Toc227594612"/>
      <w:r>
        <w:rPr>
          <w:noProof/>
        </w:rPr>
        <w:t>13 pav. AB „Kauno energija“ likvidumo rodiklių dinamika 2008-2012 m.</w:t>
      </w:r>
      <w:r>
        <w:rPr>
          <w:noProof/>
        </w:rPr>
        <w:tab/>
      </w:r>
      <w:r>
        <w:rPr>
          <w:noProof/>
        </w:rPr>
        <w:fldChar w:fldCharType="begin"/>
      </w:r>
      <w:r>
        <w:rPr>
          <w:noProof/>
        </w:rPr>
        <w:instrText xml:space="preserve"> PAGEREF _Toc227594510 \h </w:instrText>
      </w:r>
      <w:r>
        <w:rPr>
          <w:noProof/>
        </w:rPr>
      </w:r>
      <w:r>
        <w:rPr>
          <w:noProof/>
        </w:rPr>
        <w:fldChar w:fldCharType="separate"/>
      </w:r>
      <w:r w:rsidR="004E51DB">
        <w:rPr>
          <w:noProof/>
        </w:rPr>
        <w:t>38</w:t>
      </w:r>
      <w:bookmarkEnd w:id="26"/>
      <w:r>
        <w:rPr>
          <w:noProof/>
        </w:rPr>
        <w:fldChar w:fldCharType="end"/>
      </w:r>
    </w:p>
    <w:p w14:paraId="29EA9928"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7" w:name="_Toc227594613"/>
      <w:r>
        <w:rPr>
          <w:noProof/>
        </w:rPr>
        <w:t>14 pav. AB „Klaipėdos baldai“ likvidumo rodiklių dinamika 2008-2012 m.</w:t>
      </w:r>
      <w:r>
        <w:rPr>
          <w:noProof/>
        </w:rPr>
        <w:tab/>
      </w:r>
      <w:r>
        <w:rPr>
          <w:noProof/>
        </w:rPr>
        <w:fldChar w:fldCharType="begin"/>
      </w:r>
      <w:r>
        <w:rPr>
          <w:noProof/>
        </w:rPr>
        <w:instrText xml:space="preserve"> PAGEREF _Toc227594511 \h </w:instrText>
      </w:r>
      <w:r>
        <w:rPr>
          <w:noProof/>
        </w:rPr>
      </w:r>
      <w:r>
        <w:rPr>
          <w:noProof/>
        </w:rPr>
        <w:fldChar w:fldCharType="separate"/>
      </w:r>
      <w:r w:rsidR="004E51DB">
        <w:rPr>
          <w:noProof/>
        </w:rPr>
        <w:t>39</w:t>
      </w:r>
      <w:bookmarkEnd w:id="27"/>
      <w:r>
        <w:rPr>
          <w:noProof/>
        </w:rPr>
        <w:fldChar w:fldCharType="end"/>
      </w:r>
    </w:p>
    <w:p w14:paraId="280254B8"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8" w:name="_Toc227594614"/>
      <w:r>
        <w:rPr>
          <w:noProof/>
        </w:rPr>
        <w:t>15 pav. AB „Lietuvos dujos“ likvidumo rodiklių dinamika 2008-2012 m.</w:t>
      </w:r>
      <w:r>
        <w:rPr>
          <w:noProof/>
        </w:rPr>
        <w:tab/>
      </w:r>
      <w:r>
        <w:rPr>
          <w:noProof/>
        </w:rPr>
        <w:fldChar w:fldCharType="begin"/>
      </w:r>
      <w:r>
        <w:rPr>
          <w:noProof/>
        </w:rPr>
        <w:instrText xml:space="preserve"> PAGEREF _Toc227594512 \h </w:instrText>
      </w:r>
      <w:r>
        <w:rPr>
          <w:noProof/>
        </w:rPr>
      </w:r>
      <w:r>
        <w:rPr>
          <w:noProof/>
        </w:rPr>
        <w:fldChar w:fldCharType="separate"/>
      </w:r>
      <w:r w:rsidR="004E51DB">
        <w:rPr>
          <w:noProof/>
        </w:rPr>
        <w:t>40</w:t>
      </w:r>
      <w:bookmarkEnd w:id="28"/>
      <w:r>
        <w:rPr>
          <w:noProof/>
        </w:rPr>
        <w:fldChar w:fldCharType="end"/>
      </w:r>
    </w:p>
    <w:p w14:paraId="7C78F1BA"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29" w:name="_Toc227594615"/>
      <w:r>
        <w:rPr>
          <w:noProof/>
        </w:rPr>
        <w:t>16 pav. AB „Lietuvos jūrų laivininkystė“ likvidumo rodiklių dinamika 2008-2012 m.</w:t>
      </w:r>
      <w:r>
        <w:rPr>
          <w:noProof/>
        </w:rPr>
        <w:tab/>
      </w:r>
      <w:r>
        <w:rPr>
          <w:noProof/>
        </w:rPr>
        <w:fldChar w:fldCharType="begin"/>
      </w:r>
      <w:r>
        <w:rPr>
          <w:noProof/>
        </w:rPr>
        <w:instrText xml:space="preserve"> PAGEREF _Toc227594513 \h </w:instrText>
      </w:r>
      <w:r>
        <w:rPr>
          <w:noProof/>
        </w:rPr>
      </w:r>
      <w:r>
        <w:rPr>
          <w:noProof/>
        </w:rPr>
        <w:fldChar w:fldCharType="separate"/>
      </w:r>
      <w:r w:rsidR="004E51DB">
        <w:rPr>
          <w:noProof/>
        </w:rPr>
        <w:t>42</w:t>
      </w:r>
      <w:bookmarkEnd w:id="29"/>
      <w:r>
        <w:rPr>
          <w:noProof/>
        </w:rPr>
        <w:fldChar w:fldCharType="end"/>
      </w:r>
    </w:p>
    <w:p w14:paraId="46DE796F"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0" w:name="_Toc227594616"/>
      <w:r>
        <w:rPr>
          <w:noProof/>
        </w:rPr>
        <w:t>17 pav. AB „Limarko laivininkystės kompanija“ likvidumo rodiklių dinamika 2008-2012 m.</w:t>
      </w:r>
      <w:r>
        <w:rPr>
          <w:noProof/>
        </w:rPr>
        <w:tab/>
      </w:r>
      <w:r>
        <w:rPr>
          <w:noProof/>
        </w:rPr>
        <w:fldChar w:fldCharType="begin"/>
      </w:r>
      <w:r>
        <w:rPr>
          <w:noProof/>
        </w:rPr>
        <w:instrText xml:space="preserve"> PAGEREF _Toc227594514 \h </w:instrText>
      </w:r>
      <w:r>
        <w:rPr>
          <w:noProof/>
        </w:rPr>
      </w:r>
      <w:r>
        <w:rPr>
          <w:noProof/>
        </w:rPr>
        <w:fldChar w:fldCharType="separate"/>
      </w:r>
      <w:r w:rsidR="004E51DB">
        <w:rPr>
          <w:noProof/>
        </w:rPr>
        <w:t>43</w:t>
      </w:r>
      <w:bookmarkEnd w:id="30"/>
      <w:r>
        <w:rPr>
          <w:noProof/>
        </w:rPr>
        <w:fldChar w:fldCharType="end"/>
      </w:r>
    </w:p>
    <w:p w14:paraId="5FE583BE"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1" w:name="_Toc227594617"/>
      <w:r>
        <w:rPr>
          <w:noProof/>
        </w:rPr>
        <w:t>18 pav. AB „Linas“ likvidumo rodiklių dinamika 2008-2012 m.</w:t>
      </w:r>
      <w:r>
        <w:rPr>
          <w:noProof/>
        </w:rPr>
        <w:tab/>
      </w:r>
      <w:r>
        <w:rPr>
          <w:noProof/>
        </w:rPr>
        <w:fldChar w:fldCharType="begin"/>
      </w:r>
      <w:r>
        <w:rPr>
          <w:noProof/>
        </w:rPr>
        <w:instrText xml:space="preserve"> PAGEREF _Toc227594515 \h </w:instrText>
      </w:r>
      <w:r>
        <w:rPr>
          <w:noProof/>
        </w:rPr>
      </w:r>
      <w:r>
        <w:rPr>
          <w:noProof/>
        </w:rPr>
        <w:fldChar w:fldCharType="separate"/>
      </w:r>
      <w:r w:rsidR="004E51DB">
        <w:rPr>
          <w:noProof/>
        </w:rPr>
        <w:t>43</w:t>
      </w:r>
      <w:bookmarkEnd w:id="31"/>
      <w:r>
        <w:rPr>
          <w:noProof/>
        </w:rPr>
        <w:fldChar w:fldCharType="end"/>
      </w:r>
    </w:p>
    <w:p w14:paraId="02FC09DC"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2" w:name="_Toc227594618"/>
      <w:r>
        <w:rPr>
          <w:noProof/>
        </w:rPr>
        <w:t>19 pav. AB „Linas Agro“ likvidumo rodiklių dinamika 2008-2012 m.</w:t>
      </w:r>
      <w:r>
        <w:rPr>
          <w:noProof/>
        </w:rPr>
        <w:tab/>
      </w:r>
      <w:r>
        <w:rPr>
          <w:noProof/>
        </w:rPr>
        <w:fldChar w:fldCharType="begin"/>
      </w:r>
      <w:r>
        <w:rPr>
          <w:noProof/>
        </w:rPr>
        <w:instrText xml:space="preserve"> PAGEREF _Toc227594516 \h </w:instrText>
      </w:r>
      <w:r>
        <w:rPr>
          <w:noProof/>
        </w:rPr>
      </w:r>
      <w:r>
        <w:rPr>
          <w:noProof/>
        </w:rPr>
        <w:fldChar w:fldCharType="separate"/>
      </w:r>
      <w:r w:rsidR="004E51DB">
        <w:rPr>
          <w:noProof/>
        </w:rPr>
        <w:t>44</w:t>
      </w:r>
      <w:bookmarkEnd w:id="32"/>
      <w:r>
        <w:rPr>
          <w:noProof/>
        </w:rPr>
        <w:fldChar w:fldCharType="end"/>
      </w:r>
    </w:p>
    <w:p w14:paraId="1A12FDBD"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3" w:name="_Toc227594619"/>
      <w:r>
        <w:rPr>
          <w:noProof/>
        </w:rPr>
        <w:t>20 pav. AB „Panevėžio statybos trestas“ likvidumo rodiklių dinamika 2008-2012 m.</w:t>
      </w:r>
      <w:r>
        <w:rPr>
          <w:noProof/>
        </w:rPr>
        <w:tab/>
      </w:r>
      <w:r>
        <w:rPr>
          <w:noProof/>
        </w:rPr>
        <w:fldChar w:fldCharType="begin"/>
      </w:r>
      <w:r>
        <w:rPr>
          <w:noProof/>
        </w:rPr>
        <w:instrText xml:space="preserve"> PAGEREF _Toc227594517 \h </w:instrText>
      </w:r>
      <w:r>
        <w:rPr>
          <w:noProof/>
        </w:rPr>
      </w:r>
      <w:r>
        <w:rPr>
          <w:noProof/>
        </w:rPr>
        <w:fldChar w:fldCharType="separate"/>
      </w:r>
      <w:r w:rsidR="004E51DB">
        <w:rPr>
          <w:noProof/>
        </w:rPr>
        <w:t>45</w:t>
      </w:r>
      <w:bookmarkEnd w:id="33"/>
      <w:r>
        <w:rPr>
          <w:noProof/>
        </w:rPr>
        <w:fldChar w:fldCharType="end"/>
      </w:r>
    </w:p>
    <w:p w14:paraId="659CF3B5"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4" w:name="_Toc227594620"/>
      <w:r>
        <w:rPr>
          <w:noProof/>
        </w:rPr>
        <w:t>21 pav. AB „Pieno žvaigždės“ likvidumo rodiklių dinamika 2008-2012 m.</w:t>
      </w:r>
      <w:r>
        <w:rPr>
          <w:noProof/>
        </w:rPr>
        <w:tab/>
      </w:r>
      <w:r>
        <w:rPr>
          <w:noProof/>
        </w:rPr>
        <w:fldChar w:fldCharType="begin"/>
      </w:r>
      <w:r>
        <w:rPr>
          <w:noProof/>
        </w:rPr>
        <w:instrText xml:space="preserve"> PAGEREF _Toc227594518 \h </w:instrText>
      </w:r>
      <w:r>
        <w:rPr>
          <w:noProof/>
        </w:rPr>
      </w:r>
      <w:r>
        <w:rPr>
          <w:noProof/>
        </w:rPr>
        <w:fldChar w:fldCharType="separate"/>
      </w:r>
      <w:r w:rsidR="004E51DB">
        <w:rPr>
          <w:noProof/>
        </w:rPr>
        <w:t>46</w:t>
      </w:r>
      <w:bookmarkEnd w:id="34"/>
      <w:r>
        <w:rPr>
          <w:noProof/>
        </w:rPr>
        <w:fldChar w:fldCharType="end"/>
      </w:r>
    </w:p>
    <w:p w14:paraId="513E5280"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5" w:name="_Toc227594621"/>
      <w:r>
        <w:rPr>
          <w:noProof/>
        </w:rPr>
        <w:t>22 pav. AB „Rokiškio sūris“ likvidumo rodiklių dinamika 2008-2012 m.</w:t>
      </w:r>
      <w:r>
        <w:rPr>
          <w:noProof/>
        </w:rPr>
        <w:tab/>
      </w:r>
      <w:r>
        <w:rPr>
          <w:noProof/>
        </w:rPr>
        <w:fldChar w:fldCharType="begin"/>
      </w:r>
      <w:r>
        <w:rPr>
          <w:noProof/>
        </w:rPr>
        <w:instrText xml:space="preserve"> PAGEREF _Toc227594519 \h </w:instrText>
      </w:r>
      <w:r>
        <w:rPr>
          <w:noProof/>
        </w:rPr>
      </w:r>
      <w:r>
        <w:rPr>
          <w:noProof/>
        </w:rPr>
        <w:fldChar w:fldCharType="separate"/>
      </w:r>
      <w:r w:rsidR="004E51DB">
        <w:rPr>
          <w:noProof/>
        </w:rPr>
        <w:t>47</w:t>
      </w:r>
      <w:bookmarkEnd w:id="35"/>
      <w:r>
        <w:rPr>
          <w:noProof/>
        </w:rPr>
        <w:fldChar w:fldCharType="end"/>
      </w:r>
    </w:p>
    <w:p w14:paraId="5EEFD9FB"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6" w:name="_Toc227594622"/>
      <w:r>
        <w:rPr>
          <w:noProof/>
        </w:rPr>
        <w:t>23 pav. AB „Vilkyškių pieninė“ likvidumo rodiklių dinamika 2008-2012 m.</w:t>
      </w:r>
      <w:r>
        <w:rPr>
          <w:noProof/>
        </w:rPr>
        <w:tab/>
      </w:r>
      <w:r>
        <w:rPr>
          <w:noProof/>
        </w:rPr>
        <w:fldChar w:fldCharType="begin"/>
      </w:r>
      <w:r>
        <w:rPr>
          <w:noProof/>
        </w:rPr>
        <w:instrText xml:space="preserve"> PAGEREF _Toc227594520 \h </w:instrText>
      </w:r>
      <w:r>
        <w:rPr>
          <w:noProof/>
        </w:rPr>
      </w:r>
      <w:r>
        <w:rPr>
          <w:noProof/>
        </w:rPr>
        <w:fldChar w:fldCharType="separate"/>
      </w:r>
      <w:r w:rsidR="004E51DB">
        <w:rPr>
          <w:noProof/>
        </w:rPr>
        <w:t>47</w:t>
      </w:r>
      <w:bookmarkEnd w:id="36"/>
      <w:r>
        <w:rPr>
          <w:noProof/>
        </w:rPr>
        <w:fldChar w:fldCharType="end"/>
      </w:r>
    </w:p>
    <w:p w14:paraId="328A5816"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7" w:name="_Toc227594623"/>
      <w:r>
        <w:rPr>
          <w:noProof/>
        </w:rPr>
        <w:t>24 pav. AB „Žemaitijos pienas“ likvidumo rodiklių dinamika 2008-2012 m.</w:t>
      </w:r>
      <w:r>
        <w:rPr>
          <w:noProof/>
        </w:rPr>
        <w:tab/>
      </w:r>
      <w:r>
        <w:rPr>
          <w:noProof/>
        </w:rPr>
        <w:fldChar w:fldCharType="begin"/>
      </w:r>
      <w:r>
        <w:rPr>
          <w:noProof/>
        </w:rPr>
        <w:instrText xml:space="preserve"> PAGEREF _Toc227594521 \h </w:instrText>
      </w:r>
      <w:r>
        <w:rPr>
          <w:noProof/>
        </w:rPr>
      </w:r>
      <w:r>
        <w:rPr>
          <w:noProof/>
        </w:rPr>
        <w:fldChar w:fldCharType="separate"/>
      </w:r>
      <w:r w:rsidR="004E51DB">
        <w:rPr>
          <w:noProof/>
        </w:rPr>
        <w:t>48</w:t>
      </w:r>
      <w:bookmarkEnd w:id="37"/>
      <w:r>
        <w:rPr>
          <w:noProof/>
        </w:rPr>
        <w:fldChar w:fldCharType="end"/>
      </w:r>
    </w:p>
    <w:p w14:paraId="00621F09"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8" w:name="_Toc227594624"/>
      <w:r>
        <w:rPr>
          <w:noProof/>
        </w:rPr>
        <w:t>25 pav. AB „Snaigė“ likvidumo rodiklių dinamika 2008-2012 m.</w:t>
      </w:r>
      <w:r>
        <w:rPr>
          <w:noProof/>
        </w:rPr>
        <w:tab/>
      </w:r>
      <w:r>
        <w:rPr>
          <w:noProof/>
        </w:rPr>
        <w:fldChar w:fldCharType="begin"/>
      </w:r>
      <w:r>
        <w:rPr>
          <w:noProof/>
        </w:rPr>
        <w:instrText xml:space="preserve"> PAGEREF _Toc227594522 \h </w:instrText>
      </w:r>
      <w:r>
        <w:rPr>
          <w:noProof/>
        </w:rPr>
      </w:r>
      <w:r>
        <w:rPr>
          <w:noProof/>
        </w:rPr>
        <w:fldChar w:fldCharType="separate"/>
      </w:r>
      <w:r w:rsidR="004E51DB">
        <w:rPr>
          <w:noProof/>
        </w:rPr>
        <w:t>49</w:t>
      </w:r>
      <w:bookmarkEnd w:id="38"/>
      <w:r>
        <w:rPr>
          <w:noProof/>
        </w:rPr>
        <w:fldChar w:fldCharType="end"/>
      </w:r>
    </w:p>
    <w:p w14:paraId="4F4D43FB"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39" w:name="_Toc227594625"/>
      <w:r>
        <w:rPr>
          <w:noProof/>
        </w:rPr>
        <w:t>26 pav. AB „Utenos trikotažas“ likvidumo rodiklių dinamika 2008-2012 m.</w:t>
      </w:r>
      <w:r>
        <w:rPr>
          <w:noProof/>
        </w:rPr>
        <w:tab/>
      </w:r>
      <w:r>
        <w:rPr>
          <w:noProof/>
        </w:rPr>
        <w:fldChar w:fldCharType="begin"/>
      </w:r>
      <w:r>
        <w:rPr>
          <w:noProof/>
        </w:rPr>
        <w:instrText xml:space="preserve"> PAGEREF _Toc227594523 \h </w:instrText>
      </w:r>
      <w:r>
        <w:rPr>
          <w:noProof/>
        </w:rPr>
      </w:r>
      <w:r>
        <w:rPr>
          <w:noProof/>
        </w:rPr>
        <w:fldChar w:fldCharType="separate"/>
      </w:r>
      <w:r w:rsidR="004E51DB">
        <w:rPr>
          <w:noProof/>
        </w:rPr>
        <w:t>50</w:t>
      </w:r>
      <w:bookmarkEnd w:id="39"/>
      <w:r>
        <w:rPr>
          <w:noProof/>
        </w:rPr>
        <w:fldChar w:fldCharType="end"/>
      </w:r>
    </w:p>
    <w:p w14:paraId="6235D85D"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40" w:name="_Toc227594626"/>
      <w:r>
        <w:rPr>
          <w:noProof/>
        </w:rPr>
        <w:t>27 pav. AB „Vilniaus baldai“ likvidumo rodiklių dinamika 2008-2012 m.</w:t>
      </w:r>
      <w:r>
        <w:rPr>
          <w:noProof/>
        </w:rPr>
        <w:tab/>
      </w:r>
      <w:r>
        <w:rPr>
          <w:noProof/>
        </w:rPr>
        <w:fldChar w:fldCharType="begin"/>
      </w:r>
      <w:r>
        <w:rPr>
          <w:noProof/>
        </w:rPr>
        <w:instrText xml:space="preserve"> PAGEREF _Toc227594524 \h </w:instrText>
      </w:r>
      <w:r>
        <w:rPr>
          <w:noProof/>
        </w:rPr>
      </w:r>
      <w:r>
        <w:rPr>
          <w:noProof/>
        </w:rPr>
        <w:fldChar w:fldCharType="separate"/>
      </w:r>
      <w:r w:rsidR="004E51DB">
        <w:rPr>
          <w:noProof/>
        </w:rPr>
        <w:t>51</w:t>
      </w:r>
      <w:bookmarkEnd w:id="40"/>
      <w:r>
        <w:rPr>
          <w:noProof/>
        </w:rPr>
        <w:fldChar w:fldCharType="end"/>
      </w:r>
    </w:p>
    <w:p w14:paraId="46BA4A64" w14:textId="77777777" w:rsidR="002525D5" w:rsidRDefault="002525D5" w:rsidP="00BF37B9">
      <w:pPr>
        <w:pStyle w:val="TableofFigures"/>
        <w:spacing w:line="360" w:lineRule="auto"/>
        <w:rPr>
          <w:rFonts w:asciiTheme="minorHAnsi" w:eastAsiaTheme="minorEastAsia" w:hAnsiTheme="minorHAnsi"/>
          <w:noProof/>
          <w:szCs w:val="24"/>
          <w:lang w:val="cs-CZ" w:eastAsia="ja-JP"/>
        </w:rPr>
      </w:pPr>
      <w:bookmarkStart w:id="41" w:name="_Toc227594627"/>
      <w:r>
        <w:rPr>
          <w:noProof/>
        </w:rPr>
        <w:t>28 pav. AB „Vilniaus degtinė“ likvidumo rodiklių dinamika 2008-2012 m.</w:t>
      </w:r>
      <w:r>
        <w:rPr>
          <w:noProof/>
        </w:rPr>
        <w:tab/>
      </w:r>
      <w:r>
        <w:rPr>
          <w:noProof/>
        </w:rPr>
        <w:fldChar w:fldCharType="begin"/>
      </w:r>
      <w:r>
        <w:rPr>
          <w:noProof/>
        </w:rPr>
        <w:instrText xml:space="preserve"> PAGEREF _Toc227594525 \h </w:instrText>
      </w:r>
      <w:r>
        <w:rPr>
          <w:noProof/>
        </w:rPr>
      </w:r>
      <w:r>
        <w:rPr>
          <w:noProof/>
        </w:rPr>
        <w:fldChar w:fldCharType="separate"/>
      </w:r>
      <w:r w:rsidR="004E51DB">
        <w:rPr>
          <w:noProof/>
        </w:rPr>
        <w:t>52</w:t>
      </w:r>
      <w:bookmarkEnd w:id="41"/>
      <w:r>
        <w:rPr>
          <w:noProof/>
        </w:rPr>
        <w:fldChar w:fldCharType="end"/>
      </w:r>
    </w:p>
    <w:p w14:paraId="73C4B9AA" w14:textId="77777777" w:rsidR="007F2B73" w:rsidRPr="007F2B73" w:rsidRDefault="002525D5" w:rsidP="009900EC">
      <w:pPr>
        <w:pStyle w:val="TableofFigures"/>
      </w:pPr>
      <w:r>
        <w:fldChar w:fldCharType="end"/>
      </w:r>
    </w:p>
    <w:p w14:paraId="5D1398B4" w14:textId="77777777" w:rsidR="007F2B73" w:rsidRDefault="007F2B73" w:rsidP="00492F38">
      <w:pPr>
        <w:pStyle w:val="1ant"/>
      </w:pPr>
      <w:r>
        <w:br w:type="page"/>
      </w:r>
    </w:p>
    <w:p w14:paraId="53D62B99" w14:textId="77777777" w:rsidR="007F2B73" w:rsidRPr="00492F38" w:rsidRDefault="007F2B73" w:rsidP="00373521">
      <w:pPr>
        <w:pStyle w:val="1ant"/>
        <w:jc w:val="left"/>
      </w:pPr>
    </w:p>
    <w:p w14:paraId="5A53703C" w14:textId="77777777" w:rsidR="004E677E" w:rsidRPr="009900EC" w:rsidRDefault="004E677E" w:rsidP="009900EC">
      <w:pPr>
        <w:jc w:val="center"/>
        <w:rPr>
          <w:rStyle w:val="1antChar"/>
          <w:rFonts w:eastAsiaTheme="majorEastAsia"/>
          <w:color w:val="auto"/>
        </w:rPr>
      </w:pPr>
      <w:bookmarkStart w:id="42" w:name="_Toc353730648"/>
      <w:r w:rsidRPr="009900EC">
        <w:rPr>
          <w:rStyle w:val="1antChar"/>
          <w:rFonts w:eastAsiaTheme="majorEastAsia"/>
          <w:color w:val="auto"/>
        </w:rPr>
        <w:t>ĮVADAS</w:t>
      </w:r>
      <w:bookmarkEnd w:id="1"/>
      <w:bookmarkEnd w:id="2"/>
      <w:bookmarkEnd w:id="3"/>
      <w:bookmarkEnd w:id="4"/>
      <w:bookmarkEnd w:id="5"/>
      <w:bookmarkEnd w:id="6"/>
      <w:bookmarkEnd w:id="7"/>
      <w:bookmarkEnd w:id="8"/>
      <w:bookmarkEnd w:id="42"/>
    </w:p>
    <w:p w14:paraId="4E059DF7" w14:textId="77777777" w:rsidR="004E677E" w:rsidRPr="004E677E" w:rsidRDefault="004E677E" w:rsidP="004E677E">
      <w:pPr>
        <w:spacing w:after="0" w:line="360" w:lineRule="auto"/>
        <w:jc w:val="both"/>
        <w:rPr>
          <w:rFonts w:ascii="Times New Roman" w:eastAsia="Calibri" w:hAnsi="Times New Roman" w:cs="Times New Roman"/>
          <w:color w:val="000000"/>
          <w:sz w:val="24"/>
          <w:szCs w:val="24"/>
        </w:rPr>
      </w:pPr>
    </w:p>
    <w:p w14:paraId="4889E359" w14:textId="77777777" w:rsidR="005D00A6" w:rsidRPr="009255BA" w:rsidRDefault="004E677E" w:rsidP="005D00A6">
      <w:pPr>
        <w:spacing w:after="0" w:line="360" w:lineRule="auto"/>
        <w:ind w:firstLine="539"/>
        <w:jc w:val="both"/>
        <w:rPr>
          <w:rFonts w:ascii="Times New Roman" w:eastAsia="Calibri" w:hAnsi="Times New Roman" w:cs="Times New Roman"/>
          <w:sz w:val="24"/>
          <w:szCs w:val="24"/>
        </w:rPr>
      </w:pPr>
      <w:r w:rsidRPr="009255BA">
        <w:rPr>
          <w:rFonts w:ascii="Times New Roman" w:eastAsia="Calibri" w:hAnsi="Times New Roman" w:cs="Times New Roman"/>
          <w:b/>
          <w:sz w:val="24"/>
          <w:szCs w:val="24"/>
        </w:rPr>
        <w:t xml:space="preserve">Tyrimo </w:t>
      </w:r>
      <w:r w:rsidR="00846FBB" w:rsidRPr="009255BA">
        <w:rPr>
          <w:rFonts w:ascii="Times New Roman" w:eastAsia="Calibri" w:hAnsi="Times New Roman" w:cs="Times New Roman"/>
          <w:b/>
          <w:sz w:val="24"/>
          <w:szCs w:val="24"/>
        </w:rPr>
        <w:t xml:space="preserve">naujumas ir </w:t>
      </w:r>
      <w:r w:rsidRPr="009255BA">
        <w:rPr>
          <w:rFonts w:ascii="Times New Roman" w:eastAsia="Calibri" w:hAnsi="Times New Roman" w:cs="Times New Roman"/>
          <w:b/>
          <w:sz w:val="24"/>
          <w:szCs w:val="24"/>
        </w:rPr>
        <w:t>aktualumas</w:t>
      </w:r>
      <w:r w:rsidRPr="009255BA">
        <w:rPr>
          <w:rFonts w:ascii="Times New Roman" w:eastAsia="Calibri" w:hAnsi="Times New Roman" w:cs="Times New Roman"/>
          <w:sz w:val="24"/>
          <w:szCs w:val="24"/>
        </w:rPr>
        <w:t xml:space="preserve">. </w:t>
      </w:r>
      <w:r w:rsidR="004D5401" w:rsidRPr="009255BA">
        <w:rPr>
          <w:rFonts w:ascii="Times New Roman" w:eastAsia="Calibri" w:hAnsi="Times New Roman" w:cs="Times New Roman"/>
          <w:sz w:val="24"/>
          <w:szCs w:val="24"/>
        </w:rPr>
        <w:t xml:space="preserve">Šiandieninė nuolatos kintanti verslo aplinka vienoms įmonėms </w:t>
      </w:r>
      <w:r w:rsidR="00824E1C" w:rsidRPr="009255BA">
        <w:rPr>
          <w:rFonts w:ascii="Times New Roman" w:eastAsia="Calibri" w:hAnsi="Times New Roman" w:cs="Times New Roman"/>
          <w:sz w:val="24"/>
          <w:szCs w:val="24"/>
        </w:rPr>
        <w:t>reiškia</w:t>
      </w:r>
      <w:r w:rsidR="004D5401" w:rsidRPr="009255BA">
        <w:rPr>
          <w:rFonts w:ascii="Times New Roman" w:eastAsia="Calibri" w:hAnsi="Times New Roman" w:cs="Times New Roman"/>
          <w:sz w:val="24"/>
          <w:szCs w:val="24"/>
        </w:rPr>
        <w:t xml:space="preserve"> </w:t>
      </w:r>
      <w:r w:rsidR="00824E1C" w:rsidRPr="009255BA">
        <w:rPr>
          <w:rFonts w:ascii="Times New Roman" w:eastAsia="Calibri" w:hAnsi="Times New Roman" w:cs="Times New Roman"/>
          <w:sz w:val="24"/>
          <w:szCs w:val="24"/>
        </w:rPr>
        <w:t>atsiveriančias galimybes</w:t>
      </w:r>
      <w:r w:rsidR="004D5401" w:rsidRPr="009255BA">
        <w:rPr>
          <w:rFonts w:ascii="Times New Roman" w:eastAsia="Calibri" w:hAnsi="Times New Roman" w:cs="Times New Roman"/>
          <w:sz w:val="24"/>
          <w:szCs w:val="24"/>
        </w:rPr>
        <w:t xml:space="preserve">, kitoms </w:t>
      </w:r>
      <w:r w:rsidR="00824E1C" w:rsidRPr="009255BA">
        <w:rPr>
          <w:rFonts w:ascii="Times New Roman" w:eastAsia="Calibri" w:hAnsi="Times New Roman" w:cs="Times New Roman"/>
          <w:sz w:val="24"/>
          <w:szCs w:val="24"/>
        </w:rPr>
        <w:t>– neapibrėžtumą dėl veiklos tęstinumo.</w:t>
      </w:r>
      <w:r w:rsidR="00631B1F" w:rsidRPr="009255BA">
        <w:rPr>
          <w:rFonts w:ascii="Times New Roman" w:eastAsia="Calibri" w:hAnsi="Times New Roman" w:cs="Times New Roman"/>
          <w:sz w:val="24"/>
          <w:szCs w:val="24"/>
        </w:rPr>
        <w:t xml:space="preserve"> </w:t>
      </w:r>
      <w:r w:rsidR="001B61C9" w:rsidRPr="009255BA">
        <w:rPr>
          <w:rFonts w:ascii="Times New Roman" w:eastAsia="Calibri" w:hAnsi="Times New Roman" w:cs="Times New Roman"/>
          <w:sz w:val="24"/>
          <w:szCs w:val="24"/>
        </w:rPr>
        <w:t xml:space="preserve">Tai skatina operatyvią reakciją </w:t>
      </w:r>
      <w:r w:rsidR="00A0723A" w:rsidRPr="009255BA">
        <w:rPr>
          <w:rFonts w:ascii="Times New Roman" w:eastAsia="Calibri" w:hAnsi="Times New Roman" w:cs="Times New Roman"/>
          <w:sz w:val="24"/>
          <w:szCs w:val="24"/>
        </w:rPr>
        <w:t>į verslo aplinkos pokyčius. Vykstantys sudėtingi reiškiniai ir procesai daro įtaką įmonių veiklai, todėl itin svarbu nepertraukiamai analizuoti įmonės finansinę būklę ir perspektyvas. Teisingas esamos būklės įvertinimas padeda gerokai objektyviau numatyti veiklos plėtros būdus ir galimybes. Nors p</w:t>
      </w:r>
      <w:r w:rsidR="00776221" w:rsidRPr="009255BA">
        <w:rPr>
          <w:rFonts w:ascii="Times New Roman" w:eastAsia="Calibri" w:hAnsi="Times New Roman" w:cs="Times New Roman"/>
          <w:sz w:val="24"/>
          <w:szCs w:val="24"/>
        </w:rPr>
        <w:t>agrin</w:t>
      </w:r>
      <w:r w:rsidR="00A0723A" w:rsidRPr="009255BA">
        <w:rPr>
          <w:rFonts w:ascii="Times New Roman" w:eastAsia="Calibri" w:hAnsi="Times New Roman" w:cs="Times New Roman"/>
          <w:sz w:val="24"/>
          <w:szCs w:val="24"/>
        </w:rPr>
        <w:t>dinis įmonių tikslas yra pelnas,</w:t>
      </w:r>
      <w:r w:rsidR="00776221" w:rsidRPr="009255BA">
        <w:rPr>
          <w:rFonts w:ascii="Times New Roman" w:eastAsia="Calibri" w:hAnsi="Times New Roman" w:cs="Times New Roman"/>
          <w:sz w:val="24"/>
          <w:szCs w:val="24"/>
        </w:rPr>
        <w:t xml:space="preserve"> </w:t>
      </w:r>
      <w:r w:rsidR="00A0723A" w:rsidRPr="009255BA">
        <w:rPr>
          <w:rFonts w:ascii="Times New Roman" w:eastAsia="Calibri" w:hAnsi="Times New Roman" w:cs="Times New Roman"/>
          <w:sz w:val="24"/>
          <w:szCs w:val="24"/>
        </w:rPr>
        <w:t>t</w:t>
      </w:r>
      <w:r w:rsidR="00776221" w:rsidRPr="009255BA">
        <w:rPr>
          <w:rFonts w:ascii="Times New Roman" w:eastAsia="Calibri" w:hAnsi="Times New Roman" w:cs="Times New Roman"/>
          <w:sz w:val="24"/>
          <w:szCs w:val="24"/>
        </w:rPr>
        <w:t xml:space="preserve">ačiau </w:t>
      </w:r>
      <w:r w:rsidR="001B61C9" w:rsidRPr="009255BA">
        <w:rPr>
          <w:rFonts w:ascii="Times New Roman" w:eastAsia="Calibri" w:hAnsi="Times New Roman" w:cs="Times New Roman"/>
          <w:sz w:val="24"/>
          <w:szCs w:val="24"/>
        </w:rPr>
        <w:t>įmonės</w:t>
      </w:r>
      <w:r w:rsidR="00302815" w:rsidRPr="009255BA">
        <w:rPr>
          <w:rFonts w:ascii="Times New Roman" w:eastAsia="Calibri" w:hAnsi="Times New Roman" w:cs="Times New Roman"/>
          <w:sz w:val="24"/>
          <w:szCs w:val="24"/>
        </w:rPr>
        <w:t>,</w:t>
      </w:r>
      <w:r w:rsidR="001B61C9" w:rsidRPr="009255BA">
        <w:rPr>
          <w:rFonts w:ascii="Times New Roman" w:eastAsia="Calibri" w:hAnsi="Times New Roman" w:cs="Times New Roman"/>
          <w:sz w:val="24"/>
          <w:szCs w:val="24"/>
        </w:rPr>
        <w:t xml:space="preserve"> susikoncentravusios tik ties pelnu, šiuolaikinėmis verslo sąlygomis stipriai rizikuoja.</w:t>
      </w:r>
      <w:r w:rsidR="005D00A6" w:rsidRPr="009255BA">
        <w:rPr>
          <w:rFonts w:ascii="Times New Roman" w:eastAsia="Calibri" w:hAnsi="Times New Roman" w:cs="Times New Roman"/>
          <w:sz w:val="24"/>
          <w:szCs w:val="24"/>
        </w:rPr>
        <w:t xml:space="preserve"> Kaip rodo praktika, įmonės būklė turėtų būti subalansuota</w:t>
      </w:r>
      <w:r w:rsidR="00302815" w:rsidRPr="009255BA">
        <w:rPr>
          <w:rFonts w:ascii="Times New Roman" w:eastAsia="Calibri" w:hAnsi="Times New Roman" w:cs="Times New Roman"/>
          <w:sz w:val="24"/>
          <w:szCs w:val="24"/>
        </w:rPr>
        <w:t>,</w:t>
      </w:r>
      <w:r w:rsidR="005D00A6" w:rsidRPr="009255BA">
        <w:rPr>
          <w:rFonts w:ascii="Times New Roman" w:eastAsia="Calibri" w:hAnsi="Times New Roman" w:cs="Times New Roman"/>
          <w:sz w:val="24"/>
          <w:szCs w:val="24"/>
        </w:rPr>
        <w:t xml:space="preserve"> norint pasiekti gerus veiklos rezultatus. Tai būtina plėtros ir išlikimo sąlyga.</w:t>
      </w:r>
    </w:p>
    <w:p w14:paraId="6CE3A645" w14:textId="77777777" w:rsidR="007E3342" w:rsidRPr="009255BA" w:rsidRDefault="004610B9" w:rsidP="004610B9">
      <w:pPr>
        <w:spacing w:after="0" w:line="360" w:lineRule="auto"/>
        <w:ind w:firstLine="539"/>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Likvidumas</w:t>
      </w:r>
      <w:r w:rsidR="00681085" w:rsidRPr="009255BA">
        <w:rPr>
          <w:rFonts w:ascii="Times New Roman" w:eastAsia="Calibri" w:hAnsi="Times New Roman" w:cs="Times New Roman"/>
          <w:sz w:val="24"/>
          <w:szCs w:val="24"/>
        </w:rPr>
        <w:t xml:space="preserve"> yra viena iš verslo </w:t>
      </w:r>
      <w:r w:rsidRPr="009255BA">
        <w:rPr>
          <w:rFonts w:ascii="Times New Roman" w:eastAsia="Calibri" w:hAnsi="Times New Roman" w:cs="Times New Roman"/>
          <w:sz w:val="24"/>
          <w:szCs w:val="24"/>
        </w:rPr>
        <w:t xml:space="preserve">analizės dedamųjų. Šis rodiklis aktualus ir reikšmingas tiek </w:t>
      </w:r>
      <w:r w:rsidR="007E3342" w:rsidRPr="009255BA">
        <w:rPr>
          <w:rFonts w:ascii="Times New Roman" w:eastAsia="Calibri" w:hAnsi="Times New Roman" w:cs="Times New Roman"/>
          <w:sz w:val="24"/>
          <w:szCs w:val="24"/>
        </w:rPr>
        <w:t xml:space="preserve">pačioms įmonėms, jų vadovams, tiek </w:t>
      </w:r>
      <w:r w:rsidR="00302815" w:rsidRPr="009255BA">
        <w:rPr>
          <w:rFonts w:ascii="Times New Roman" w:eastAsia="Calibri" w:hAnsi="Times New Roman" w:cs="Times New Roman"/>
          <w:sz w:val="24"/>
          <w:szCs w:val="24"/>
        </w:rPr>
        <w:t xml:space="preserve">kreditoriams bei </w:t>
      </w:r>
      <w:r w:rsidRPr="009255BA">
        <w:rPr>
          <w:rFonts w:ascii="Times New Roman" w:eastAsia="Calibri" w:hAnsi="Times New Roman" w:cs="Times New Roman"/>
          <w:sz w:val="24"/>
          <w:szCs w:val="24"/>
        </w:rPr>
        <w:t xml:space="preserve">investuotojams. Tačiau </w:t>
      </w:r>
      <w:r w:rsidR="0021584B" w:rsidRPr="009255BA">
        <w:rPr>
          <w:rFonts w:ascii="Times New Roman" w:eastAsia="Calibri" w:hAnsi="Times New Roman" w:cs="Times New Roman"/>
          <w:sz w:val="24"/>
          <w:szCs w:val="24"/>
        </w:rPr>
        <w:t>likvidumo vertinimo praktikos analizė Lietuvoje parodė, kad yra nemažai metodinių ir praktinių problemų, siekiant įvertinti įmonių likvidumą. Vertinimai atliekami naudojant tradicinius rodiklius, dažniausiai skaičiuojamas t</w:t>
      </w:r>
      <w:r w:rsidR="00DB3056" w:rsidRPr="009255BA">
        <w:rPr>
          <w:rFonts w:ascii="Times New Roman" w:eastAsia="Calibri" w:hAnsi="Times New Roman" w:cs="Times New Roman"/>
          <w:sz w:val="24"/>
          <w:szCs w:val="24"/>
        </w:rPr>
        <w:t>ik vienas rodiklis – bendrasis</w:t>
      </w:r>
      <w:r w:rsidR="00D96DE7">
        <w:rPr>
          <w:rFonts w:ascii="Times New Roman" w:eastAsia="Calibri" w:hAnsi="Times New Roman" w:cs="Times New Roman"/>
          <w:sz w:val="24"/>
          <w:szCs w:val="24"/>
        </w:rPr>
        <w:t xml:space="preserve"> likvidumas. </w:t>
      </w:r>
      <w:r w:rsidR="00DB3056" w:rsidRPr="009255BA">
        <w:rPr>
          <w:rFonts w:ascii="Times New Roman" w:eastAsia="Calibri" w:hAnsi="Times New Roman" w:cs="Times New Roman"/>
          <w:sz w:val="24"/>
          <w:szCs w:val="24"/>
        </w:rPr>
        <w:t xml:space="preserve"> </w:t>
      </w:r>
      <w:r w:rsidR="00A02148" w:rsidRPr="009255BA">
        <w:rPr>
          <w:rFonts w:ascii="Times New Roman" w:eastAsia="Calibri" w:hAnsi="Times New Roman" w:cs="Times New Roman"/>
          <w:sz w:val="24"/>
          <w:szCs w:val="24"/>
        </w:rPr>
        <w:t>U</w:t>
      </w:r>
      <w:r w:rsidRPr="009255BA">
        <w:rPr>
          <w:rFonts w:ascii="Times New Roman" w:eastAsia="Calibri" w:hAnsi="Times New Roman" w:cs="Times New Roman"/>
          <w:sz w:val="24"/>
          <w:szCs w:val="24"/>
        </w:rPr>
        <w:t>žsienio mokslininkų (Kirkham 2012; Hawawini, Viallet 2007; Loran, Randi 2007 ir kt.) atlikti tyrimai parodė, jo</w:t>
      </w:r>
      <w:r w:rsidR="00A02148" w:rsidRPr="009255BA">
        <w:rPr>
          <w:rFonts w:ascii="Times New Roman" w:eastAsia="Calibri" w:hAnsi="Times New Roman" w:cs="Times New Roman"/>
          <w:sz w:val="24"/>
          <w:szCs w:val="24"/>
        </w:rPr>
        <w:t>g likvidumo vertinimas yra sudėtingas procesas</w:t>
      </w:r>
      <w:r w:rsidRPr="009255BA">
        <w:rPr>
          <w:rFonts w:ascii="Times New Roman" w:eastAsia="Calibri" w:hAnsi="Times New Roman" w:cs="Times New Roman"/>
          <w:sz w:val="24"/>
          <w:szCs w:val="24"/>
        </w:rPr>
        <w:t xml:space="preserve"> ir norint tiksliai </w:t>
      </w:r>
      <w:r w:rsidR="00A02148" w:rsidRPr="009255BA">
        <w:rPr>
          <w:rFonts w:ascii="Times New Roman" w:eastAsia="Calibri" w:hAnsi="Times New Roman" w:cs="Times New Roman"/>
          <w:sz w:val="24"/>
          <w:szCs w:val="24"/>
        </w:rPr>
        <w:t>bei</w:t>
      </w:r>
      <w:r w:rsidRPr="009255BA">
        <w:rPr>
          <w:rFonts w:ascii="Times New Roman" w:eastAsia="Calibri" w:hAnsi="Times New Roman" w:cs="Times New Roman"/>
          <w:sz w:val="24"/>
          <w:szCs w:val="24"/>
        </w:rPr>
        <w:t xml:space="preserve"> teisingai įvertinti esamą </w:t>
      </w:r>
      <w:r w:rsidR="00A02148" w:rsidRPr="009255BA">
        <w:rPr>
          <w:rFonts w:ascii="Times New Roman" w:eastAsia="Calibri" w:hAnsi="Times New Roman" w:cs="Times New Roman"/>
          <w:sz w:val="24"/>
          <w:szCs w:val="24"/>
        </w:rPr>
        <w:t>padėtį</w:t>
      </w:r>
      <w:r w:rsidRPr="009255BA">
        <w:rPr>
          <w:rFonts w:ascii="Times New Roman" w:eastAsia="Calibri" w:hAnsi="Times New Roman" w:cs="Times New Roman"/>
          <w:sz w:val="24"/>
          <w:szCs w:val="24"/>
        </w:rPr>
        <w:t>, nepakanka naudoti tik</w:t>
      </w:r>
      <w:r w:rsidR="00302815" w:rsidRPr="009255BA">
        <w:rPr>
          <w:rFonts w:ascii="Times New Roman" w:eastAsia="Calibri" w:hAnsi="Times New Roman" w:cs="Times New Roman"/>
          <w:sz w:val="24"/>
          <w:szCs w:val="24"/>
        </w:rPr>
        <w:t xml:space="preserve"> tradicinius rodiklius.</w:t>
      </w:r>
      <w:r w:rsidRPr="009255BA">
        <w:rPr>
          <w:rFonts w:ascii="Times New Roman" w:eastAsia="Calibri" w:hAnsi="Times New Roman" w:cs="Times New Roman"/>
          <w:sz w:val="24"/>
          <w:szCs w:val="24"/>
        </w:rPr>
        <w:t xml:space="preserve"> </w:t>
      </w:r>
      <w:r w:rsidR="00302815" w:rsidRPr="009255BA">
        <w:rPr>
          <w:rFonts w:ascii="Times New Roman" w:eastAsia="Calibri" w:hAnsi="Times New Roman" w:cs="Times New Roman"/>
          <w:sz w:val="24"/>
          <w:szCs w:val="24"/>
        </w:rPr>
        <w:t>R</w:t>
      </w:r>
      <w:r w:rsidR="00681085" w:rsidRPr="009255BA">
        <w:rPr>
          <w:rFonts w:ascii="Times New Roman" w:eastAsia="Calibri" w:hAnsi="Times New Roman" w:cs="Times New Roman"/>
          <w:sz w:val="24"/>
          <w:szCs w:val="24"/>
        </w:rPr>
        <w:t xml:space="preserve">eikia sudaryti rodiklių sistemą, į kurią būtų įtraukti </w:t>
      </w:r>
      <w:r w:rsidR="00302815" w:rsidRPr="009255BA">
        <w:rPr>
          <w:rFonts w:ascii="Times New Roman" w:eastAsia="Calibri" w:hAnsi="Times New Roman" w:cs="Times New Roman"/>
          <w:sz w:val="24"/>
          <w:szCs w:val="24"/>
        </w:rPr>
        <w:t xml:space="preserve">ir </w:t>
      </w:r>
      <w:r w:rsidR="00681085" w:rsidRPr="009255BA">
        <w:rPr>
          <w:rFonts w:ascii="Times New Roman" w:eastAsia="Calibri" w:hAnsi="Times New Roman" w:cs="Times New Roman"/>
          <w:sz w:val="24"/>
          <w:szCs w:val="24"/>
        </w:rPr>
        <w:t>rodikliai</w:t>
      </w:r>
      <w:r w:rsidR="00302815" w:rsidRPr="009255BA">
        <w:rPr>
          <w:rFonts w:ascii="Times New Roman" w:eastAsia="Calibri" w:hAnsi="Times New Roman" w:cs="Times New Roman"/>
          <w:sz w:val="24"/>
          <w:szCs w:val="24"/>
        </w:rPr>
        <w:t>,</w:t>
      </w:r>
      <w:r w:rsidR="00681085" w:rsidRPr="009255BA">
        <w:rPr>
          <w:rFonts w:ascii="Times New Roman" w:eastAsia="Calibri" w:hAnsi="Times New Roman" w:cs="Times New Roman"/>
          <w:sz w:val="24"/>
          <w:szCs w:val="24"/>
        </w:rPr>
        <w:t xml:space="preserve"> paremti pinigų srautais. P</w:t>
      </w:r>
      <w:r w:rsidR="00302815" w:rsidRPr="009255BA">
        <w:rPr>
          <w:rFonts w:ascii="Times New Roman" w:eastAsia="Calibri" w:hAnsi="Times New Roman" w:cs="Times New Roman"/>
          <w:sz w:val="24"/>
          <w:szCs w:val="24"/>
        </w:rPr>
        <w:t>ra</w:t>
      </w:r>
      <w:r w:rsidR="00681085" w:rsidRPr="009255BA">
        <w:rPr>
          <w:rFonts w:ascii="Times New Roman" w:eastAsia="Calibri" w:hAnsi="Times New Roman" w:cs="Times New Roman"/>
          <w:sz w:val="24"/>
          <w:szCs w:val="24"/>
        </w:rPr>
        <w:t xml:space="preserve">ktikoje </w:t>
      </w:r>
      <w:r w:rsidR="00302815" w:rsidRPr="009255BA">
        <w:rPr>
          <w:rFonts w:ascii="Times New Roman" w:eastAsia="Calibri" w:hAnsi="Times New Roman" w:cs="Times New Roman"/>
          <w:sz w:val="24"/>
          <w:szCs w:val="24"/>
        </w:rPr>
        <w:t>tai</w:t>
      </w:r>
      <w:r w:rsidR="00681085" w:rsidRPr="009255BA">
        <w:rPr>
          <w:rFonts w:ascii="Times New Roman" w:eastAsia="Calibri" w:hAnsi="Times New Roman" w:cs="Times New Roman"/>
          <w:sz w:val="24"/>
          <w:szCs w:val="24"/>
        </w:rPr>
        <w:t xml:space="preserve"> įgyvendinti pakankamai sudėtinga, kadangi šia tema nėra atlikta daug tyrimų, ypatingai Lietuvoje</w:t>
      </w:r>
      <w:r w:rsidR="00A02148" w:rsidRPr="009255BA">
        <w:rPr>
          <w:rFonts w:ascii="Times New Roman" w:eastAsia="Calibri" w:hAnsi="Times New Roman" w:cs="Times New Roman"/>
          <w:sz w:val="24"/>
          <w:szCs w:val="24"/>
        </w:rPr>
        <w:t>.</w:t>
      </w:r>
      <w:r w:rsidR="004B6A49">
        <w:rPr>
          <w:rFonts w:ascii="Times New Roman" w:eastAsia="Calibri" w:hAnsi="Times New Roman" w:cs="Times New Roman"/>
          <w:sz w:val="24"/>
          <w:szCs w:val="24"/>
        </w:rPr>
        <w:t xml:space="preserve"> Darbe analizuojamos biržoje kotiruojamos </w:t>
      </w:r>
      <w:r w:rsidR="00D96DE7">
        <w:rPr>
          <w:rFonts w:ascii="Times New Roman" w:eastAsia="Calibri" w:hAnsi="Times New Roman" w:cs="Times New Roman"/>
          <w:sz w:val="24"/>
          <w:szCs w:val="24"/>
        </w:rPr>
        <w:t xml:space="preserve">Lietuvos įmonės. </w:t>
      </w:r>
    </w:p>
    <w:p w14:paraId="746E9635" w14:textId="77777777" w:rsidR="00D959FC" w:rsidRPr="009255BA" w:rsidRDefault="004E677E" w:rsidP="00302815">
      <w:pPr>
        <w:tabs>
          <w:tab w:val="left" w:pos="6731"/>
        </w:tabs>
        <w:spacing w:after="0" w:line="360" w:lineRule="auto"/>
        <w:ind w:firstLine="567"/>
        <w:jc w:val="both"/>
        <w:rPr>
          <w:rFonts w:ascii="Times New Roman" w:eastAsia="Calibri" w:hAnsi="Times New Roman" w:cs="Times New Roman"/>
          <w:sz w:val="24"/>
          <w:szCs w:val="24"/>
        </w:rPr>
      </w:pPr>
      <w:r w:rsidRPr="009255BA">
        <w:rPr>
          <w:rFonts w:ascii="Times New Roman" w:eastAsia="Calibri" w:hAnsi="Times New Roman" w:cs="Times New Roman"/>
          <w:b/>
          <w:sz w:val="24"/>
          <w:szCs w:val="24"/>
        </w:rPr>
        <w:t xml:space="preserve">Tyrimo prielaidos ir apribojimai. </w:t>
      </w:r>
      <w:r w:rsidR="00824E1C" w:rsidRPr="009255BA">
        <w:rPr>
          <w:rFonts w:ascii="Times New Roman" w:eastAsia="Calibri" w:hAnsi="Times New Roman" w:cs="Times New Roman"/>
          <w:sz w:val="24"/>
          <w:szCs w:val="24"/>
        </w:rPr>
        <w:t xml:space="preserve">Darbe apsiribojama Vilniaus akcijų biržoje kotiruojamų įmonių likvidumo dinamikos tyrimu, nes panašaus pobūdžio tyrimų </w:t>
      </w:r>
      <w:r w:rsidR="00092678" w:rsidRPr="009255BA">
        <w:rPr>
          <w:rFonts w:ascii="Times New Roman" w:eastAsia="Calibri" w:hAnsi="Times New Roman" w:cs="Times New Roman"/>
          <w:sz w:val="24"/>
          <w:szCs w:val="24"/>
        </w:rPr>
        <w:t>Lietuvoje</w:t>
      </w:r>
      <w:r w:rsidR="00824E1C" w:rsidRPr="009255BA">
        <w:rPr>
          <w:rFonts w:ascii="Times New Roman" w:eastAsia="Calibri" w:hAnsi="Times New Roman" w:cs="Times New Roman"/>
          <w:sz w:val="24"/>
          <w:szCs w:val="24"/>
        </w:rPr>
        <w:t xml:space="preserve"> atlikta labai mažai. </w:t>
      </w:r>
      <w:r w:rsidR="00302815" w:rsidRPr="009255BA">
        <w:rPr>
          <w:rFonts w:ascii="Times New Roman" w:hAnsi="Times New Roman" w:cs="Times New Roman"/>
          <w:sz w:val="24"/>
          <w:szCs w:val="24"/>
        </w:rPr>
        <w:t xml:space="preserve">Analizuojamu laikotarpiu (2008-2012 m.) biržoje kotiruojamų įmonių skaičius kito. Dalis juridinių asmenų bankrutavo, dalis susijungė, dalis tiesiog buvo išbrauktos iš sąrašo, nes neatitiko reikalavimų arba pasitraukė savo noru. Šiuo metu biržoje kotiruojamos 33 įmonės. </w:t>
      </w:r>
      <w:r w:rsidR="00824E1C" w:rsidRPr="009255BA">
        <w:rPr>
          <w:rFonts w:ascii="Times New Roman" w:eastAsia="Calibri" w:hAnsi="Times New Roman" w:cs="Times New Roman"/>
          <w:sz w:val="24"/>
          <w:szCs w:val="24"/>
        </w:rPr>
        <w:t>Bankų likvidumas nėra analizuojamas, nes jų analizė</w:t>
      </w:r>
      <w:r w:rsidR="00C91C23" w:rsidRPr="009255BA">
        <w:rPr>
          <w:rFonts w:ascii="Times New Roman" w:eastAsia="Calibri" w:hAnsi="Times New Roman" w:cs="Times New Roman"/>
          <w:sz w:val="24"/>
          <w:szCs w:val="24"/>
        </w:rPr>
        <w:t>s metodika</w:t>
      </w:r>
      <w:r w:rsidR="00824E1C" w:rsidRPr="009255BA">
        <w:rPr>
          <w:rFonts w:ascii="Times New Roman" w:eastAsia="Calibri" w:hAnsi="Times New Roman" w:cs="Times New Roman"/>
          <w:sz w:val="24"/>
          <w:szCs w:val="24"/>
        </w:rPr>
        <w:t xml:space="preserve"> skiriasi nuo </w:t>
      </w:r>
      <w:r w:rsidR="007154F4" w:rsidRPr="009255BA">
        <w:rPr>
          <w:rFonts w:ascii="Times New Roman" w:eastAsia="Calibri" w:hAnsi="Times New Roman" w:cs="Times New Roman"/>
          <w:sz w:val="24"/>
          <w:szCs w:val="24"/>
        </w:rPr>
        <w:t xml:space="preserve">kitų įmonių. </w:t>
      </w:r>
    </w:p>
    <w:p w14:paraId="518553E2" w14:textId="77777777" w:rsidR="00302815" w:rsidRPr="009255BA" w:rsidRDefault="00FB5E2D" w:rsidP="003536BE">
      <w:pPr>
        <w:tabs>
          <w:tab w:val="left" w:pos="6731"/>
        </w:tabs>
        <w:spacing w:after="0" w:line="360" w:lineRule="auto"/>
        <w:ind w:firstLine="567"/>
        <w:jc w:val="both"/>
        <w:rPr>
          <w:rFonts w:ascii="Times New Roman" w:hAnsi="Times New Roman" w:cs="Times New Roman"/>
          <w:sz w:val="24"/>
          <w:szCs w:val="24"/>
        </w:rPr>
      </w:pPr>
      <w:r w:rsidRPr="009255BA">
        <w:rPr>
          <w:rFonts w:ascii="Times New Roman" w:eastAsia="Calibri" w:hAnsi="Times New Roman" w:cs="Times New Roman"/>
          <w:sz w:val="24"/>
          <w:szCs w:val="24"/>
        </w:rPr>
        <w:t>Darbe tiriami likvidumo valdymą</w:t>
      </w:r>
      <w:r w:rsidR="00145EF0" w:rsidRPr="009255BA">
        <w:rPr>
          <w:rFonts w:ascii="Times New Roman" w:eastAsia="Calibri" w:hAnsi="Times New Roman" w:cs="Times New Roman"/>
          <w:sz w:val="24"/>
          <w:szCs w:val="24"/>
        </w:rPr>
        <w:t xml:space="preserve"> riboj</w:t>
      </w:r>
      <w:r w:rsidRPr="009255BA">
        <w:rPr>
          <w:rFonts w:ascii="Times New Roman" w:eastAsia="Calibri" w:hAnsi="Times New Roman" w:cs="Times New Roman"/>
          <w:sz w:val="24"/>
          <w:szCs w:val="24"/>
        </w:rPr>
        <w:t>antys veiksniai ne įmonės, bet b</w:t>
      </w:r>
      <w:r w:rsidR="00145EF0" w:rsidRPr="009255BA">
        <w:rPr>
          <w:rFonts w:ascii="Times New Roman" w:eastAsia="Calibri" w:hAnsi="Times New Roman" w:cs="Times New Roman"/>
          <w:sz w:val="24"/>
          <w:szCs w:val="24"/>
        </w:rPr>
        <w:t>e</w:t>
      </w:r>
      <w:r w:rsidRPr="009255BA">
        <w:rPr>
          <w:rFonts w:ascii="Times New Roman" w:eastAsia="Calibri" w:hAnsi="Times New Roman" w:cs="Times New Roman"/>
          <w:sz w:val="24"/>
          <w:szCs w:val="24"/>
        </w:rPr>
        <w:t>n</w:t>
      </w:r>
      <w:r w:rsidR="00145EF0" w:rsidRPr="009255BA">
        <w:rPr>
          <w:rFonts w:ascii="Times New Roman" w:eastAsia="Calibri" w:hAnsi="Times New Roman" w:cs="Times New Roman"/>
          <w:sz w:val="24"/>
          <w:szCs w:val="24"/>
        </w:rPr>
        <w:t>drame ekonominiame kontekste.</w:t>
      </w:r>
      <w:r w:rsidR="00C91C23" w:rsidRPr="009255BA">
        <w:rPr>
          <w:rFonts w:ascii="Times New Roman" w:eastAsia="Calibri" w:hAnsi="Times New Roman" w:cs="Times New Roman"/>
          <w:sz w:val="24"/>
          <w:szCs w:val="24"/>
        </w:rPr>
        <w:t xml:space="preserve"> Veiksniai išskiriami mokslinių straipsnių analizės būdu ir po to šie duomenys </w:t>
      </w:r>
      <w:r w:rsidR="0010740D" w:rsidRPr="009255BA">
        <w:rPr>
          <w:rFonts w:ascii="Times New Roman" w:eastAsia="Calibri" w:hAnsi="Times New Roman" w:cs="Times New Roman"/>
          <w:sz w:val="24"/>
          <w:szCs w:val="24"/>
        </w:rPr>
        <w:t>analizuojami</w:t>
      </w:r>
      <w:r w:rsidR="00C91C23" w:rsidRPr="009255BA">
        <w:rPr>
          <w:rFonts w:ascii="Times New Roman" w:eastAsia="Calibri" w:hAnsi="Times New Roman" w:cs="Times New Roman"/>
          <w:sz w:val="24"/>
          <w:szCs w:val="24"/>
        </w:rPr>
        <w:t xml:space="preserve"> taikant ekspertinį vertinimą</w:t>
      </w:r>
      <w:r w:rsidR="0010740D" w:rsidRPr="009255BA">
        <w:rPr>
          <w:rFonts w:ascii="Times New Roman" w:eastAsia="Calibri" w:hAnsi="Times New Roman" w:cs="Times New Roman"/>
          <w:sz w:val="24"/>
          <w:szCs w:val="24"/>
        </w:rPr>
        <w:t>. Parinktas šis metodas, kadangi problemos sudėtingumo lygis pakankamai aukštas</w:t>
      </w:r>
      <w:r w:rsidR="00C91C23" w:rsidRPr="009255BA">
        <w:rPr>
          <w:rFonts w:ascii="Times New Roman" w:eastAsia="Calibri" w:hAnsi="Times New Roman" w:cs="Times New Roman"/>
          <w:sz w:val="24"/>
          <w:szCs w:val="24"/>
        </w:rPr>
        <w:t xml:space="preserve">. Daroma prielaida, kad </w:t>
      </w:r>
      <w:r w:rsidR="0010740D" w:rsidRPr="009255BA">
        <w:rPr>
          <w:rFonts w:ascii="Times New Roman" w:eastAsia="Calibri" w:hAnsi="Times New Roman" w:cs="Times New Roman"/>
          <w:sz w:val="24"/>
          <w:szCs w:val="24"/>
        </w:rPr>
        <w:t xml:space="preserve">išskirti veiksniai yra reprezentatyviausi, o </w:t>
      </w:r>
      <w:r w:rsidR="00C91C23" w:rsidRPr="009255BA">
        <w:rPr>
          <w:rFonts w:ascii="Times New Roman" w:eastAsia="Calibri" w:hAnsi="Times New Roman" w:cs="Times New Roman"/>
          <w:sz w:val="24"/>
          <w:szCs w:val="24"/>
        </w:rPr>
        <w:t>ekspert</w:t>
      </w:r>
      <w:r w:rsidR="0010740D" w:rsidRPr="009255BA">
        <w:rPr>
          <w:rFonts w:ascii="Times New Roman" w:eastAsia="Calibri" w:hAnsi="Times New Roman" w:cs="Times New Roman"/>
          <w:sz w:val="24"/>
          <w:szCs w:val="24"/>
        </w:rPr>
        <w:t xml:space="preserve">ai </w:t>
      </w:r>
      <w:r w:rsidR="00C934E4" w:rsidRPr="009255BA">
        <w:rPr>
          <w:rFonts w:ascii="Times New Roman" w:eastAsia="Calibri" w:hAnsi="Times New Roman" w:cs="Times New Roman"/>
          <w:sz w:val="24"/>
          <w:szCs w:val="24"/>
        </w:rPr>
        <w:t>–</w:t>
      </w:r>
      <w:r w:rsidR="0010740D" w:rsidRPr="009255BA">
        <w:rPr>
          <w:rFonts w:ascii="Times New Roman" w:eastAsia="Calibri" w:hAnsi="Times New Roman" w:cs="Times New Roman"/>
          <w:sz w:val="24"/>
          <w:szCs w:val="24"/>
        </w:rPr>
        <w:t xml:space="preserve"> kompetentingi. Šiuo tyrimu siekiama sudaryti sisteminį požiūrį į likvidumo valdymą</w:t>
      </w:r>
      <w:r w:rsidR="00302815" w:rsidRPr="009255BA">
        <w:rPr>
          <w:rFonts w:ascii="Times New Roman" w:eastAsia="Calibri" w:hAnsi="Times New Roman" w:cs="Times New Roman"/>
          <w:sz w:val="24"/>
          <w:szCs w:val="24"/>
        </w:rPr>
        <w:t>.</w:t>
      </w:r>
    </w:p>
    <w:p w14:paraId="02EFDCD9" w14:textId="77777777" w:rsidR="004E677E" w:rsidRPr="009255BA" w:rsidRDefault="004E677E" w:rsidP="00DE08C2">
      <w:pPr>
        <w:spacing w:after="0" w:line="360" w:lineRule="auto"/>
        <w:ind w:firstLine="567"/>
        <w:jc w:val="both"/>
        <w:rPr>
          <w:rFonts w:ascii="Times New Roman" w:eastAsia="Calibri" w:hAnsi="Times New Roman" w:cs="Times New Roman"/>
          <w:sz w:val="24"/>
          <w:szCs w:val="24"/>
        </w:rPr>
      </w:pPr>
      <w:r w:rsidRPr="009255BA">
        <w:rPr>
          <w:rFonts w:ascii="Times New Roman" w:eastAsia="Calibri" w:hAnsi="Times New Roman" w:cs="Times New Roman"/>
          <w:b/>
          <w:sz w:val="24"/>
          <w:szCs w:val="24"/>
        </w:rPr>
        <w:t xml:space="preserve">Tyrimo problemą </w:t>
      </w:r>
      <w:r w:rsidRPr="009255BA">
        <w:rPr>
          <w:rFonts w:ascii="Times New Roman" w:eastAsia="Calibri" w:hAnsi="Times New Roman" w:cs="Times New Roman"/>
          <w:sz w:val="24"/>
          <w:szCs w:val="24"/>
        </w:rPr>
        <w:t xml:space="preserve">apibūdina klausimai: </w:t>
      </w:r>
    </w:p>
    <w:p w14:paraId="46F818D8" w14:textId="7F5F9452" w:rsidR="004E677E" w:rsidRPr="009255BA" w:rsidRDefault="005D00A6" w:rsidP="00447752">
      <w:pPr>
        <w:pStyle w:val="ListParagraph"/>
        <w:widowControl w:val="0"/>
        <w:numPr>
          <w:ilvl w:val="0"/>
          <w:numId w:val="17"/>
        </w:numPr>
        <w:spacing w:after="0" w:line="360" w:lineRule="auto"/>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 xml:space="preserve">Ar aiški </w:t>
      </w:r>
      <w:r w:rsidR="009255BA" w:rsidRPr="009255BA">
        <w:rPr>
          <w:rFonts w:ascii="Times New Roman" w:eastAsia="Calibri" w:hAnsi="Times New Roman" w:cs="Times New Roman"/>
          <w:sz w:val="24"/>
          <w:szCs w:val="24"/>
        </w:rPr>
        <w:t xml:space="preserve">įmonių </w:t>
      </w:r>
      <w:r w:rsidRPr="009255BA">
        <w:rPr>
          <w:rFonts w:ascii="Times New Roman" w:eastAsia="Calibri" w:hAnsi="Times New Roman" w:cs="Times New Roman"/>
          <w:sz w:val="24"/>
          <w:szCs w:val="24"/>
        </w:rPr>
        <w:t>likvidumo vertinimo bei valdymo sistema ir ar pakankamai dėmesio</w:t>
      </w:r>
      <w:r w:rsidR="00373521">
        <w:rPr>
          <w:rFonts w:ascii="Times New Roman" w:eastAsia="Calibri" w:hAnsi="Times New Roman" w:cs="Times New Roman"/>
          <w:sz w:val="24"/>
          <w:szCs w:val="24"/>
        </w:rPr>
        <w:t xml:space="preserve"> </w:t>
      </w:r>
      <w:r w:rsidRPr="009255BA">
        <w:rPr>
          <w:rFonts w:ascii="Times New Roman" w:eastAsia="Calibri" w:hAnsi="Times New Roman" w:cs="Times New Roman"/>
          <w:sz w:val="24"/>
          <w:szCs w:val="24"/>
        </w:rPr>
        <w:lastRenderedPageBreak/>
        <w:t>skiriama įmonių likvidumui</w:t>
      </w:r>
      <w:r w:rsidR="004E677E" w:rsidRPr="009255BA">
        <w:rPr>
          <w:rFonts w:ascii="Times New Roman" w:eastAsia="Calibri" w:hAnsi="Times New Roman" w:cs="Times New Roman"/>
          <w:sz w:val="24"/>
          <w:szCs w:val="24"/>
        </w:rPr>
        <w:t xml:space="preserve">?  </w:t>
      </w:r>
    </w:p>
    <w:p w14:paraId="36DDF029" w14:textId="77777777" w:rsidR="004E677E" w:rsidRPr="009255BA" w:rsidRDefault="005D00A6" w:rsidP="00447752">
      <w:pPr>
        <w:widowControl w:val="0"/>
        <w:numPr>
          <w:ilvl w:val="0"/>
          <w:numId w:val="17"/>
        </w:numPr>
        <w:spacing w:after="0" w:line="360" w:lineRule="auto"/>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 xml:space="preserve">Kokie veiksniai, ekonominiame kontekste, riboja </w:t>
      </w:r>
      <w:r w:rsidR="009255BA" w:rsidRPr="009255BA">
        <w:rPr>
          <w:rFonts w:ascii="Times New Roman" w:eastAsia="Calibri" w:hAnsi="Times New Roman" w:cs="Times New Roman"/>
          <w:sz w:val="24"/>
          <w:szCs w:val="24"/>
        </w:rPr>
        <w:t xml:space="preserve">įmonių </w:t>
      </w:r>
      <w:r w:rsidRPr="009255BA">
        <w:rPr>
          <w:rFonts w:ascii="Times New Roman" w:eastAsia="Calibri" w:hAnsi="Times New Roman" w:cs="Times New Roman"/>
          <w:sz w:val="24"/>
          <w:szCs w:val="24"/>
        </w:rPr>
        <w:t>likvidumo valdymo efektyvumą</w:t>
      </w:r>
      <w:r w:rsidR="004E677E" w:rsidRPr="009255BA">
        <w:rPr>
          <w:rFonts w:ascii="Times New Roman" w:eastAsia="Calibri" w:hAnsi="Times New Roman" w:cs="Times New Roman"/>
          <w:sz w:val="24"/>
          <w:szCs w:val="24"/>
        </w:rPr>
        <w:t>?</w:t>
      </w:r>
    </w:p>
    <w:p w14:paraId="7B532FA1" w14:textId="77777777" w:rsidR="008A18B3" w:rsidRPr="009255BA" w:rsidRDefault="004E677E" w:rsidP="00DE08C2">
      <w:pPr>
        <w:spacing w:after="0" w:line="360" w:lineRule="auto"/>
        <w:ind w:firstLine="567"/>
        <w:jc w:val="both"/>
        <w:rPr>
          <w:rFonts w:ascii="Times New Roman" w:eastAsia="Calibri" w:hAnsi="Times New Roman" w:cs="Times New Roman"/>
          <w:sz w:val="24"/>
          <w:szCs w:val="24"/>
        </w:rPr>
      </w:pPr>
      <w:r w:rsidRPr="009255BA">
        <w:rPr>
          <w:rFonts w:ascii="Times New Roman" w:eastAsia="Calibri" w:hAnsi="Times New Roman" w:cs="Times New Roman"/>
          <w:b/>
          <w:sz w:val="24"/>
          <w:szCs w:val="24"/>
        </w:rPr>
        <w:t xml:space="preserve">Tyrimo objektas. </w:t>
      </w:r>
      <w:r w:rsidR="00525308" w:rsidRPr="009255BA">
        <w:rPr>
          <w:rFonts w:ascii="Times New Roman" w:eastAsia="Calibri" w:hAnsi="Times New Roman" w:cs="Times New Roman"/>
          <w:sz w:val="24"/>
          <w:szCs w:val="24"/>
        </w:rPr>
        <w:t>Biržoje kotiruojamų Lie</w:t>
      </w:r>
      <w:r w:rsidR="00631B1F" w:rsidRPr="009255BA">
        <w:rPr>
          <w:rFonts w:ascii="Times New Roman" w:eastAsia="Calibri" w:hAnsi="Times New Roman" w:cs="Times New Roman"/>
          <w:sz w:val="24"/>
          <w:szCs w:val="24"/>
        </w:rPr>
        <w:t>tuvos įmonių likvidum</w:t>
      </w:r>
      <w:r w:rsidR="008A18B3" w:rsidRPr="009255BA">
        <w:rPr>
          <w:rFonts w:ascii="Times New Roman" w:eastAsia="Calibri" w:hAnsi="Times New Roman" w:cs="Times New Roman"/>
          <w:sz w:val="24"/>
          <w:szCs w:val="24"/>
        </w:rPr>
        <w:t>as.</w:t>
      </w:r>
      <w:r w:rsidR="00631B1F" w:rsidRPr="009255BA">
        <w:rPr>
          <w:rFonts w:ascii="Times New Roman" w:eastAsia="Calibri" w:hAnsi="Times New Roman" w:cs="Times New Roman"/>
          <w:sz w:val="24"/>
          <w:szCs w:val="24"/>
        </w:rPr>
        <w:t xml:space="preserve"> </w:t>
      </w:r>
    </w:p>
    <w:p w14:paraId="4157326B" w14:textId="77777777" w:rsidR="00A20827" w:rsidRPr="009255BA" w:rsidRDefault="004E677E" w:rsidP="00DE08C2">
      <w:pPr>
        <w:spacing w:after="0" w:line="360" w:lineRule="auto"/>
        <w:ind w:firstLine="567"/>
        <w:jc w:val="both"/>
        <w:rPr>
          <w:rFonts w:ascii="Times New Roman" w:eastAsia="Calibri" w:hAnsi="Times New Roman" w:cs="Times New Roman"/>
          <w:sz w:val="24"/>
          <w:szCs w:val="24"/>
        </w:rPr>
      </w:pPr>
      <w:r w:rsidRPr="009255BA">
        <w:rPr>
          <w:rFonts w:ascii="Times New Roman" w:eastAsia="Calibri" w:hAnsi="Times New Roman" w:cs="Times New Roman"/>
          <w:b/>
          <w:sz w:val="24"/>
          <w:szCs w:val="24"/>
        </w:rPr>
        <w:t xml:space="preserve">Tyrimo tikslas. </w:t>
      </w:r>
      <w:r w:rsidR="00A20827" w:rsidRPr="009255BA">
        <w:rPr>
          <w:rFonts w:ascii="Times New Roman" w:eastAsia="Calibri" w:hAnsi="Times New Roman" w:cs="Times New Roman"/>
          <w:sz w:val="24"/>
          <w:szCs w:val="24"/>
        </w:rPr>
        <w:t xml:space="preserve">Įvertinti biržoje kotiruojamų įmonių likvidumo dinamiką ir perspektyvas, nustatyti veiksnius, </w:t>
      </w:r>
      <w:r w:rsidR="00AD3AE5" w:rsidRPr="009255BA">
        <w:rPr>
          <w:rFonts w:ascii="Times New Roman" w:eastAsia="Calibri" w:hAnsi="Times New Roman" w:cs="Times New Roman"/>
          <w:sz w:val="24"/>
          <w:szCs w:val="24"/>
        </w:rPr>
        <w:t>labiausiai ribojančius</w:t>
      </w:r>
      <w:r w:rsidR="00A20827" w:rsidRPr="009255BA">
        <w:rPr>
          <w:rFonts w:ascii="Times New Roman" w:eastAsia="Calibri" w:hAnsi="Times New Roman" w:cs="Times New Roman"/>
          <w:sz w:val="24"/>
          <w:szCs w:val="24"/>
        </w:rPr>
        <w:t xml:space="preserve"> </w:t>
      </w:r>
      <w:r w:rsidR="00AD3AE5" w:rsidRPr="009255BA">
        <w:rPr>
          <w:rFonts w:ascii="Times New Roman" w:eastAsia="Calibri" w:hAnsi="Times New Roman" w:cs="Times New Roman"/>
          <w:sz w:val="24"/>
          <w:szCs w:val="24"/>
        </w:rPr>
        <w:t>likvidumo valdymo efektyvumą</w:t>
      </w:r>
      <w:r w:rsidR="00A20827" w:rsidRPr="009255BA">
        <w:rPr>
          <w:rFonts w:ascii="Times New Roman" w:eastAsia="Calibri" w:hAnsi="Times New Roman" w:cs="Times New Roman"/>
          <w:sz w:val="24"/>
          <w:szCs w:val="24"/>
        </w:rPr>
        <w:t>.</w:t>
      </w:r>
      <w:r w:rsidR="00A20827" w:rsidRPr="009255BA">
        <w:rPr>
          <w:rFonts w:ascii="Times New Roman" w:eastAsia="Calibri" w:hAnsi="Times New Roman" w:cs="Times New Roman"/>
          <w:b/>
          <w:sz w:val="24"/>
          <w:szCs w:val="24"/>
        </w:rPr>
        <w:t xml:space="preserve"> </w:t>
      </w:r>
    </w:p>
    <w:p w14:paraId="49360152" w14:textId="77777777" w:rsidR="004E677E" w:rsidRPr="009255BA" w:rsidRDefault="004E677E" w:rsidP="00DE08C2">
      <w:pPr>
        <w:spacing w:after="0" w:line="360" w:lineRule="auto"/>
        <w:ind w:firstLine="567"/>
        <w:jc w:val="both"/>
        <w:rPr>
          <w:rFonts w:ascii="Times New Roman" w:eastAsia="Calibri" w:hAnsi="Times New Roman" w:cs="Times New Roman"/>
          <w:b/>
          <w:sz w:val="24"/>
          <w:szCs w:val="24"/>
        </w:rPr>
      </w:pPr>
      <w:r w:rsidRPr="009255BA">
        <w:rPr>
          <w:rFonts w:ascii="Times New Roman" w:eastAsia="Calibri" w:hAnsi="Times New Roman" w:cs="Times New Roman"/>
          <w:b/>
          <w:sz w:val="24"/>
          <w:szCs w:val="24"/>
        </w:rPr>
        <w:t xml:space="preserve">Tyrimo uždaviniai. </w:t>
      </w:r>
    </w:p>
    <w:p w14:paraId="37DD8773" w14:textId="77777777" w:rsidR="004E677E" w:rsidRPr="009255BA" w:rsidRDefault="00525308" w:rsidP="00447752">
      <w:pPr>
        <w:numPr>
          <w:ilvl w:val="0"/>
          <w:numId w:val="16"/>
        </w:numPr>
        <w:tabs>
          <w:tab w:val="clear" w:pos="720"/>
          <w:tab w:val="num" w:pos="567"/>
        </w:tabs>
        <w:spacing w:after="0" w:line="360" w:lineRule="auto"/>
        <w:ind w:left="851" w:hanging="284"/>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 xml:space="preserve">Remiantis Lietuvos ir užsienio </w:t>
      </w:r>
      <w:r w:rsidR="005973F6" w:rsidRPr="009255BA">
        <w:rPr>
          <w:rFonts w:ascii="Times New Roman" w:eastAsia="Calibri" w:hAnsi="Times New Roman" w:cs="Times New Roman"/>
          <w:sz w:val="24"/>
          <w:szCs w:val="24"/>
        </w:rPr>
        <w:t xml:space="preserve">autorių </w:t>
      </w:r>
      <w:r w:rsidRPr="009255BA">
        <w:rPr>
          <w:rFonts w:ascii="Times New Roman" w:eastAsia="Calibri" w:hAnsi="Times New Roman" w:cs="Times New Roman"/>
          <w:sz w:val="24"/>
          <w:szCs w:val="24"/>
        </w:rPr>
        <w:t>m</w:t>
      </w:r>
      <w:r w:rsidR="00092678" w:rsidRPr="009255BA">
        <w:rPr>
          <w:rFonts w:ascii="Times New Roman" w:eastAsia="Calibri" w:hAnsi="Times New Roman" w:cs="Times New Roman"/>
          <w:sz w:val="24"/>
          <w:szCs w:val="24"/>
        </w:rPr>
        <w:t>oksliniais</w:t>
      </w:r>
      <w:r w:rsidRPr="009255BA">
        <w:rPr>
          <w:rFonts w:ascii="Times New Roman" w:eastAsia="Calibri" w:hAnsi="Times New Roman" w:cs="Times New Roman"/>
          <w:sz w:val="24"/>
          <w:szCs w:val="24"/>
        </w:rPr>
        <w:t xml:space="preserve"> </w:t>
      </w:r>
      <w:r w:rsidR="00092678" w:rsidRPr="009255BA">
        <w:rPr>
          <w:rFonts w:ascii="Times New Roman" w:eastAsia="Calibri" w:hAnsi="Times New Roman" w:cs="Times New Roman"/>
          <w:sz w:val="24"/>
          <w:szCs w:val="24"/>
        </w:rPr>
        <w:t>darbais</w:t>
      </w:r>
      <w:r w:rsidRPr="009255BA">
        <w:rPr>
          <w:rFonts w:ascii="Times New Roman" w:eastAsia="Calibri" w:hAnsi="Times New Roman" w:cs="Times New Roman"/>
          <w:sz w:val="24"/>
          <w:szCs w:val="24"/>
        </w:rPr>
        <w:t>, pateikti įmonių likvidumo teorinius pagrindus.</w:t>
      </w:r>
    </w:p>
    <w:p w14:paraId="48A20664" w14:textId="77777777" w:rsidR="004E677E" w:rsidRPr="009255BA" w:rsidRDefault="005973F6" w:rsidP="00447752">
      <w:pPr>
        <w:numPr>
          <w:ilvl w:val="0"/>
          <w:numId w:val="16"/>
        </w:numPr>
        <w:tabs>
          <w:tab w:val="clear" w:pos="720"/>
          <w:tab w:val="num" w:pos="851"/>
        </w:tabs>
        <w:spacing w:after="0" w:line="360" w:lineRule="auto"/>
        <w:ind w:left="851" w:hanging="284"/>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Išanalizuoti įmonių likvidumo rodiklius bei p</w:t>
      </w:r>
      <w:r w:rsidR="004E677E" w:rsidRPr="009255BA">
        <w:rPr>
          <w:rFonts w:ascii="Times New Roman" w:eastAsia="Calibri" w:hAnsi="Times New Roman" w:cs="Times New Roman"/>
          <w:sz w:val="24"/>
          <w:szCs w:val="24"/>
        </w:rPr>
        <w:t>arengti</w:t>
      </w:r>
      <w:r w:rsidR="00A20827" w:rsidRPr="009255BA">
        <w:rPr>
          <w:rFonts w:ascii="Times New Roman" w:eastAsia="Calibri" w:hAnsi="Times New Roman" w:cs="Times New Roman"/>
          <w:sz w:val="24"/>
          <w:szCs w:val="24"/>
        </w:rPr>
        <w:t xml:space="preserve"> ir pagrįsti</w:t>
      </w:r>
      <w:r w:rsidR="004E677E" w:rsidRPr="009255BA">
        <w:rPr>
          <w:rFonts w:ascii="Times New Roman" w:eastAsia="Calibri" w:hAnsi="Times New Roman" w:cs="Times New Roman"/>
          <w:sz w:val="24"/>
          <w:szCs w:val="24"/>
        </w:rPr>
        <w:t xml:space="preserve"> </w:t>
      </w:r>
      <w:r w:rsidR="0081059C" w:rsidRPr="009255BA">
        <w:rPr>
          <w:rFonts w:ascii="Times New Roman" w:eastAsia="Calibri" w:hAnsi="Times New Roman" w:cs="Times New Roman"/>
          <w:sz w:val="24"/>
          <w:szCs w:val="24"/>
        </w:rPr>
        <w:t>įmonių likvidumo dinamikos ir perspektyvų</w:t>
      </w:r>
      <w:r w:rsidR="004E677E" w:rsidRPr="009255BA">
        <w:rPr>
          <w:rFonts w:ascii="Times New Roman" w:eastAsia="Calibri" w:hAnsi="Times New Roman" w:cs="Times New Roman"/>
          <w:sz w:val="24"/>
          <w:szCs w:val="24"/>
        </w:rPr>
        <w:t xml:space="preserve"> vertinimo metodologiją.</w:t>
      </w:r>
    </w:p>
    <w:p w14:paraId="0ADC0C57" w14:textId="77777777" w:rsidR="0081059C" w:rsidRPr="009255BA" w:rsidRDefault="0081059C" w:rsidP="00447752">
      <w:pPr>
        <w:numPr>
          <w:ilvl w:val="0"/>
          <w:numId w:val="16"/>
        </w:numPr>
        <w:tabs>
          <w:tab w:val="clear" w:pos="720"/>
        </w:tabs>
        <w:spacing w:after="0" w:line="360" w:lineRule="auto"/>
        <w:ind w:left="851" w:hanging="284"/>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Įvertinti biržoje kotiruojamų Lietuvos įmonių</w:t>
      </w:r>
      <w:r w:rsidR="004F301C" w:rsidRPr="009255BA">
        <w:rPr>
          <w:rFonts w:ascii="Times New Roman" w:eastAsia="Calibri" w:hAnsi="Times New Roman" w:cs="Times New Roman"/>
          <w:sz w:val="24"/>
          <w:szCs w:val="24"/>
        </w:rPr>
        <w:t xml:space="preserve"> likvidumo</w:t>
      </w:r>
      <w:r w:rsidRPr="009255BA">
        <w:rPr>
          <w:rFonts w:ascii="Times New Roman" w:eastAsia="Calibri" w:hAnsi="Times New Roman" w:cs="Times New Roman"/>
          <w:sz w:val="24"/>
          <w:szCs w:val="24"/>
        </w:rPr>
        <w:t xml:space="preserve"> dinamiką ir perspektyvas.</w:t>
      </w:r>
    </w:p>
    <w:p w14:paraId="36D20933" w14:textId="77777777" w:rsidR="004E677E" w:rsidRPr="009255BA" w:rsidRDefault="00B8738F" w:rsidP="00447752">
      <w:pPr>
        <w:numPr>
          <w:ilvl w:val="0"/>
          <w:numId w:val="16"/>
        </w:numPr>
        <w:tabs>
          <w:tab w:val="clear" w:pos="720"/>
          <w:tab w:val="num" w:pos="993"/>
        </w:tabs>
        <w:spacing w:after="0" w:line="360" w:lineRule="auto"/>
        <w:ind w:left="851" w:hanging="284"/>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N</w:t>
      </w:r>
      <w:r w:rsidR="00A20827" w:rsidRPr="009255BA">
        <w:rPr>
          <w:rFonts w:ascii="Times New Roman" w:eastAsia="Calibri" w:hAnsi="Times New Roman" w:cs="Times New Roman"/>
          <w:sz w:val="24"/>
          <w:szCs w:val="24"/>
        </w:rPr>
        <w:t xml:space="preserve">ustatyti </w:t>
      </w:r>
      <w:r w:rsidR="005973F6" w:rsidRPr="009255BA">
        <w:rPr>
          <w:rFonts w:ascii="Times New Roman" w:eastAsia="Calibri" w:hAnsi="Times New Roman" w:cs="Times New Roman"/>
          <w:sz w:val="24"/>
          <w:szCs w:val="24"/>
        </w:rPr>
        <w:t>veiksnius ribojančius likvidumo valdymo efektyvumą</w:t>
      </w:r>
      <w:r w:rsidR="00A20827" w:rsidRPr="009255BA">
        <w:rPr>
          <w:rFonts w:ascii="Times New Roman" w:eastAsia="Calibri" w:hAnsi="Times New Roman" w:cs="Times New Roman"/>
          <w:sz w:val="24"/>
          <w:szCs w:val="24"/>
        </w:rPr>
        <w:t>.</w:t>
      </w:r>
    </w:p>
    <w:p w14:paraId="32B7A7B8" w14:textId="77777777" w:rsidR="004E677E" w:rsidRPr="009255BA" w:rsidRDefault="004E677E" w:rsidP="00447752">
      <w:pPr>
        <w:numPr>
          <w:ilvl w:val="0"/>
          <w:numId w:val="16"/>
        </w:numPr>
        <w:tabs>
          <w:tab w:val="clear" w:pos="720"/>
          <w:tab w:val="num" w:pos="851"/>
        </w:tabs>
        <w:spacing w:after="0" w:line="360" w:lineRule="auto"/>
        <w:ind w:left="851" w:hanging="284"/>
        <w:jc w:val="both"/>
        <w:rPr>
          <w:rFonts w:ascii="Times New Roman" w:eastAsia="Calibri" w:hAnsi="Times New Roman" w:cs="Times New Roman"/>
          <w:sz w:val="24"/>
          <w:szCs w:val="24"/>
        </w:rPr>
      </w:pPr>
      <w:r w:rsidRPr="009255BA">
        <w:rPr>
          <w:rFonts w:ascii="Times New Roman" w:eastAsia="Calibri" w:hAnsi="Times New Roman" w:cs="Times New Roman"/>
          <w:sz w:val="24"/>
          <w:szCs w:val="24"/>
        </w:rPr>
        <w:t>Apibendrinti tyrimo rezultatus ir pateikti siūlymus</w:t>
      </w:r>
      <w:r w:rsidR="0081059C" w:rsidRPr="009255BA">
        <w:rPr>
          <w:rFonts w:ascii="Times New Roman" w:eastAsia="Calibri" w:hAnsi="Times New Roman" w:cs="Times New Roman"/>
          <w:sz w:val="24"/>
          <w:szCs w:val="24"/>
        </w:rPr>
        <w:t xml:space="preserve"> bei rekomendacijas</w:t>
      </w:r>
      <w:r w:rsidRPr="009255BA">
        <w:rPr>
          <w:rFonts w:ascii="Times New Roman" w:eastAsia="Calibri" w:hAnsi="Times New Roman" w:cs="Times New Roman"/>
          <w:sz w:val="24"/>
          <w:szCs w:val="24"/>
        </w:rPr>
        <w:t xml:space="preserve"> dėl </w:t>
      </w:r>
      <w:r w:rsidR="0081059C" w:rsidRPr="009255BA">
        <w:rPr>
          <w:rFonts w:ascii="Times New Roman" w:eastAsia="Calibri" w:hAnsi="Times New Roman" w:cs="Times New Roman"/>
          <w:sz w:val="24"/>
          <w:szCs w:val="24"/>
        </w:rPr>
        <w:t>likvidumo vertinimo</w:t>
      </w:r>
      <w:r w:rsidR="00A20827" w:rsidRPr="009255BA">
        <w:rPr>
          <w:rFonts w:ascii="Times New Roman" w:eastAsia="Calibri" w:hAnsi="Times New Roman" w:cs="Times New Roman"/>
          <w:sz w:val="24"/>
          <w:szCs w:val="24"/>
        </w:rPr>
        <w:t xml:space="preserve"> svarbos įmonių veiklai.</w:t>
      </w:r>
    </w:p>
    <w:p w14:paraId="4AAA0E8B" w14:textId="77777777" w:rsidR="00E63773" w:rsidRPr="009255BA" w:rsidRDefault="00E63773" w:rsidP="00E63773">
      <w:pPr>
        <w:spacing w:after="0" w:line="360" w:lineRule="auto"/>
        <w:ind w:firstLine="567"/>
        <w:jc w:val="both"/>
        <w:rPr>
          <w:rFonts w:ascii="Times New Roman" w:eastAsia="Calibri" w:hAnsi="Times New Roman" w:cs="Times New Roman"/>
          <w:b/>
          <w:sz w:val="24"/>
          <w:szCs w:val="24"/>
        </w:rPr>
      </w:pPr>
      <w:r w:rsidRPr="009255BA">
        <w:rPr>
          <w:rFonts w:ascii="Times New Roman" w:eastAsia="Calibri" w:hAnsi="Times New Roman" w:cs="Times New Roman"/>
          <w:b/>
          <w:sz w:val="24"/>
          <w:szCs w:val="24"/>
        </w:rPr>
        <w:t>Hipotezė</w:t>
      </w:r>
      <w:r w:rsidR="009255BA" w:rsidRPr="009255BA">
        <w:rPr>
          <w:rFonts w:ascii="Times New Roman" w:eastAsia="Calibri" w:hAnsi="Times New Roman" w:cs="Times New Roman"/>
          <w:b/>
          <w:sz w:val="24"/>
          <w:szCs w:val="24"/>
        </w:rPr>
        <w:t>s</w:t>
      </w:r>
      <w:r w:rsidRPr="009255BA">
        <w:rPr>
          <w:rFonts w:ascii="Times New Roman" w:eastAsia="Calibri" w:hAnsi="Times New Roman" w:cs="Times New Roman"/>
          <w:b/>
          <w:sz w:val="24"/>
          <w:szCs w:val="24"/>
        </w:rPr>
        <w:t>:</w:t>
      </w:r>
    </w:p>
    <w:p w14:paraId="78FCB605" w14:textId="77777777" w:rsidR="00E63773" w:rsidRPr="009255BA" w:rsidRDefault="006505E5" w:rsidP="00447752">
      <w:pPr>
        <w:pStyle w:val="ListParagraph"/>
        <w:numPr>
          <w:ilvl w:val="0"/>
          <w:numId w:val="18"/>
        </w:numPr>
        <w:spacing w:after="0" w:line="360" w:lineRule="auto"/>
        <w:jc w:val="both"/>
        <w:rPr>
          <w:rFonts w:ascii="Times New Roman" w:eastAsia="Calibri" w:hAnsi="Times New Roman" w:cs="Times New Roman"/>
          <w:b/>
          <w:sz w:val="24"/>
          <w:szCs w:val="24"/>
        </w:rPr>
      </w:pPr>
      <w:r w:rsidRPr="009255BA">
        <w:rPr>
          <w:rFonts w:ascii="Times New Roman" w:eastAsia="Calibri" w:hAnsi="Times New Roman" w:cs="Times New Roman"/>
          <w:sz w:val="24"/>
          <w:szCs w:val="24"/>
        </w:rPr>
        <w:t>H</w:t>
      </w:r>
      <w:r w:rsidRPr="009255BA">
        <w:rPr>
          <w:rFonts w:ascii="Times New Roman" w:eastAsia="Calibri" w:hAnsi="Times New Roman" w:cs="Times New Roman"/>
          <w:sz w:val="24"/>
          <w:szCs w:val="24"/>
          <w:vertAlign w:val="subscript"/>
        </w:rPr>
        <w:t>1</w:t>
      </w:r>
      <w:r w:rsidR="00E63773" w:rsidRPr="009255BA">
        <w:rPr>
          <w:rFonts w:ascii="Times New Roman" w:eastAsia="Calibri" w:hAnsi="Times New Roman" w:cs="Times New Roman"/>
          <w:sz w:val="24"/>
          <w:szCs w:val="24"/>
        </w:rPr>
        <w:t xml:space="preserve"> Biržoje kotiruojamų įmonių </w:t>
      </w:r>
      <w:r w:rsidR="00092678" w:rsidRPr="009255BA">
        <w:rPr>
          <w:rFonts w:ascii="Times New Roman" w:eastAsia="Calibri" w:hAnsi="Times New Roman" w:cs="Times New Roman"/>
          <w:sz w:val="24"/>
          <w:szCs w:val="24"/>
        </w:rPr>
        <w:t xml:space="preserve">Lietuvos </w:t>
      </w:r>
      <w:r w:rsidR="00E63773" w:rsidRPr="009255BA">
        <w:rPr>
          <w:rFonts w:ascii="Times New Roman" w:eastAsia="Calibri" w:hAnsi="Times New Roman" w:cs="Times New Roman"/>
          <w:sz w:val="24"/>
          <w:szCs w:val="24"/>
        </w:rPr>
        <w:t xml:space="preserve">likvidumas </w:t>
      </w:r>
      <w:r w:rsidR="00EA7C9D" w:rsidRPr="009255BA">
        <w:rPr>
          <w:rFonts w:ascii="Times New Roman" w:eastAsia="Calibri" w:hAnsi="Times New Roman" w:cs="Times New Roman"/>
          <w:sz w:val="24"/>
          <w:szCs w:val="24"/>
        </w:rPr>
        <w:t xml:space="preserve">2008-2012 m. </w:t>
      </w:r>
      <w:r w:rsidR="00092678" w:rsidRPr="009255BA">
        <w:rPr>
          <w:rFonts w:ascii="Times New Roman" w:eastAsia="Calibri" w:hAnsi="Times New Roman" w:cs="Times New Roman"/>
          <w:sz w:val="24"/>
          <w:szCs w:val="24"/>
        </w:rPr>
        <w:t>gerėjo.</w:t>
      </w:r>
    </w:p>
    <w:p w14:paraId="11DFE19E" w14:textId="77777777" w:rsidR="00E63773" w:rsidRPr="009255BA" w:rsidRDefault="006505E5" w:rsidP="00447752">
      <w:pPr>
        <w:pStyle w:val="ListParagraph"/>
        <w:numPr>
          <w:ilvl w:val="0"/>
          <w:numId w:val="18"/>
        </w:numPr>
        <w:spacing w:after="0" w:line="360" w:lineRule="auto"/>
        <w:jc w:val="both"/>
        <w:rPr>
          <w:rFonts w:ascii="Times New Roman" w:eastAsia="Calibri" w:hAnsi="Times New Roman" w:cs="Times New Roman"/>
          <w:b/>
          <w:sz w:val="24"/>
          <w:szCs w:val="24"/>
        </w:rPr>
      </w:pPr>
      <w:r w:rsidRPr="009255BA">
        <w:rPr>
          <w:rFonts w:ascii="Times New Roman" w:eastAsia="Calibri" w:hAnsi="Times New Roman" w:cs="Times New Roman"/>
          <w:sz w:val="24"/>
          <w:szCs w:val="24"/>
        </w:rPr>
        <w:t>H</w:t>
      </w:r>
      <w:r w:rsidRPr="009255BA">
        <w:rPr>
          <w:rFonts w:ascii="Times New Roman" w:eastAsia="Calibri" w:hAnsi="Times New Roman" w:cs="Times New Roman"/>
          <w:sz w:val="24"/>
          <w:szCs w:val="24"/>
          <w:vertAlign w:val="subscript"/>
        </w:rPr>
        <w:t>2</w:t>
      </w:r>
      <w:r w:rsidR="00FC613A">
        <w:rPr>
          <w:rFonts w:ascii="Times New Roman" w:eastAsia="Calibri" w:hAnsi="Times New Roman" w:cs="Times New Roman"/>
          <w:sz w:val="24"/>
          <w:szCs w:val="24"/>
        </w:rPr>
        <w:t xml:space="preserve"> </w:t>
      </w:r>
      <w:r w:rsidR="00B9597E" w:rsidRPr="009255BA">
        <w:rPr>
          <w:rFonts w:ascii="Times New Roman" w:eastAsia="Calibri" w:hAnsi="Times New Roman" w:cs="Times New Roman"/>
          <w:sz w:val="24"/>
          <w:szCs w:val="24"/>
        </w:rPr>
        <w:t>Labiaus</w:t>
      </w:r>
      <w:r w:rsidR="00724E78" w:rsidRPr="009255BA">
        <w:rPr>
          <w:rFonts w:ascii="Times New Roman" w:eastAsia="Calibri" w:hAnsi="Times New Roman" w:cs="Times New Roman"/>
          <w:sz w:val="24"/>
          <w:szCs w:val="24"/>
        </w:rPr>
        <w:t>iai likvidumo valdymo efektyvumą</w:t>
      </w:r>
      <w:r w:rsidR="00FC613A">
        <w:rPr>
          <w:rFonts w:ascii="Times New Roman" w:eastAsia="Calibri" w:hAnsi="Times New Roman" w:cs="Times New Roman"/>
          <w:sz w:val="24"/>
          <w:szCs w:val="24"/>
        </w:rPr>
        <w:t xml:space="preserve"> ribojantis veiksnys neaiški - </w:t>
      </w:r>
      <w:r w:rsidR="00B9597E" w:rsidRPr="009255BA">
        <w:rPr>
          <w:rFonts w:ascii="Times New Roman" w:eastAsia="Calibri" w:hAnsi="Times New Roman" w:cs="Times New Roman"/>
          <w:sz w:val="24"/>
          <w:szCs w:val="24"/>
        </w:rPr>
        <w:t>vertinimo sistema.</w:t>
      </w:r>
    </w:p>
    <w:p w14:paraId="54DF315B" w14:textId="77777777" w:rsidR="00200C0A" w:rsidRPr="009255BA" w:rsidRDefault="004E677E" w:rsidP="00200C0A">
      <w:pPr>
        <w:spacing w:after="0" w:line="360" w:lineRule="auto"/>
        <w:ind w:firstLine="567"/>
        <w:jc w:val="both"/>
        <w:rPr>
          <w:rFonts w:ascii="Times New Roman" w:hAnsi="Times New Roman" w:cs="Times New Roman"/>
          <w:b/>
          <w:sz w:val="24"/>
          <w:szCs w:val="24"/>
        </w:rPr>
      </w:pPr>
      <w:r w:rsidRPr="009255BA">
        <w:rPr>
          <w:rFonts w:ascii="Times New Roman" w:eastAsia="Calibri" w:hAnsi="Times New Roman" w:cs="Times New Roman"/>
          <w:b/>
          <w:sz w:val="24"/>
          <w:szCs w:val="24"/>
        </w:rPr>
        <w:t xml:space="preserve">Tyrimo metodai. </w:t>
      </w:r>
      <w:r w:rsidR="00200C0A" w:rsidRPr="009255BA">
        <w:rPr>
          <w:rFonts w:ascii="Times New Roman" w:hAnsi="Times New Roman" w:cs="Times New Roman"/>
          <w:sz w:val="24"/>
          <w:szCs w:val="24"/>
        </w:rPr>
        <w:t>Darbe naudojami mokslinės literatūros analizės, statistinių duomenų analizės, apibendrinimo, praktinių tyrimų lyginimo, duomenų grupavimo bei grafiniai metodai. Empirinėje darbo dalyje įmonės likvidumo vertinimui taikomi horizontaliosios bei santykinių rodi</w:t>
      </w:r>
      <w:r w:rsidR="00AD3AE5" w:rsidRPr="009255BA">
        <w:rPr>
          <w:rFonts w:ascii="Times New Roman" w:hAnsi="Times New Roman" w:cs="Times New Roman"/>
          <w:sz w:val="24"/>
          <w:szCs w:val="24"/>
        </w:rPr>
        <w:t>klių analizės metodai. Likvidumo valdymo efektyvumą</w:t>
      </w:r>
      <w:r w:rsidR="00200C0A" w:rsidRPr="009255BA">
        <w:rPr>
          <w:rFonts w:ascii="Times New Roman" w:hAnsi="Times New Roman" w:cs="Times New Roman"/>
          <w:sz w:val="24"/>
          <w:szCs w:val="24"/>
        </w:rPr>
        <w:t xml:space="preserve"> </w:t>
      </w:r>
      <w:r w:rsidR="00AD3AE5" w:rsidRPr="009255BA">
        <w:rPr>
          <w:rFonts w:ascii="Times New Roman" w:hAnsi="Times New Roman" w:cs="Times New Roman"/>
          <w:sz w:val="24"/>
          <w:szCs w:val="24"/>
        </w:rPr>
        <w:t>ribojantiems</w:t>
      </w:r>
      <w:r w:rsidR="004D7803" w:rsidRPr="009255BA">
        <w:rPr>
          <w:rFonts w:ascii="Times New Roman" w:hAnsi="Times New Roman" w:cs="Times New Roman"/>
          <w:sz w:val="24"/>
          <w:szCs w:val="24"/>
        </w:rPr>
        <w:t xml:space="preserve"> veiksniams nustatyti panaudoti ekspertinio vertinimo ir</w:t>
      </w:r>
      <w:r w:rsidR="00200C0A" w:rsidRPr="009255BA">
        <w:rPr>
          <w:rFonts w:ascii="Times New Roman" w:hAnsi="Times New Roman" w:cs="Times New Roman"/>
          <w:sz w:val="24"/>
          <w:szCs w:val="24"/>
        </w:rPr>
        <w:t xml:space="preserve"> hipotezių patikros metodai. Finansinės atskaitomybės bei kiti tyrime naudoti duomenys apdorojami naudojant MS Excel programinį paketą.</w:t>
      </w:r>
    </w:p>
    <w:p w14:paraId="11754A6D" w14:textId="2A5C9FA2" w:rsidR="009255BA" w:rsidRPr="00AB0430" w:rsidRDefault="004E677E" w:rsidP="004B6A49">
      <w:pPr>
        <w:spacing w:after="0" w:line="360" w:lineRule="auto"/>
        <w:ind w:firstLine="567"/>
        <w:jc w:val="both"/>
        <w:rPr>
          <w:rFonts w:ascii="Times New Roman" w:eastAsia="Calibri" w:hAnsi="Times New Roman" w:cs="Times New Roman"/>
          <w:sz w:val="24"/>
          <w:szCs w:val="24"/>
        </w:rPr>
      </w:pPr>
      <w:r w:rsidRPr="009255BA">
        <w:rPr>
          <w:rFonts w:ascii="Times New Roman" w:eastAsia="Calibri" w:hAnsi="Times New Roman" w:cs="Times New Roman"/>
          <w:b/>
          <w:sz w:val="24"/>
          <w:szCs w:val="24"/>
        </w:rPr>
        <w:t xml:space="preserve">Darbo struktūra. </w:t>
      </w:r>
      <w:r w:rsidR="004D7803" w:rsidRPr="009255BA">
        <w:rPr>
          <w:rFonts w:ascii="Times New Roman" w:hAnsi="Times New Roman" w:cs="Times New Roman"/>
          <w:sz w:val="24"/>
          <w:szCs w:val="24"/>
        </w:rPr>
        <w:t>Magistro</w:t>
      </w:r>
      <w:r w:rsidR="004D7803" w:rsidRPr="009255BA">
        <w:rPr>
          <w:rFonts w:ascii="Times New Roman" w:eastAsia="Calibri" w:hAnsi="Times New Roman" w:cs="Times New Roman"/>
          <w:sz w:val="24"/>
          <w:szCs w:val="24"/>
        </w:rPr>
        <w:t xml:space="preserve"> baigiamąjį darbą sudaro keturios pagrindinės dalys. Pirmojoje – teorinėje - dalyje išnagrinėti ir susisteminti įvairių autorių teoriniai </w:t>
      </w:r>
      <w:r w:rsidR="004D7803" w:rsidRPr="009255BA">
        <w:rPr>
          <w:rFonts w:ascii="Times New Roman" w:hAnsi="Times New Roman" w:cs="Times New Roman"/>
          <w:sz w:val="24"/>
          <w:szCs w:val="24"/>
        </w:rPr>
        <w:t xml:space="preserve">ir praktiniai likvidumo aspektai. </w:t>
      </w:r>
      <w:r w:rsidR="004D7803" w:rsidRPr="009255BA">
        <w:rPr>
          <w:rFonts w:ascii="Times New Roman" w:eastAsia="Calibri" w:hAnsi="Times New Roman" w:cs="Times New Roman"/>
          <w:sz w:val="24"/>
          <w:szCs w:val="24"/>
        </w:rPr>
        <w:t xml:space="preserve">Antrojoje dalyje </w:t>
      </w:r>
      <w:r w:rsidR="004D7803" w:rsidRPr="009255BA">
        <w:rPr>
          <w:rFonts w:ascii="Times New Roman" w:hAnsi="Times New Roman" w:cs="Times New Roman"/>
          <w:sz w:val="24"/>
          <w:szCs w:val="24"/>
        </w:rPr>
        <w:t>pateikti ir išanalizuoti rodikliai likvidumui v</w:t>
      </w:r>
      <w:r w:rsidR="005574A6" w:rsidRPr="009255BA">
        <w:rPr>
          <w:rFonts w:ascii="Times New Roman" w:hAnsi="Times New Roman" w:cs="Times New Roman"/>
          <w:sz w:val="24"/>
          <w:szCs w:val="24"/>
        </w:rPr>
        <w:t>e</w:t>
      </w:r>
      <w:r w:rsidR="004D7803" w:rsidRPr="009255BA">
        <w:rPr>
          <w:rFonts w:ascii="Times New Roman" w:hAnsi="Times New Roman" w:cs="Times New Roman"/>
          <w:sz w:val="24"/>
          <w:szCs w:val="24"/>
        </w:rPr>
        <w:t xml:space="preserve">rtinti bei </w:t>
      </w:r>
      <w:r w:rsidR="004D7803" w:rsidRPr="009255BA">
        <w:rPr>
          <w:rFonts w:ascii="Times New Roman" w:eastAsia="Calibri" w:hAnsi="Times New Roman" w:cs="Times New Roman"/>
          <w:sz w:val="24"/>
          <w:szCs w:val="24"/>
        </w:rPr>
        <w:t xml:space="preserve">pagrįsta </w:t>
      </w:r>
      <w:r w:rsidR="004D7803" w:rsidRPr="009255BA">
        <w:rPr>
          <w:rFonts w:ascii="Times New Roman" w:hAnsi="Times New Roman" w:cs="Times New Roman"/>
          <w:sz w:val="24"/>
          <w:szCs w:val="24"/>
        </w:rPr>
        <w:t>empirinės</w:t>
      </w:r>
      <w:r w:rsidR="004D7803" w:rsidRPr="009255BA">
        <w:rPr>
          <w:rFonts w:ascii="Times New Roman" w:eastAsia="Calibri" w:hAnsi="Times New Roman" w:cs="Times New Roman"/>
          <w:sz w:val="24"/>
          <w:szCs w:val="24"/>
        </w:rPr>
        <w:t xml:space="preserve"> dalies metodologija. Trečiojoje – empirinėje – darbo dalyje</w:t>
      </w:r>
      <w:r w:rsidR="005574A6" w:rsidRPr="009255BA">
        <w:rPr>
          <w:rFonts w:ascii="Times New Roman" w:hAnsi="Times New Roman" w:cs="Times New Roman"/>
          <w:sz w:val="24"/>
          <w:szCs w:val="24"/>
        </w:rPr>
        <w:t>, taikant santykinių rodiklių analizę,</w:t>
      </w:r>
      <w:r w:rsidR="004D7803" w:rsidRPr="009255BA">
        <w:rPr>
          <w:rFonts w:ascii="Times New Roman" w:eastAsia="Calibri" w:hAnsi="Times New Roman" w:cs="Times New Roman"/>
          <w:sz w:val="24"/>
          <w:szCs w:val="24"/>
        </w:rPr>
        <w:t xml:space="preserve"> </w:t>
      </w:r>
      <w:r w:rsidR="005574A6" w:rsidRPr="009255BA">
        <w:rPr>
          <w:rFonts w:ascii="Times New Roman" w:hAnsi="Times New Roman" w:cs="Times New Roman"/>
          <w:sz w:val="24"/>
          <w:szCs w:val="24"/>
        </w:rPr>
        <w:t xml:space="preserve">apskaičiuoti visų biržoje kotiruojamų Lietuvos įmonių likvidumo rodikliai, išanalizuota jų dinamika bei įvertintos perspektyvos. Ketvirtojoje darbo dalyje, naudojant ekspertinio vertinimo metodą, atliktas likvidumo valdymo efektyvumą ribojančių veiksnių tyrimas. </w:t>
      </w:r>
      <w:r w:rsidR="004D7803" w:rsidRPr="009255BA">
        <w:rPr>
          <w:rFonts w:ascii="Times New Roman" w:eastAsia="Calibri" w:hAnsi="Times New Roman" w:cs="Times New Roman"/>
          <w:sz w:val="24"/>
          <w:szCs w:val="24"/>
        </w:rPr>
        <w:t>Empirinis tyrimas baigiamas išvadomis bei pasiūlymais ir rekomendacijomis.</w:t>
      </w:r>
      <w:r w:rsidR="004D7803" w:rsidRPr="00145EF0">
        <w:rPr>
          <w:rFonts w:ascii="Times New Roman" w:eastAsia="Calibri" w:hAnsi="Times New Roman" w:cs="Times New Roman"/>
          <w:color w:val="FF0000"/>
          <w:sz w:val="24"/>
          <w:szCs w:val="24"/>
        </w:rPr>
        <w:t xml:space="preserve"> </w:t>
      </w:r>
      <w:r w:rsidR="004D7803" w:rsidRPr="00AB0430">
        <w:rPr>
          <w:rFonts w:ascii="Times New Roman" w:eastAsia="Calibri" w:hAnsi="Times New Roman" w:cs="Times New Roman"/>
          <w:sz w:val="24"/>
          <w:szCs w:val="24"/>
        </w:rPr>
        <w:t>Darbą sudaro 71 puslapis. Paruoš</w:t>
      </w:r>
      <w:r w:rsidR="00AB0430" w:rsidRPr="00AB0430">
        <w:rPr>
          <w:rFonts w:ascii="Times New Roman" w:hAnsi="Times New Roman" w:cs="Times New Roman"/>
          <w:sz w:val="24"/>
          <w:szCs w:val="24"/>
        </w:rPr>
        <w:t>ta 14</w:t>
      </w:r>
      <w:r w:rsidR="005574A6" w:rsidRPr="00AB0430">
        <w:rPr>
          <w:rFonts w:ascii="Times New Roman" w:hAnsi="Times New Roman" w:cs="Times New Roman"/>
          <w:sz w:val="24"/>
          <w:szCs w:val="24"/>
        </w:rPr>
        <w:t xml:space="preserve"> lent</w:t>
      </w:r>
      <w:r w:rsidR="00AB0430" w:rsidRPr="00AB0430">
        <w:rPr>
          <w:rFonts w:ascii="Times New Roman" w:hAnsi="Times New Roman" w:cs="Times New Roman"/>
          <w:sz w:val="24"/>
          <w:szCs w:val="24"/>
        </w:rPr>
        <w:t>elių</w:t>
      </w:r>
      <w:r w:rsidR="00AB0430" w:rsidRPr="00AB0430">
        <w:rPr>
          <w:rFonts w:ascii="Times New Roman" w:eastAsia="Calibri" w:hAnsi="Times New Roman" w:cs="Times New Roman"/>
          <w:sz w:val="24"/>
          <w:szCs w:val="24"/>
        </w:rPr>
        <w:t>, 2</w:t>
      </w:r>
      <w:r w:rsidR="00AB0430" w:rsidRPr="00AB0430">
        <w:rPr>
          <w:rFonts w:ascii="Times New Roman" w:eastAsia="Calibri" w:hAnsi="Times New Roman" w:cs="Times New Roman"/>
          <w:sz w:val="24"/>
          <w:szCs w:val="24"/>
          <w:lang w:val="en-US"/>
        </w:rPr>
        <w:t>8</w:t>
      </w:r>
      <w:r w:rsidR="00724E78" w:rsidRPr="00AB0430">
        <w:rPr>
          <w:rFonts w:ascii="Times New Roman" w:eastAsia="Calibri" w:hAnsi="Times New Roman" w:cs="Times New Roman"/>
          <w:sz w:val="24"/>
          <w:szCs w:val="24"/>
        </w:rPr>
        <w:t xml:space="preserve"> paveikslai</w:t>
      </w:r>
      <w:r w:rsidR="004D7803" w:rsidRPr="00AB0430">
        <w:rPr>
          <w:rFonts w:ascii="Times New Roman" w:eastAsia="Calibri" w:hAnsi="Times New Roman" w:cs="Times New Roman"/>
          <w:sz w:val="24"/>
          <w:szCs w:val="24"/>
        </w:rPr>
        <w:t xml:space="preserve"> ir </w:t>
      </w:r>
      <w:r w:rsidR="00724E78" w:rsidRPr="00AB0430">
        <w:rPr>
          <w:rFonts w:ascii="Times New Roman" w:eastAsia="Calibri" w:hAnsi="Times New Roman" w:cs="Times New Roman"/>
          <w:sz w:val="24"/>
          <w:szCs w:val="24"/>
        </w:rPr>
        <w:t>2</w:t>
      </w:r>
      <w:r w:rsidR="004D7803" w:rsidRPr="00AB0430">
        <w:rPr>
          <w:rFonts w:ascii="Times New Roman" w:eastAsia="Calibri" w:hAnsi="Times New Roman" w:cs="Times New Roman"/>
          <w:sz w:val="24"/>
          <w:szCs w:val="24"/>
        </w:rPr>
        <w:t xml:space="preserve"> priedai. Pagrindinių darbe naudotų šaltinių sąrašas – Lietu</w:t>
      </w:r>
      <w:r w:rsidR="005574A6" w:rsidRPr="00AB0430">
        <w:rPr>
          <w:rFonts w:ascii="Times New Roman" w:hAnsi="Times New Roman" w:cs="Times New Roman"/>
          <w:sz w:val="24"/>
          <w:szCs w:val="24"/>
        </w:rPr>
        <w:t>vos ir užsienio autorių knygos</w:t>
      </w:r>
      <w:r w:rsidR="004D7803" w:rsidRPr="00AB0430">
        <w:rPr>
          <w:rFonts w:ascii="Times New Roman" w:eastAsia="Calibri" w:hAnsi="Times New Roman" w:cs="Times New Roman"/>
          <w:sz w:val="24"/>
          <w:szCs w:val="24"/>
        </w:rPr>
        <w:t xml:space="preserve">, monografijos, moksliniai straipsniai, </w:t>
      </w:r>
      <w:r w:rsidR="005574A6" w:rsidRPr="00AB0430">
        <w:rPr>
          <w:rFonts w:ascii="Times New Roman" w:hAnsi="Times New Roman" w:cs="Times New Roman"/>
          <w:sz w:val="24"/>
          <w:szCs w:val="24"/>
        </w:rPr>
        <w:t xml:space="preserve">NASDAQ OMX Vilnius </w:t>
      </w:r>
      <w:r w:rsidR="004D7803" w:rsidRPr="00AB0430">
        <w:rPr>
          <w:rFonts w:ascii="Times New Roman" w:eastAsia="Calibri" w:hAnsi="Times New Roman" w:cs="Times New Roman"/>
          <w:sz w:val="24"/>
          <w:szCs w:val="24"/>
        </w:rPr>
        <w:t>duomenų prieiga – pateikiami literatūros sąraše.</w:t>
      </w:r>
      <w:r w:rsidR="005574A6" w:rsidRPr="00AB0430">
        <w:rPr>
          <w:rFonts w:ascii="Times New Roman" w:eastAsia="Calibri" w:hAnsi="Times New Roman" w:cs="Times New Roman"/>
          <w:sz w:val="24"/>
          <w:szCs w:val="24"/>
        </w:rPr>
        <w:t xml:space="preserve"> Prieduose </w:t>
      </w:r>
      <w:r w:rsidR="003025AE" w:rsidRPr="00AB0430">
        <w:rPr>
          <w:rFonts w:ascii="Times New Roman" w:eastAsia="Calibri" w:hAnsi="Times New Roman" w:cs="Times New Roman"/>
          <w:sz w:val="24"/>
          <w:szCs w:val="24"/>
        </w:rPr>
        <w:t>pateikta medžiaga ir informacija, reikalinga baigiamajam darbui.</w:t>
      </w:r>
    </w:p>
    <w:p w14:paraId="5BB4ED52" w14:textId="77777777" w:rsidR="00092678" w:rsidRPr="00145EF0" w:rsidRDefault="00092678" w:rsidP="00145EF0">
      <w:pPr>
        <w:spacing w:after="0" w:line="360" w:lineRule="auto"/>
        <w:rPr>
          <w:rFonts w:ascii="Times New Roman" w:hAnsi="Times New Roman" w:cs="Times New Roman"/>
          <w:b/>
          <w:sz w:val="28"/>
          <w:szCs w:val="28"/>
        </w:rPr>
      </w:pPr>
    </w:p>
    <w:p w14:paraId="470145B2" w14:textId="77777777" w:rsidR="00DF36AE" w:rsidRPr="00953524" w:rsidRDefault="002D53A3" w:rsidP="00447752">
      <w:pPr>
        <w:pStyle w:val="Heading1"/>
        <w:numPr>
          <w:ilvl w:val="0"/>
          <w:numId w:val="26"/>
        </w:numPr>
        <w:spacing w:before="0" w:line="360" w:lineRule="auto"/>
        <w:ind w:left="284" w:hanging="284"/>
        <w:jc w:val="center"/>
        <w:rPr>
          <w:rStyle w:val="1antChar"/>
          <w:rFonts w:eastAsiaTheme="majorEastAsia"/>
          <w:b/>
          <w:color w:val="auto"/>
        </w:rPr>
      </w:pPr>
      <w:bookmarkStart w:id="43" w:name="_Toc353730649"/>
      <w:r w:rsidRPr="00953524">
        <w:rPr>
          <w:rStyle w:val="1antChar"/>
          <w:rFonts w:eastAsiaTheme="majorEastAsia"/>
          <w:b/>
          <w:color w:val="auto"/>
        </w:rPr>
        <w:t xml:space="preserve">ĮMONIŲ </w:t>
      </w:r>
      <w:r w:rsidR="00DF36AE" w:rsidRPr="00953524">
        <w:rPr>
          <w:rStyle w:val="1antChar"/>
          <w:rFonts w:eastAsiaTheme="majorEastAsia"/>
          <w:b/>
          <w:color w:val="auto"/>
        </w:rPr>
        <w:t>LIKVIDUMO KONCEPCIJA</w:t>
      </w:r>
      <w:bookmarkEnd w:id="43"/>
    </w:p>
    <w:p w14:paraId="16DB8E84" w14:textId="77777777" w:rsidR="00DF36AE" w:rsidRPr="00DF36AE" w:rsidRDefault="00DF36AE" w:rsidP="004E747F">
      <w:pPr>
        <w:pStyle w:val="ListParagraph"/>
        <w:tabs>
          <w:tab w:val="left" w:pos="709"/>
        </w:tabs>
        <w:spacing w:after="0" w:line="240" w:lineRule="auto"/>
        <w:ind w:left="709" w:hanging="567"/>
        <w:jc w:val="both"/>
        <w:rPr>
          <w:rFonts w:ascii="Times New Roman" w:hAnsi="Times New Roman" w:cs="Times New Roman"/>
          <w:b/>
          <w:sz w:val="28"/>
          <w:szCs w:val="28"/>
        </w:rPr>
      </w:pPr>
    </w:p>
    <w:p w14:paraId="7FF7110D" w14:textId="77777777" w:rsidR="001910EA" w:rsidRPr="009E1406" w:rsidRDefault="00DF36AE" w:rsidP="00447752">
      <w:pPr>
        <w:pStyle w:val="Heading2"/>
        <w:numPr>
          <w:ilvl w:val="1"/>
          <w:numId w:val="26"/>
        </w:numPr>
        <w:spacing w:before="0" w:beforeAutospacing="0" w:after="0" w:afterAutospacing="0"/>
        <w:jc w:val="center"/>
        <w:rPr>
          <w:sz w:val="24"/>
          <w:szCs w:val="24"/>
        </w:rPr>
      </w:pPr>
      <w:bookmarkStart w:id="44" w:name="_Toc353730650"/>
      <w:r w:rsidRPr="009E1406">
        <w:rPr>
          <w:sz w:val="24"/>
          <w:szCs w:val="24"/>
        </w:rPr>
        <w:t>Finansinė analizė ir likvidumo reikšmė joje</w:t>
      </w:r>
      <w:bookmarkEnd w:id="44"/>
    </w:p>
    <w:p w14:paraId="44561B48" w14:textId="77777777" w:rsidR="00F95601" w:rsidRPr="001910EA" w:rsidRDefault="00F95601" w:rsidP="004E747F">
      <w:pPr>
        <w:pStyle w:val="ListParagraph"/>
        <w:spacing w:after="0" w:line="240" w:lineRule="auto"/>
        <w:ind w:left="426" w:hanging="426"/>
        <w:rPr>
          <w:rFonts w:ascii="Times New Roman" w:hAnsi="Times New Roman" w:cs="Times New Roman"/>
          <w:b/>
          <w:sz w:val="28"/>
          <w:szCs w:val="28"/>
        </w:rPr>
      </w:pPr>
    </w:p>
    <w:p w14:paraId="366160DD" w14:textId="77777777" w:rsidR="00AD0DE7" w:rsidRPr="00AD0DE7" w:rsidRDefault="00AD0DE7" w:rsidP="00AD3C20">
      <w:pPr>
        <w:spacing w:after="0" w:line="360" w:lineRule="auto"/>
        <w:ind w:firstLine="567"/>
        <w:jc w:val="both"/>
        <w:rPr>
          <w:rFonts w:ascii="Times New Roman" w:hAnsi="Times New Roman" w:cs="Times New Roman"/>
          <w:b/>
          <w:sz w:val="24"/>
          <w:szCs w:val="24"/>
        </w:rPr>
      </w:pPr>
      <w:r w:rsidRPr="00AD0DE7">
        <w:rPr>
          <w:rFonts w:ascii="Times New Roman" w:hAnsi="Times New Roman" w:cs="Times New Roman"/>
          <w:sz w:val="24"/>
          <w:szCs w:val="24"/>
        </w:rPr>
        <w:t>Efektyvi rezultatų vertinimo sistema šiandieniniame versl</w:t>
      </w:r>
      <w:r w:rsidR="00DE08C2">
        <w:rPr>
          <w:rFonts w:ascii="Times New Roman" w:hAnsi="Times New Roman" w:cs="Times New Roman"/>
          <w:sz w:val="24"/>
          <w:szCs w:val="24"/>
        </w:rPr>
        <w:t xml:space="preserve">e yra būtina. Ji leidžia įmonių </w:t>
      </w:r>
      <w:r w:rsidRPr="00AD0DE7">
        <w:rPr>
          <w:rFonts w:ascii="Times New Roman" w:hAnsi="Times New Roman" w:cs="Times New Roman"/>
          <w:sz w:val="24"/>
          <w:szCs w:val="24"/>
        </w:rPr>
        <w:t>vadovybei tiksliai įvertinti verslo riziką ir priimti racionalius sprend</w:t>
      </w:r>
      <w:r>
        <w:rPr>
          <w:rFonts w:ascii="Times New Roman" w:hAnsi="Times New Roman" w:cs="Times New Roman"/>
          <w:sz w:val="24"/>
          <w:szCs w:val="24"/>
        </w:rPr>
        <w:t>imus. Ūkio subjektai, siekdami išlikti konkurencingi</w:t>
      </w:r>
      <w:r w:rsidRPr="00AD0DE7">
        <w:rPr>
          <w:rFonts w:ascii="Times New Roman" w:hAnsi="Times New Roman" w:cs="Times New Roman"/>
          <w:sz w:val="24"/>
          <w:szCs w:val="24"/>
        </w:rPr>
        <w:t>, privalo ieškoti veiklos gerinimo rezervų, įvedinėti naujus produktus ir paslaugas į rinką, diegti inovacijas, tobulinti valdymo metodus. Pradinis žingsnis, siekiant įgyvendinti šiuos uždavinius, yra finansinės veiklos analizė, padedanti įvertinti konkrečią dabartinę įmonės padėtį.</w:t>
      </w:r>
    </w:p>
    <w:p w14:paraId="50CDD19B" w14:textId="77777777" w:rsidR="00AD0DE7" w:rsidRDefault="00AD0DE7" w:rsidP="00AD3C20">
      <w:pPr>
        <w:pStyle w:val="Default"/>
        <w:spacing w:line="360" w:lineRule="auto"/>
        <w:ind w:firstLine="567"/>
        <w:jc w:val="both"/>
      </w:pPr>
      <w:r>
        <w:t>Bendrai analizė apibrėžiama kaip vieningas sisteminis tyrimas, kurio metu objektas skaidomas į atskiras dalis ir tos dalys yra tiriamos (Blackburn, 1996). Tuo tarpu finansinės veiklos analizė - visapusis ir objektyvus įmonės finansinės būklės, veiklos rezultatų ir pinigų srautų tyrimas siekiant padėti įmonės vadovybei pasiekti numatytus tikslus (Mackevičius, 2008)</w:t>
      </w:r>
      <w:r w:rsidR="0079723C">
        <w:t xml:space="preserve">. </w:t>
      </w:r>
      <w:r w:rsidR="00671BDD">
        <w:t xml:space="preserve">Kancerevyčius (2006) pateikia tokį finansinės analizės apibrėžimą: „Finansinė analizė – analitinių priemonių ir būdų taikymas finansinėms ataskaitoms ir kitiems duomenims, siekiant surasti santykius ir matus, kurie būtų naudingi priimant finansinį sprendimą“. </w:t>
      </w:r>
      <w:r>
        <w:t>Finansinės analizės esmę atspindi 1 paveikslas.</w:t>
      </w:r>
    </w:p>
    <w:p w14:paraId="02EF008D" w14:textId="77777777" w:rsidR="00AD0DE7" w:rsidRPr="00F63FB6" w:rsidRDefault="00AD0DE7" w:rsidP="00AD0DE7">
      <w:pPr>
        <w:pStyle w:val="Default"/>
        <w:spacing w:line="360" w:lineRule="auto"/>
        <w:ind w:left="57" w:firstLine="540"/>
        <w:jc w:val="both"/>
        <w:rPr>
          <w:sz w:val="16"/>
          <w:szCs w:val="16"/>
        </w:rPr>
      </w:pPr>
    </w:p>
    <w:p w14:paraId="25F4E183" w14:textId="77777777" w:rsidR="00AD0DE7" w:rsidRDefault="00AD0DE7" w:rsidP="00AD0DE7">
      <w:pPr>
        <w:pStyle w:val="Default"/>
        <w:spacing w:line="360" w:lineRule="auto"/>
        <w:ind w:left="57" w:firstLine="540"/>
        <w:jc w:val="center"/>
      </w:pPr>
      <w:r>
        <w:rPr>
          <w:noProof/>
          <w:lang w:val="en-US" w:eastAsia="en-US"/>
        </w:rPr>
        <w:drawing>
          <wp:inline distT="0" distB="0" distL="0" distR="0" wp14:anchorId="4ECE5D77" wp14:editId="5DE47692">
            <wp:extent cx="4572000" cy="331724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572000" cy="3317240"/>
                    </a:xfrm>
                    <a:prstGeom prst="rect">
                      <a:avLst/>
                    </a:prstGeom>
                    <a:noFill/>
                    <a:ln w="9525">
                      <a:noFill/>
                      <a:miter lim="800000"/>
                      <a:headEnd/>
                      <a:tailEnd/>
                    </a:ln>
                  </pic:spPr>
                </pic:pic>
              </a:graphicData>
            </a:graphic>
          </wp:inline>
        </w:drawing>
      </w:r>
    </w:p>
    <w:p w14:paraId="3E7C3296" w14:textId="77777777" w:rsidR="003536BE" w:rsidRPr="00CA1A78" w:rsidRDefault="003536BE" w:rsidP="008E0B65">
      <w:pPr>
        <w:tabs>
          <w:tab w:val="left" w:pos="3544"/>
        </w:tabs>
        <w:spacing w:after="0" w:line="360" w:lineRule="auto"/>
        <w:ind w:left="57" w:firstLine="1644"/>
        <w:rPr>
          <w:rFonts w:ascii="Times New Roman" w:hAnsi="Times New Roman" w:cs="Times New Roman"/>
          <w:sz w:val="20"/>
          <w:szCs w:val="20"/>
        </w:rPr>
      </w:pPr>
      <w:bookmarkStart w:id="45" w:name="_Toc292751808"/>
      <w:r w:rsidRPr="00CA1A78">
        <w:rPr>
          <w:rFonts w:ascii="Times New Roman" w:hAnsi="Times New Roman" w:cs="Times New Roman"/>
          <w:b/>
          <w:sz w:val="20"/>
          <w:szCs w:val="20"/>
        </w:rPr>
        <w:t>Šaltinis:</w:t>
      </w:r>
      <w:r w:rsidRPr="00CA1A78">
        <w:rPr>
          <w:rFonts w:ascii="Times New Roman" w:hAnsi="Times New Roman" w:cs="Times New Roman"/>
          <w:sz w:val="20"/>
          <w:szCs w:val="20"/>
        </w:rPr>
        <w:t xml:space="preserve"> Mackevičius, 2008</w:t>
      </w:r>
    </w:p>
    <w:p w14:paraId="3DAD86B9" w14:textId="77777777" w:rsidR="00AD0DE7" w:rsidRDefault="00AD0DE7" w:rsidP="007F2B73">
      <w:pPr>
        <w:pStyle w:val="Caption"/>
        <w:rPr>
          <w:szCs w:val="24"/>
        </w:rPr>
      </w:pPr>
      <w:bookmarkStart w:id="46" w:name="_Toc227593856"/>
      <w:bookmarkStart w:id="47" w:name="_Toc227594498"/>
      <w:r w:rsidRPr="007F2B73">
        <w:rPr>
          <w:szCs w:val="24"/>
        </w:rPr>
        <w:t>1 pav.</w:t>
      </w:r>
      <w:r w:rsidRPr="007F2B73">
        <w:rPr>
          <w:i/>
          <w:szCs w:val="24"/>
        </w:rPr>
        <w:t xml:space="preserve"> </w:t>
      </w:r>
      <w:r w:rsidRPr="007F2B73">
        <w:rPr>
          <w:szCs w:val="24"/>
        </w:rPr>
        <w:t>Įmonės veiklos analizės ekonominės informacijos fondas</w:t>
      </w:r>
      <w:bookmarkEnd w:id="45"/>
      <w:bookmarkEnd w:id="46"/>
      <w:bookmarkEnd w:id="47"/>
    </w:p>
    <w:p w14:paraId="45164611" w14:textId="77777777" w:rsidR="007F2B73" w:rsidRPr="007F2B73" w:rsidRDefault="007F2B73" w:rsidP="007F2B73"/>
    <w:p w14:paraId="028AD25F" w14:textId="77777777" w:rsidR="002110C3" w:rsidRPr="002110C3" w:rsidRDefault="002110C3" w:rsidP="008A18B3">
      <w:pPr>
        <w:spacing w:after="0" w:line="240" w:lineRule="auto"/>
        <w:ind w:left="57"/>
        <w:jc w:val="right"/>
        <w:rPr>
          <w:i/>
          <w:sz w:val="20"/>
          <w:szCs w:val="20"/>
        </w:rPr>
      </w:pPr>
    </w:p>
    <w:p w14:paraId="22B531F9" w14:textId="77777777" w:rsidR="00AD0DE7" w:rsidRPr="00AD0DE7" w:rsidRDefault="00AD0DE7" w:rsidP="00AD3C20">
      <w:pPr>
        <w:pStyle w:val="Default"/>
        <w:tabs>
          <w:tab w:val="left" w:pos="1701"/>
        </w:tabs>
        <w:spacing w:line="360" w:lineRule="auto"/>
        <w:ind w:firstLine="567"/>
        <w:jc w:val="both"/>
      </w:pPr>
      <w:r w:rsidRPr="00AD0DE7">
        <w:lastRenderedPageBreak/>
        <w:t>Iš paveikslo matyti, jog finansinė analizė svarbi įmonės valdymo sistemos funkcija, glaudžiai susijusi su planavimu, buhalterine apskaita, kontrole ir prognozavimu. Todėl gerai atlikta veiklos analizė parodo</w:t>
      </w:r>
      <w:r w:rsidR="00463749">
        <w:t>,</w:t>
      </w:r>
      <w:r w:rsidRPr="00AD0DE7">
        <w:t xml:space="preserve"> kokie rezultatai buvo pasiekti, kodėl gauti tokie rezultatai, ar įmanoma buvo pasiekti geresnių rezultatų, kas įtakojo rezultatus, ar buvo galima dirbti geriau, taupiau naudoti išteklius, ar priimti ekonomiškai pagr</w:t>
      </w:r>
      <w:r w:rsidR="00671BDD">
        <w:t>įsti sprendimai</w:t>
      </w:r>
      <w:r w:rsidRPr="00AD0DE7">
        <w:t>.</w:t>
      </w:r>
    </w:p>
    <w:p w14:paraId="1C4ADE6D" w14:textId="77777777" w:rsidR="00AD0DE7" w:rsidRPr="00AD0DE7" w:rsidRDefault="00AD0DE7" w:rsidP="00AD3C20">
      <w:pPr>
        <w:pStyle w:val="Default"/>
        <w:spacing w:line="360" w:lineRule="auto"/>
        <w:ind w:firstLine="567"/>
        <w:jc w:val="both"/>
      </w:pPr>
      <w:r w:rsidRPr="00AD0DE7">
        <w:t>Finansinės analizės objektas yra įmonių finansinė veikla ir rezultatai</w:t>
      </w:r>
      <w:r w:rsidR="000F7163">
        <w:t xml:space="preserve">. </w:t>
      </w:r>
      <w:r w:rsidRPr="00AD0DE7">
        <w:t xml:space="preserve">Pagrindiniai analizės tikslai (Mackevičius ir kt., 2011; </w:t>
      </w:r>
      <w:r w:rsidR="00757D2D">
        <w:t>Girdzijauskas, 2005; Katauskis, 2010</w:t>
      </w:r>
      <w:r w:rsidRPr="00AD0DE7">
        <w:t>; Buškevičiūtė, Mačerinskienė, 2009 ir kt.):</w:t>
      </w:r>
    </w:p>
    <w:p w14:paraId="7F43B238" w14:textId="77777777" w:rsidR="00AD0DE7" w:rsidRPr="00AD0DE7" w:rsidRDefault="00AD0DE7" w:rsidP="00447752">
      <w:pPr>
        <w:pStyle w:val="Default"/>
        <w:numPr>
          <w:ilvl w:val="0"/>
          <w:numId w:val="1"/>
        </w:numPr>
        <w:tabs>
          <w:tab w:val="clear" w:pos="1440"/>
          <w:tab w:val="num" w:pos="851"/>
        </w:tabs>
        <w:spacing w:line="360" w:lineRule="auto"/>
        <w:ind w:left="851" w:hanging="284"/>
        <w:jc w:val="both"/>
      </w:pPr>
      <w:r w:rsidRPr="00AD0DE7">
        <w:t>įvertinti įmonės finansinį stabilumą, išteklių naudojimo efektyvumą, išsiaiškinti neigiamų pokyčių gilumines priežastis;</w:t>
      </w:r>
    </w:p>
    <w:p w14:paraId="6318F824" w14:textId="77777777" w:rsidR="00AD0DE7" w:rsidRPr="00AD0DE7" w:rsidRDefault="00AD0DE7" w:rsidP="00447752">
      <w:pPr>
        <w:pStyle w:val="Default"/>
        <w:numPr>
          <w:ilvl w:val="0"/>
          <w:numId w:val="1"/>
        </w:numPr>
        <w:tabs>
          <w:tab w:val="clear" w:pos="1440"/>
          <w:tab w:val="num" w:pos="851"/>
        </w:tabs>
        <w:spacing w:line="360" w:lineRule="auto"/>
        <w:ind w:left="851" w:hanging="284"/>
        <w:jc w:val="both"/>
      </w:pPr>
      <w:r w:rsidRPr="00AD0DE7">
        <w:t>tirti vidaus ir aplinkos veiksnių įtaką veiklos rezultatams, taip pat įmonės veiklos gerinimo galimybes;</w:t>
      </w:r>
    </w:p>
    <w:p w14:paraId="4FF46933" w14:textId="77777777" w:rsidR="00AD0DE7" w:rsidRPr="00AD0DE7" w:rsidRDefault="00AD0DE7" w:rsidP="00447752">
      <w:pPr>
        <w:pStyle w:val="Default"/>
        <w:numPr>
          <w:ilvl w:val="0"/>
          <w:numId w:val="1"/>
        </w:numPr>
        <w:tabs>
          <w:tab w:val="clear" w:pos="1440"/>
          <w:tab w:val="num" w:pos="851"/>
        </w:tabs>
        <w:spacing w:line="360" w:lineRule="auto"/>
        <w:ind w:left="851" w:hanging="284"/>
        <w:jc w:val="both"/>
      </w:pPr>
      <w:r w:rsidRPr="00AD0DE7">
        <w:t>įvertinti įmonės veiklos efektyvumą, tirti pinigų srautus ir prognozuoti jų kitimo</w:t>
      </w:r>
      <w:r w:rsidRPr="00AD0DE7">
        <w:br/>
        <w:t>tendencijas;</w:t>
      </w:r>
    </w:p>
    <w:p w14:paraId="6E74A77C" w14:textId="77777777" w:rsidR="001910EA" w:rsidRPr="00463749" w:rsidRDefault="00AD0DE7" w:rsidP="00447752">
      <w:pPr>
        <w:pStyle w:val="Default"/>
        <w:numPr>
          <w:ilvl w:val="0"/>
          <w:numId w:val="1"/>
        </w:numPr>
        <w:tabs>
          <w:tab w:val="clear" w:pos="1440"/>
          <w:tab w:val="num" w:pos="851"/>
        </w:tabs>
        <w:spacing w:line="360" w:lineRule="auto"/>
        <w:ind w:left="851" w:hanging="284"/>
        <w:jc w:val="both"/>
      </w:pPr>
      <w:r w:rsidRPr="00AD0DE7">
        <w:t>suformuoti normatyvinę finansinių rodiklių sistemą, kuri leistų prognozuoti įmonės veiklą, įvertinti priimamų vadybos sprendimų ekonominį efektyvumą ir pagrįstumą bei dabartinę jos padėtį.</w:t>
      </w:r>
    </w:p>
    <w:p w14:paraId="0C4A37B6" w14:textId="77777777" w:rsidR="00463749" w:rsidRDefault="00AD0DE7" w:rsidP="00AD3C20">
      <w:pPr>
        <w:spacing w:after="0" w:line="360" w:lineRule="auto"/>
        <w:ind w:firstLine="567"/>
        <w:jc w:val="both"/>
        <w:rPr>
          <w:rFonts w:ascii="Times New Roman" w:hAnsi="Times New Roman" w:cs="Times New Roman"/>
          <w:sz w:val="24"/>
          <w:szCs w:val="24"/>
        </w:rPr>
      </w:pPr>
      <w:r w:rsidRPr="00AD0DE7">
        <w:rPr>
          <w:rFonts w:ascii="Times New Roman" w:hAnsi="Times New Roman" w:cs="Times New Roman"/>
          <w:sz w:val="24"/>
          <w:szCs w:val="24"/>
        </w:rPr>
        <w:t>Informacija analizei atlikti imama iš įmonės finansinių ataskaitų – balanso, pelno</w:t>
      </w:r>
      <w:r w:rsidR="007A2CC6">
        <w:rPr>
          <w:rFonts w:ascii="Times New Roman" w:hAnsi="Times New Roman" w:cs="Times New Roman"/>
          <w:sz w:val="24"/>
          <w:szCs w:val="24"/>
        </w:rPr>
        <w:t xml:space="preserve"> (nuostolių)</w:t>
      </w:r>
      <w:r w:rsidRPr="00AD0DE7">
        <w:rPr>
          <w:rFonts w:ascii="Times New Roman" w:hAnsi="Times New Roman" w:cs="Times New Roman"/>
          <w:sz w:val="24"/>
          <w:szCs w:val="24"/>
        </w:rPr>
        <w:t>, pinigų srautų, nuosavo kapitalo pokyčių ir aiškinamojo rašto. Itin svarbu, kad šios ataskaitos būtų sudarytos teisingai, nes klaidinga informacija gali iškreipti rezultatus, kuriais remiantis bus priimami tolimesni sprendimai. Taigi informacijos patikimumas yra labai svarbus veiksnys atliekant finansinę analizę</w:t>
      </w:r>
      <w:r w:rsidR="00463749">
        <w:rPr>
          <w:rFonts w:ascii="Times New Roman" w:hAnsi="Times New Roman" w:cs="Times New Roman"/>
          <w:sz w:val="24"/>
          <w:szCs w:val="24"/>
        </w:rPr>
        <w:t>.</w:t>
      </w:r>
    </w:p>
    <w:p w14:paraId="1647F7BE" w14:textId="77777777" w:rsidR="00463749" w:rsidRDefault="00264206" w:rsidP="00AD3C2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0D1010">
        <w:rPr>
          <w:rFonts w:ascii="Times New Roman" w:hAnsi="Times New Roman" w:cs="Times New Roman"/>
          <w:sz w:val="24"/>
          <w:szCs w:val="24"/>
        </w:rPr>
        <w:t>nalizei atlikti taikomi</w:t>
      </w:r>
      <w:r w:rsidR="00AD0DE7" w:rsidRPr="00AD0DE7">
        <w:rPr>
          <w:rFonts w:ascii="Times New Roman" w:hAnsi="Times New Roman" w:cs="Times New Roman"/>
          <w:sz w:val="24"/>
          <w:szCs w:val="24"/>
        </w:rPr>
        <w:t xml:space="preserve"> ir ekonominiai, ir matematiniai, ir statistiniai būdai. </w:t>
      </w:r>
      <w:r w:rsidR="00895405">
        <w:rPr>
          <w:rFonts w:ascii="Times New Roman" w:hAnsi="Times New Roman" w:cs="Times New Roman"/>
          <w:sz w:val="24"/>
          <w:szCs w:val="24"/>
        </w:rPr>
        <w:t>Dažnia</w:t>
      </w:r>
      <w:r w:rsidR="00427594">
        <w:rPr>
          <w:rFonts w:ascii="Times New Roman" w:hAnsi="Times New Roman" w:cs="Times New Roman"/>
          <w:sz w:val="24"/>
          <w:szCs w:val="24"/>
        </w:rPr>
        <w:t>usiai f</w:t>
      </w:r>
      <w:r w:rsidR="00AD0DE7" w:rsidRPr="00AD0DE7">
        <w:rPr>
          <w:rFonts w:ascii="Times New Roman" w:hAnsi="Times New Roman" w:cs="Times New Roman"/>
          <w:sz w:val="24"/>
          <w:szCs w:val="24"/>
        </w:rPr>
        <w:t xml:space="preserve">inansinės veiklos vertinimui naudojami metodai pateikti 1 lentelėje. </w:t>
      </w:r>
    </w:p>
    <w:p w14:paraId="61F7F775" w14:textId="77777777" w:rsidR="00427594" w:rsidRPr="00AD0DE7" w:rsidRDefault="00427594" w:rsidP="007A2CC6">
      <w:pPr>
        <w:spacing w:after="0" w:line="360" w:lineRule="auto"/>
        <w:ind w:left="57" w:firstLine="540"/>
        <w:jc w:val="both"/>
        <w:rPr>
          <w:rFonts w:ascii="Times New Roman" w:hAnsi="Times New Roman" w:cs="Times New Roman"/>
          <w:sz w:val="24"/>
          <w:szCs w:val="24"/>
        </w:rPr>
      </w:pPr>
    </w:p>
    <w:p w14:paraId="00DD2FA1" w14:textId="77777777" w:rsidR="00AD0DE7" w:rsidRPr="009900EC" w:rsidRDefault="00AD0DE7" w:rsidP="009900EC">
      <w:pPr>
        <w:pStyle w:val="1ant"/>
        <w:rPr>
          <w:rStyle w:val="Strong"/>
          <w:bCs w:val="0"/>
          <w:sz w:val="24"/>
          <w:szCs w:val="24"/>
        </w:rPr>
      </w:pPr>
      <w:bookmarkStart w:id="48" w:name="_Toc227593857"/>
      <w:bookmarkStart w:id="49" w:name="_Toc227594628"/>
      <w:bookmarkStart w:id="50" w:name="_Toc227595957"/>
      <w:r w:rsidRPr="009900EC">
        <w:rPr>
          <w:rStyle w:val="Strong"/>
          <w:bCs w:val="0"/>
          <w:sz w:val="24"/>
          <w:szCs w:val="24"/>
        </w:rPr>
        <w:t>1 lentelė. Finansinės veiklos vertinimo metodai</w:t>
      </w:r>
      <w:bookmarkEnd w:id="48"/>
      <w:bookmarkEnd w:id="49"/>
      <w:bookmarkEnd w:id="50"/>
    </w:p>
    <w:tbl>
      <w:tblPr>
        <w:tblStyle w:val="TableGrid"/>
        <w:tblW w:w="9923" w:type="dxa"/>
        <w:tblInd w:w="108" w:type="dxa"/>
        <w:tblLook w:val="04A0" w:firstRow="1" w:lastRow="0" w:firstColumn="1" w:lastColumn="0" w:noHBand="0" w:noVBand="1"/>
      </w:tblPr>
      <w:tblGrid>
        <w:gridCol w:w="2007"/>
        <w:gridCol w:w="3060"/>
        <w:gridCol w:w="2696"/>
        <w:gridCol w:w="2160"/>
      </w:tblGrid>
      <w:tr w:rsidR="00AD0DE7" w:rsidRPr="00AD0DE7" w14:paraId="3EFCADCA" w14:textId="77777777" w:rsidTr="00044957">
        <w:tc>
          <w:tcPr>
            <w:tcW w:w="2007" w:type="dxa"/>
          </w:tcPr>
          <w:p w14:paraId="4078EB16" w14:textId="77777777" w:rsidR="00AD0DE7" w:rsidRPr="00AD0DE7" w:rsidRDefault="00AD0DE7" w:rsidP="00942B48">
            <w:pPr>
              <w:spacing w:line="360" w:lineRule="auto"/>
              <w:jc w:val="both"/>
              <w:rPr>
                <w:rFonts w:ascii="Times New Roman" w:hAnsi="Times New Roman" w:cs="Times New Roman"/>
                <w:b/>
                <w:sz w:val="20"/>
                <w:szCs w:val="20"/>
              </w:rPr>
            </w:pPr>
            <w:r w:rsidRPr="00AD0DE7">
              <w:rPr>
                <w:rFonts w:ascii="Times New Roman" w:hAnsi="Times New Roman" w:cs="Times New Roman"/>
                <w:b/>
                <w:sz w:val="20"/>
                <w:szCs w:val="20"/>
              </w:rPr>
              <w:t xml:space="preserve">Metodas </w:t>
            </w:r>
          </w:p>
        </w:tc>
        <w:tc>
          <w:tcPr>
            <w:tcW w:w="3060" w:type="dxa"/>
          </w:tcPr>
          <w:p w14:paraId="79DF7C4A" w14:textId="77777777" w:rsidR="00AD0DE7" w:rsidRPr="00AD0DE7" w:rsidRDefault="00AD0DE7" w:rsidP="00942B48">
            <w:pPr>
              <w:spacing w:line="360" w:lineRule="auto"/>
              <w:jc w:val="both"/>
              <w:rPr>
                <w:rFonts w:ascii="Times New Roman" w:hAnsi="Times New Roman" w:cs="Times New Roman"/>
                <w:b/>
                <w:sz w:val="20"/>
                <w:szCs w:val="20"/>
              </w:rPr>
            </w:pPr>
            <w:r w:rsidRPr="00AD0DE7">
              <w:rPr>
                <w:rFonts w:ascii="Times New Roman" w:hAnsi="Times New Roman" w:cs="Times New Roman"/>
                <w:b/>
                <w:sz w:val="20"/>
                <w:szCs w:val="20"/>
              </w:rPr>
              <w:t xml:space="preserve">Požymiai </w:t>
            </w:r>
          </w:p>
        </w:tc>
        <w:tc>
          <w:tcPr>
            <w:tcW w:w="2696" w:type="dxa"/>
          </w:tcPr>
          <w:p w14:paraId="0DB00B43" w14:textId="77777777" w:rsidR="00AD0DE7" w:rsidRPr="00AD0DE7" w:rsidRDefault="00AD0DE7" w:rsidP="00942B48">
            <w:pPr>
              <w:spacing w:line="360" w:lineRule="auto"/>
              <w:jc w:val="both"/>
              <w:rPr>
                <w:rFonts w:ascii="Times New Roman" w:hAnsi="Times New Roman" w:cs="Times New Roman"/>
                <w:b/>
                <w:sz w:val="20"/>
                <w:szCs w:val="20"/>
              </w:rPr>
            </w:pPr>
            <w:r w:rsidRPr="00AD0DE7">
              <w:rPr>
                <w:rFonts w:ascii="Times New Roman" w:hAnsi="Times New Roman" w:cs="Times New Roman"/>
                <w:b/>
                <w:sz w:val="20"/>
                <w:szCs w:val="20"/>
              </w:rPr>
              <w:t>Privalumai</w:t>
            </w:r>
          </w:p>
        </w:tc>
        <w:tc>
          <w:tcPr>
            <w:tcW w:w="2160" w:type="dxa"/>
          </w:tcPr>
          <w:p w14:paraId="35ACBDDE" w14:textId="77777777" w:rsidR="00AD0DE7" w:rsidRPr="00AD0DE7" w:rsidRDefault="00AD0DE7" w:rsidP="00942B48">
            <w:pPr>
              <w:spacing w:line="360" w:lineRule="auto"/>
              <w:jc w:val="both"/>
              <w:rPr>
                <w:rFonts w:ascii="Times New Roman" w:hAnsi="Times New Roman" w:cs="Times New Roman"/>
                <w:b/>
                <w:sz w:val="20"/>
                <w:szCs w:val="20"/>
              </w:rPr>
            </w:pPr>
            <w:r w:rsidRPr="00AD0DE7">
              <w:rPr>
                <w:rFonts w:ascii="Times New Roman" w:hAnsi="Times New Roman" w:cs="Times New Roman"/>
                <w:b/>
                <w:sz w:val="20"/>
                <w:szCs w:val="20"/>
              </w:rPr>
              <w:t xml:space="preserve">Trūkumai </w:t>
            </w:r>
          </w:p>
        </w:tc>
      </w:tr>
      <w:tr w:rsidR="00AD0DE7" w:rsidRPr="00AD0DE7" w14:paraId="7F627E77" w14:textId="77777777" w:rsidTr="00044957">
        <w:tc>
          <w:tcPr>
            <w:tcW w:w="2007" w:type="dxa"/>
          </w:tcPr>
          <w:p w14:paraId="7EA3E470" w14:textId="77777777" w:rsidR="00AD0DE7" w:rsidRPr="00AD0DE7" w:rsidRDefault="00AD0DE7" w:rsidP="00942B48">
            <w:pPr>
              <w:rPr>
                <w:rFonts w:ascii="Times New Roman" w:hAnsi="Times New Roman" w:cs="Times New Roman"/>
                <w:sz w:val="20"/>
                <w:szCs w:val="20"/>
              </w:rPr>
            </w:pPr>
            <w:r w:rsidRPr="00AD0DE7">
              <w:rPr>
                <w:rFonts w:ascii="Times New Roman" w:hAnsi="Times New Roman" w:cs="Times New Roman"/>
                <w:sz w:val="20"/>
                <w:szCs w:val="20"/>
              </w:rPr>
              <w:t>Horizontalioji analizė</w:t>
            </w:r>
          </w:p>
        </w:tc>
        <w:tc>
          <w:tcPr>
            <w:tcW w:w="3060" w:type="dxa"/>
          </w:tcPr>
          <w:p w14:paraId="707F9685" w14:textId="77777777" w:rsidR="00AD0DE7" w:rsidRPr="00AD0DE7" w:rsidRDefault="00AD0DE7" w:rsidP="00010312">
            <w:pPr>
              <w:rPr>
                <w:rFonts w:ascii="Times New Roman" w:hAnsi="Times New Roman" w:cs="Times New Roman"/>
                <w:sz w:val="20"/>
                <w:szCs w:val="20"/>
              </w:rPr>
            </w:pPr>
            <w:r w:rsidRPr="00AD0DE7">
              <w:rPr>
                <w:rFonts w:ascii="Times New Roman" w:hAnsi="Times New Roman" w:cs="Times New Roman"/>
                <w:sz w:val="20"/>
                <w:szCs w:val="20"/>
              </w:rPr>
              <w:t>Pradinis analizės etapas, kuriame sisteminami duomenys. Finansinių ataskaitų dydžiai lyginami su praėjusio laikotarpio</w:t>
            </w:r>
            <w:r w:rsidR="00010312">
              <w:rPr>
                <w:rFonts w:ascii="Times New Roman" w:hAnsi="Times New Roman" w:cs="Times New Roman"/>
                <w:sz w:val="20"/>
                <w:szCs w:val="20"/>
              </w:rPr>
              <w:t xml:space="preserve"> duomenimis ar planuojamais rodikliais</w:t>
            </w:r>
            <w:r w:rsidRPr="00AD0DE7">
              <w:rPr>
                <w:rFonts w:ascii="Times New Roman" w:hAnsi="Times New Roman" w:cs="Times New Roman"/>
                <w:sz w:val="20"/>
                <w:szCs w:val="20"/>
              </w:rPr>
              <w:t xml:space="preserve">(Buškevičiūtė, Mačerinskienė, 2009). Taikomi baziniai ir grandininiai metodai. </w:t>
            </w:r>
          </w:p>
        </w:tc>
        <w:tc>
          <w:tcPr>
            <w:tcW w:w="2696" w:type="dxa"/>
          </w:tcPr>
          <w:p w14:paraId="69BE53A4"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Padeda nustatyti rodiklių dinamiką absoliučiais dydžiais ir procentais bei nukrypimus nuo bazinių rodiklių.</w:t>
            </w:r>
          </w:p>
        </w:tc>
        <w:tc>
          <w:tcPr>
            <w:tcW w:w="2160" w:type="dxa"/>
          </w:tcPr>
          <w:p w14:paraId="459BA700"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Neišryškina priežasčių, kurios sukėlė nukrypimus.</w:t>
            </w:r>
          </w:p>
        </w:tc>
      </w:tr>
      <w:tr w:rsidR="00AD0DE7" w:rsidRPr="00AD0DE7" w14:paraId="0150B96C" w14:textId="77777777" w:rsidTr="00044957">
        <w:tc>
          <w:tcPr>
            <w:tcW w:w="2007" w:type="dxa"/>
          </w:tcPr>
          <w:p w14:paraId="009AA8C6" w14:textId="77777777" w:rsidR="00AD0DE7" w:rsidRPr="00AD0DE7" w:rsidRDefault="00AD0DE7" w:rsidP="00942B48">
            <w:pPr>
              <w:rPr>
                <w:rFonts w:ascii="Times New Roman" w:hAnsi="Times New Roman" w:cs="Times New Roman"/>
                <w:sz w:val="20"/>
                <w:szCs w:val="20"/>
              </w:rPr>
            </w:pPr>
            <w:r w:rsidRPr="00AD0DE7">
              <w:rPr>
                <w:rFonts w:ascii="Times New Roman" w:hAnsi="Times New Roman" w:cs="Times New Roman"/>
                <w:sz w:val="20"/>
                <w:szCs w:val="20"/>
              </w:rPr>
              <w:t>Vertikalioji analizė</w:t>
            </w:r>
          </w:p>
        </w:tc>
        <w:tc>
          <w:tcPr>
            <w:tcW w:w="3060" w:type="dxa"/>
          </w:tcPr>
          <w:p w14:paraId="48496C0D"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Pradinis analizės etapas, kuriame sisteminami duomenys. Atliekama kiekvieną finansinį rodiklį lyginant su bendruoju baziniu tos ataskaitos rodikliu, o gautas dydis išreiškiamas procentais.</w:t>
            </w:r>
          </w:p>
        </w:tc>
        <w:tc>
          <w:tcPr>
            <w:tcW w:w="2696" w:type="dxa"/>
          </w:tcPr>
          <w:p w14:paraId="43C30A70"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 xml:space="preserve">Atliekant keleto metų finansinių rodiklių struktūrinę analizę, galima nustatyti rodiklių pakitimų priežastis – nustatyti kapitalo struktūrą ir jo kitimo priežastis, atskleisti </w:t>
            </w:r>
            <w:r w:rsidRPr="00AD0DE7">
              <w:rPr>
                <w:rFonts w:ascii="Times New Roman" w:hAnsi="Times New Roman" w:cs="Times New Roman"/>
                <w:sz w:val="20"/>
                <w:szCs w:val="20"/>
              </w:rPr>
              <w:lastRenderedPageBreak/>
              <w:t>pajamų ir sąnaudų kitimo priežastis (Juozaitienė, 2007).</w:t>
            </w:r>
          </w:p>
        </w:tc>
        <w:tc>
          <w:tcPr>
            <w:tcW w:w="2160" w:type="dxa"/>
          </w:tcPr>
          <w:p w14:paraId="2C743637" w14:textId="77777777" w:rsidR="00AD0DE7" w:rsidRPr="00AD0DE7" w:rsidRDefault="00AD0DE7" w:rsidP="00AE3823">
            <w:pPr>
              <w:rPr>
                <w:rFonts w:ascii="Times New Roman" w:hAnsi="Times New Roman" w:cs="Times New Roman"/>
                <w:sz w:val="20"/>
                <w:szCs w:val="20"/>
              </w:rPr>
            </w:pPr>
            <w:r w:rsidRPr="00AD0DE7">
              <w:rPr>
                <w:rFonts w:ascii="Times New Roman" w:hAnsi="Times New Roman" w:cs="Times New Roman"/>
                <w:sz w:val="20"/>
                <w:szCs w:val="20"/>
              </w:rPr>
              <w:lastRenderedPageBreak/>
              <w:t xml:space="preserve">Tai tėra įžanga į finansinę analizę. </w:t>
            </w:r>
            <w:r w:rsidR="00AE3823">
              <w:rPr>
                <w:rFonts w:ascii="Times New Roman" w:hAnsi="Times New Roman" w:cs="Times New Roman"/>
                <w:sz w:val="20"/>
                <w:szCs w:val="20"/>
              </w:rPr>
              <w:t>Pasitaiko</w:t>
            </w:r>
            <w:r w:rsidRPr="00AD0DE7">
              <w:rPr>
                <w:rFonts w:ascii="Times New Roman" w:hAnsi="Times New Roman" w:cs="Times New Roman"/>
                <w:sz w:val="20"/>
                <w:szCs w:val="20"/>
              </w:rPr>
              <w:t xml:space="preserve">, kad atlikus tiek horizontaliąją, tiek vertikaliąją analizes, probleminės sritys </w:t>
            </w:r>
            <w:r w:rsidRPr="00AD0DE7">
              <w:rPr>
                <w:rFonts w:ascii="Times New Roman" w:hAnsi="Times New Roman" w:cs="Times New Roman"/>
                <w:sz w:val="20"/>
                <w:szCs w:val="20"/>
              </w:rPr>
              <w:lastRenderedPageBreak/>
              <w:t>nepastebimos.</w:t>
            </w:r>
          </w:p>
        </w:tc>
      </w:tr>
      <w:tr w:rsidR="00AD0DE7" w:rsidRPr="00AD0DE7" w14:paraId="73BA1A35" w14:textId="77777777" w:rsidTr="00044957">
        <w:tc>
          <w:tcPr>
            <w:tcW w:w="2007" w:type="dxa"/>
          </w:tcPr>
          <w:p w14:paraId="10E604C2" w14:textId="77777777" w:rsidR="00AD0DE7" w:rsidRPr="00AD0DE7" w:rsidRDefault="00AD0DE7" w:rsidP="00942B48">
            <w:pPr>
              <w:rPr>
                <w:rFonts w:ascii="Times New Roman" w:hAnsi="Times New Roman" w:cs="Times New Roman"/>
                <w:sz w:val="20"/>
                <w:szCs w:val="20"/>
              </w:rPr>
            </w:pPr>
            <w:r w:rsidRPr="00AD0DE7">
              <w:rPr>
                <w:rFonts w:ascii="Times New Roman" w:hAnsi="Times New Roman" w:cs="Times New Roman"/>
                <w:sz w:val="20"/>
                <w:szCs w:val="20"/>
              </w:rPr>
              <w:lastRenderedPageBreak/>
              <w:t>Absoliutiniai rodikliai</w:t>
            </w:r>
          </w:p>
        </w:tc>
        <w:tc>
          <w:tcPr>
            <w:tcW w:w="3060" w:type="dxa"/>
          </w:tcPr>
          <w:p w14:paraId="63513382"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Rodikliai apskaičiuoti vertine išraiška, remiantis buhalterinės apskaitos duomenis ir pateikti ataskaitose (Mackevičius ir kiti, 2011).  Jie skiriami į tris grupes: finansinės būklės, veiklos rezultatų ir pinigų srautų.</w:t>
            </w:r>
          </w:p>
        </w:tc>
        <w:tc>
          <w:tcPr>
            <w:tcW w:w="2696" w:type="dxa"/>
          </w:tcPr>
          <w:p w14:paraId="3D31EDF0"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Medžiaga tolimesnei analizei.</w:t>
            </w:r>
          </w:p>
        </w:tc>
        <w:tc>
          <w:tcPr>
            <w:tcW w:w="2160" w:type="dxa"/>
          </w:tcPr>
          <w:p w14:paraId="3F81DAF7" w14:textId="77777777" w:rsidR="00AD0DE7" w:rsidRPr="00AD0DE7" w:rsidRDefault="00463749" w:rsidP="00463749">
            <w:pPr>
              <w:rPr>
                <w:rFonts w:ascii="Times New Roman" w:hAnsi="Times New Roman" w:cs="Times New Roman"/>
                <w:sz w:val="20"/>
                <w:szCs w:val="20"/>
              </w:rPr>
            </w:pPr>
            <w:r>
              <w:rPr>
                <w:rFonts w:ascii="Times New Roman" w:hAnsi="Times New Roman" w:cs="Times New Roman"/>
                <w:sz w:val="20"/>
                <w:szCs w:val="20"/>
              </w:rPr>
              <w:t>Remiantis tik šiais duomenimis negalima palyginti skirtingų dydžių įmonių.</w:t>
            </w:r>
          </w:p>
        </w:tc>
      </w:tr>
      <w:tr w:rsidR="00AD0DE7" w:rsidRPr="00AD0DE7" w14:paraId="7400B3F5" w14:textId="77777777" w:rsidTr="00044957">
        <w:trPr>
          <w:trHeight w:val="2253"/>
        </w:trPr>
        <w:tc>
          <w:tcPr>
            <w:tcW w:w="2007" w:type="dxa"/>
          </w:tcPr>
          <w:p w14:paraId="458C5359" w14:textId="77777777" w:rsidR="00AD0DE7" w:rsidRPr="00AD0DE7" w:rsidRDefault="00AD0DE7" w:rsidP="00942B48">
            <w:pPr>
              <w:rPr>
                <w:rFonts w:ascii="Times New Roman" w:hAnsi="Times New Roman" w:cs="Times New Roman"/>
                <w:sz w:val="20"/>
                <w:szCs w:val="20"/>
              </w:rPr>
            </w:pPr>
            <w:r w:rsidRPr="00AD0DE7">
              <w:rPr>
                <w:rFonts w:ascii="Times New Roman" w:hAnsi="Times New Roman" w:cs="Times New Roman"/>
                <w:sz w:val="20"/>
                <w:szCs w:val="20"/>
              </w:rPr>
              <w:t>Santykiniai rodikliai</w:t>
            </w:r>
          </w:p>
        </w:tc>
        <w:tc>
          <w:tcPr>
            <w:tcW w:w="3060" w:type="dxa"/>
          </w:tcPr>
          <w:p w14:paraId="33664CFB" w14:textId="77777777" w:rsidR="00AD0DE7" w:rsidRPr="00AD0DE7" w:rsidRDefault="00AD0DE7" w:rsidP="007A2CC6">
            <w:pPr>
              <w:rPr>
                <w:rFonts w:ascii="Times New Roman" w:hAnsi="Times New Roman" w:cs="Times New Roman"/>
                <w:sz w:val="20"/>
                <w:szCs w:val="20"/>
              </w:rPr>
            </w:pPr>
            <w:r w:rsidRPr="00AD0DE7">
              <w:rPr>
                <w:rFonts w:ascii="Times New Roman" w:hAnsi="Times New Roman" w:cs="Times New Roman"/>
                <w:sz w:val="20"/>
                <w:szCs w:val="20"/>
              </w:rPr>
              <w:t xml:space="preserve">Finansinių koeficientų analizė. Rodiklių esama daug ir įvairių. Finansinis rodiklis </w:t>
            </w:r>
            <w:r w:rsidR="007A4FFD">
              <w:rPr>
                <w:rFonts w:ascii="Times New Roman" w:hAnsi="Times New Roman" w:cs="Times New Roman"/>
                <w:sz w:val="20"/>
                <w:szCs w:val="20"/>
              </w:rPr>
              <w:t>yra dviejų ar daugiau absoliutinių</w:t>
            </w:r>
            <w:r w:rsidRPr="00AD0DE7">
              <w:rPr>
                <w:rFonts w:ascii="Times New Roman" w:hAnsi="Times New Roman" w:cs="Times New Roman"/>
                <w:sz w:val="20"/>
                <w:szCs w:val="20"/>
              </w:rPr>
              <w:t xml:space="preserve"> rodiklių santykis. Koeficientai išreiškia ataskaitų </w:t>
            </w:r>
            <w:r w:rsidR="004B71DE">
              <w:rPr>
                <w:rFonts w:ascii="Times New Roman" w:hAnsi="Times New Roman" w:cs="Times New Roman"/>
                <w:sz w:val="20"/>
                <w:szCs w:val="20"/>
              </w:rPr>
              <w:t xml:space="preserve">ir jų straipsnių </w:t>
            </w:r>
            <w:r w:rsidRPr="00AD0DE7">
              <w:rPr>
                <w:rFonts w:ascii="Times New Roman" w:hAnsi="Times New Roman" w:cs="Times New Roman"/>
                <w:sz w:val="20"/>
                <w:szCs w:val="20"/>
              </w:rPr>
              <w:t xml:space="preserve">tarpusavio ryšius. Pagrindinės rodiklių grupės: pelningumo, </w:t>
            </w:r>
            <w:r w:rsidR="007A2CC6">
              <w:rPr>
                <w:rFonts w:ascii="Times New Roman" w:hAnsi="Times New Roman" w:cs="Times New Roman"/>
                <w:sz w:val="20"/>
                <w:szCs w:val="20"/>
              </w:rPr>
              <w:t>likvidumo (mokumo)</w:t>
            </w:r>
            <w:r w:rsidRPr="00AD0DE7">
              <w:rPr>
                <w:rFonts w:ascii="Times New Roman" w:hAnsi="Times New Roman" w:cs="Times New Roman"/>
                <w:sz w:val="20"/>
                <w:szCs w:val="20"/>
              </w:rPr>
              <w:t>, veiklos efektyvumo, kapitalo struktūros.</w:t>
            </w:r>
          </w:p>
        </w:tc>
        <w:tc>
          <w:tcPr>
            <w:tcW w:w="2696" w:type="dxa"/>
          </w:tcPr>
          <w:p w14:paraId="76A4163E"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Objektyviai ir tiksliai įvertina įvairias įmonės veiklos sritis, atskleidžia rezervus ir nepanaudotas galimybes, numato ir padeda priimti optimalius valdymo sprendimus. Padeda nustatyti veiklos tęstinumo ir plėtros galimybes (Galinienė, Mašalaitytė, 2007).</w:t>
            </w:r>
          </w:p>
        </w:tc>
        <w:tc>
          <w:tcPr>
            <w:tcW w:w="2160" w:type="dxa"/>
          </w:tcPr>
          <w:p w14:paraId="0FF6394B"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Gali būti nesąmoningai sudaryti santykiniai rodikliai, tai yra</w:t>
            </w:r>
            <w:r w:rsidR="00010312">
              <w:rPr>
                <w:rFonts w:ascii="Times New Roman" w:hAnsi="Times New Roman" w:cs="Times New Roman"/>
                <w:sz w:val="20"/>
                <w:szCs w:val="20"/>
              </w:rPr>
              <w:t>,</w:t>
            </w:r>
            <w:r w:rsidRPr="00AD0DE7">
              <w:rPr>
                <w:rFonts w:ascii="Times New Roman" w:hAnsi="Times New Roman" w:cs="Times New Roman"/>
                <w:sz w:val="20"/>
                <w:szCs w:val="20"/>
              </w:rPr>
              <w:t xml:space="preserve"> ieškomas santykis tarp tarpusavyje nesusijusių dydžių. Egzistuoja be galo daug rodiklių, todėl gali būti sudėtinga parinkti tinkamus.</w:t>
            </w:r>
          </w:p>
        </w:tc>
      </w:tr>
      <w:tr w:rsidR="00AD0DE7" w:rsidRPr="00AD0DE7" w14:paraId="1452A53E" w14:textId="77777777" w:rsidTr="00044957">
        <w:tc>
          <w:tcPr>
            <w:tcW w:w="2007" w:type="dxa"/>
          </w:tcPr>
          <w:p w14:paraId="5A04A34E" w14:textId="77777777" w:rsidR="00AD0DE7" w:rsidRPr="00AD0DE7" w:rsidRDefault="00AD0DE7" w:rsidP="00942B48">
            <w:pPr>
              <w:rPr>
                <w:rFonts w:ascii="Times New Roman" w:hAnsi="Times New Roman" w:cs="Times New Roman"/>
                <w:sz w:val="20"/>
                <w:szCs w:val="20"/>
              </w:rPr>
            </w:pPr>
            <w:r w:rsidRPr="00AD0DE7">
              <w:rPr>
                <w:rFonts w:ascii="Times New Roman" w:hAnsi="Times New Roman" w:cs="Times New Roman"/>
                <w:sz w:val="20"/>
                <w:szCs w:val="20"/>
              </w:rPr>
              <w:t>Daugiakriterinė analizė</w:t>
            </w:r>
          </w:p>
        </w:tc>
        <w:tc>
          <w:tcPr>
            <w:tcW w:w="3060" w:type="dxa"/>
          </w:tcPr>
          <w:p w14:paraId="7EF9D75A" w14:textId="77777777" w:rsidR="00AD0DE7" w:rsidRPr="00AD0DE7" w:rsidRDefault="00AD0DE7" w:rsidP="002B7FE8">
            <w:pPr>
              <w:rPr>
                <w:rFonts w:ascii="Times New Roman" w:hAnsi="Times New Roman" w:cs="Times New Roman"/>
                <w:sz w:val="20"/>
                <w:szCs w:val="20"/>
              </w:rPr>
            </w:pPr>
            <w:r w:rsidRPr="00AD0DE7">
              <w:rPr>
                <w:rFonts w:ascii="Times New Roman" w:hAnsi="Times New Roman" w:cs="Times New Roman"/>
                <w:sz w:val="20"/>
                <w:szCs w:val="20"/>
              </w:rPr>
              <w:t xml:space="preserve">Siekiant visapusiškai išanalizuoti įmonę, svarbu atlikti kompleksinius daugiakriterius vertinimus. Pagrinde skiriami 3 metodai – konkurentų, sektoriaus vertinimo ir makroaplinkos (Žvirblis, 2007). </w:t>
            </w:r>
          </w:p>
        </w:tc>
        <w:tc>
          <w:tcPr>
            <w:tcW w:w="2696" w:type="dxa"/>
          </w:tcPr>
          <w:p w14:paraId="51C786BD"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Padeda giliau ir išsamiau įvertinti įmonės veiklą ir aplinkinius veiksnius darančius įtaką rezultatams</w:t>
            </w:r>
          </w:p>
        </w:tc>
        <w:tc>
          <w:tcPr>
            <w:tcW w:w="2160" w:type="dxa"/>
          </w:tcPr>
          <w:p w14:paraId="6E88E1FD" w14:textId="77777777" w:rsidR="00AD0DE7" w:rsidRPr="00AD0DE7" w:rsidRDefault="00AD0DE7" w:rsidP="00463749">
            <w:pPr>
              <w:rPr>
                <w:rFonts w:ascii="Times New Roman" w:hAnsi="Times New Roman" w:cs="Times New Roman"/>
                <w:sz w:val="20"/>
                <w:szCs w:val="20"/>
              </w:rPr>
            </w:pPr>
            <w:r w:rsidRPr="00AD0DE7">
              <w:rPr>
                <w:rFonts w:ascii="Times New Roman" w:hAnsi="Times New Roman" w:cs="Times New Roman"/>
                <w:sz w:val="20"/>
                <w:szCs w:val="20"/>
              </w:rPr>
              <w:t>Skaičiavimai yra pakankamai sudėtingi, todėl ne visi analitikai ją taiko.</w:t>
            </w:r>
          </w:p>
        </w:tc>
      </w:tr>
    </w:tbl>
    <w:p w14:paraId="4199F897" w14:textId="77777777" w:rsidR="00AD0DE7" w:rsidRPr="00AD0DE7" w:rsidRDefault="00AD0DE7" w:rsidP="00AD0DE7">
      <w:pPr>
        <w:ind w:firstLine="540"/>
        <w:jc w:val="both"/>
        <w:rPr>
          <w:rFonts w:ascii="Times New Roman" w:hAnsi="Times New Roman" w:cs="Times New Roman"/>
          <w:sz w:val="24"/>
          <w:szCs w:val="24"/>
        </w:rPr>
      </w:pPr>
    </w:p>
    <w:p w14:paraId="4AE2941E" w14:textId="77777777" w:rsidR="001910EA" w:rsidRDefault="007A2CC6" w:rsidP="004D24E3">
      <w:pPr>
        <w:spacing w:after="0" w:line="360" w:lineRule="auto"/>
        <w:ind w:firstLine="540"/>
        <w:jc w:val="both"/>
        <w:rPr>
          <w:rFonts w:ascii="Times New Roman" w:hAnsi="Times New Roman" w:cs="Times New Roman"/>
          <w:sz w:val="24"/>
          <w:szCs w:val="24"/>
        </w:rPr>
      </w:pPr>
      <w:r w:rsidRPr="00AD0DE7">
        <w:rPr>
          <w:rFonts w:ascii="Times New Roman" w:hAnsi="Times New Roman" w:cs="Times New Roman"/>
          <w:sz w:val="24"/>
          <w:szCs w:val="24"/>
        </w:rPr>
        <w:t>Apibendrinant lentelę, galima</w:t>
      </w:r>
      <w:r w:rsidR="0036168A">
        <w:rPr>
          <w:rFonts w:ascii="Times New Roman" w:hAnsi="Times New Roman" w:cs="Times New Roman"/>
          <w:sz w:val="24"/>
          <w:szCs w:val="24"/>
        </w:rPr>
        <w:t xml:space="preserve"> teigti, jog finansinė analizė atliekama</w:t>
      </w:r>
      <w:r w:rsidRPr="00AD0DE7">
        <w:rPr>
          <w:rFonts w:ascii="Times New Roman" w:hAnsi="Times New Roman" w:cs="Times New Roman"/>
          <w:sz w:val="24"/>
          <w:szCs w:val="24"/>
        </w:rPr>
        <w:t xml:space="preserve"> nuosekliai tiriant finansinę būklę. Absoliučių finansinių rodiklių ir jų pokyčių analizė padeda atskleisti kai kuriuos įmonės veiklos trūkumus bei nustato kitas analizės kryptis. Horizontaliosios ir vertikaliosios analizės rezultatai yra pagrindas atlikti santykinę analizę.</w:t>
      </w:r>
      <w:r w:rsidR="000C7ED0">
        <w:rPr>
          <w:rFonts w:ascii="Times New Roman" w:hAnsi="Times New Roman" w:cs="Times New Roman"/>
          <w:sz w:val="24"/>
          <w:szCs w:val="24"/>
        </w:rPr>
        <w:t xml:space="preserve"> </w:t>
      </w:r>
      <w:r w:rsidRPr="00AD0DE7">
        <w:rPr>
          <w:rFonts w:ascii="Times New Roman" w:hAnsi="Times New Roman" w:cs="Times New Roman"/>
          <w:sz w:val="24"/>
          <w:szCs w:val="24"/>
        </w:rPr>
        <w:t>Atlikus šias analizes, vėliau naudojama santykinė analizė. Santykiniai rodikliai leidžia lyginti konkrečių įmonių finansinę veiklą, rezultatus įvairiais aspektais nepriklausomai nuo įmonės dydžio, šakos ir pa</w:t>
      </w:r>
      <w:r w:rsidR="008A18B3">
        <w:rPr>
          <w:rFonts w:ascii="Times New Roman" w:hAnsi="Times New Roman" w:cs="Times New Roman"/>
          <w:sz w:val="24"/>
          <w:szCs w:val="24"/>
        </w:rPr>
        <w:t>n.</w:t>
      </w:r>
      <w:r w:rsidRPr="00AD0DE7">
        <w:rPr>
          <w:rFonts w:ascii="Times New Roman" w:hAnsi="Times New Roman" w:cs="Times New Roman"/>
          <w:sz w:val="24"/>
          <w:szCs w:val="24"/>
        </w:rPr>
        <w:t xml:space="preserve">, taip pat padeda išsamiau ištirti pačios įmonės veiklą, skirtingų laikotarpių finansinius rezultatus, nustatyti jų kitimo </w:t>
      </w:r>
      <w:r w:rsidR="00C23E1B">
        <w:rPr>
          <w:rFonts w:ascii="Times New Roman" w:hAnsi="Times New Roman" w:cs="Times New Roman"/>
          <w:sz w:val="24"/>
          <w:szCs w:val="24"/>
        </w:rPr>
        <w:t xml:space="preserve">dinamiką ir </w:t>
      </w:r>
      <w:r w:rsidRPr="00AD0DE7">
        <w:rPr>
          <w:rFonts w:ascii="Times New Roman" w:hAnsi="Times New Roman" w:cs="Times New Roman"/>
          <w:sz w:val="24"/>
          <w:szCs w:val="24"/>
        </w:rPr>
        <w:t xml:space="preserve">tendencijas. Be santykinės analizės neįmanoma įvertinti finansinių procesų kitimo laiko atžvilgiu, nustatyti įvairių finansinių reiškinių struktūros, padaryti absoliučiomis sumomis išreikštų rodiklių išvadų. </w:t>
      </w:r>
      <w:r w:rsidR="00427594">
        <w:rPr>
          <w:rFonts w:ascii="Times New Roman" w:hAnsi="Times New Roman" w:cs="Times New Roman"/>
          <w:sz w:val="24"/>
          <w:szCs w:val="24"/>
        </w:rPr>
        <w:t xml:space="preserve">Svarbi sąlyga, kad įmonėje būtų taikoma pastovi ir darni rodiklių sistema. </w:t>
      </w:r>
      <w:r w:rsidRPr="00AD0DE7">
        <w:rPr>
          <w:rFonts w:ascii="Times New Roman" w:hAnsi="Times New Roman" w:cs="Times New Roman"/>
          <w:sz w:val="24"/>
          <w:szCs w:val="24"/>
        </w:rPr>
        <w:t>Taip pat, pastaruoju metu</w:t>
      </w:r>
      <w:r w:rsidR="00657A8A">
        <w:rPr>
          <w:rFonts w:ascii="Times New Roman" w:hAnsi="Times New Roman" w:cs="Times New Roman"/>
          <w:sz w:val="24"/>
          <w:szCs w:val="24"/>
        </w:rPr>
        <w:t xml:space="preserve"> vis daugiau analitikų pripažįsta</w:t>
      </w:r>
      <w:r w:rsidR="00762317">
        <w:rPr>
          <w:rFonts w:ascii="Times New Roman" w:hAnsi="Times New Roman" w:cs="Times New Roman"/>
          <w:sz w:val="24"/>
          <w:szCs w:val="24"/>
        </w:rPr>
        <w:t>,</w:t>
      </w:r>
      <w:r w:rsidRPr="00AD0DE7">
        <w:rPr>
          <w:rFonts w:ascii="Times New Roman" w:hAnsi="Times New Roman" w:cs="Times New Roman"/>
          <w:sz w:val="24"/>
          <w:szCs w:val="24"/>
        </w:rPr>
        <w:t xml:space="preserve"> </w:t>
      </w:r>
      <w:r w:rsidR="00657A8A">
        <w:rPr>
          <w:rFonts w:ascii="Times New Roman" w:hAnsi="Times New Roman" w:cs="Times New Roman"/>
          <w:sz w:val="24"/>
          <w:szCs w:val="24"/>
        </w:rPr>
        <w:t xml:space="preserve">kad </w:t>
      </w:r>
      <w:r w:rsidRPr="00AD0DE7">
        <w:rPr>
          <w:rFonts w:ascii="Times New Roman" w:hAnsi="Times New Roman" w:cs="Times New Roman"/>
          <w:sz w:val="24"/>
          <w:szCs w:val="24"/>
        </w:rPr>
        <w:t>norint nuodugniai ištirti įmonę tiek iš vidaus, tiek iš išorės bei nustatyti jos veiklą įtakojančius veiksn</w:t>
      </w:r>
      <w:r w:rsidR="00657A8A">
        <w:rPr>
          <w:rFonts w:ascii="Times New Roman" w:hAnsi="Times New Roman" w:cs="Times New Roman"/>
          <w:sz w:val="24"/>
          <w:szCs w:val="24"/>
        </w:rPr>
        <w:t>ius, būtina atlikti kompleksinę daugiakriterinę analizę</w:t>
      </w:r>
      <w:r w:rsidRPr="00AD0DE7">
        <w:rPr>
          <w:rFonts w:ascii="Times New Roman" w:hAnsi="Times New Roman" w:cs="Times New Roman"/>
          <w:sz w:val="24"/>
          <w:szCs w:val="24"/>
        </w:rPr>
        <w:t>.</w:t>
      </w:r>
    </w:p>
    <w:p w14:paraId="715925E0" w14:textId="77777777" w:rsidR="000C7ED0" w:rsidRDefault="0036168A" w:rsidP="000B78F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Mackevičiaus (2006) atliktas tyrimas parodė, </w:t>
      </w:r>
      <w:r w:rsidR="002825C9">
        <w:rPr>
          <w:rFonts w:ascii="Times New Roman" w:hAnsi="Times New Roman" w:cs="Times New Roman"/>
          <w:sz w:val="24"/>
          <w:szCs w:val="24"/>
        </w:rPr>
        <w:t xml:space="preserve">jog dauguma autorių </w:t>
      </w:r>
      <w:r w:rsidR="00C700F3">
        <w:rPr>
          <w:rFonts w:ascii="Times New Roman" w:hAnsi="Times New Roman" w:cs="Times New Roman"/>
          <w:sz w:val="24"/>
          <w:szCs w:val="24"/>
        </w:rPr>
        <w:t>finansinę analizę</w:t>
      </w:r>
      <w:r w:rsidR="002825C9">
        <w:rPr>
          <w:rFonts w:ascii="Times New Roman" w:hAnsi="Times New Roman" w:cs="Times New Roman"/>
          <w:sz w:val="24"/>
          <w:szCs w:val="24"/>
        </w:rPr>
        <w:t xml:space="preserve"> skirsto į dvi </w:t>
      </w:r>
      <w:r>
        <w:rPr>
          <w:rFonts w:ascii="Times New Roman" w:hAnsi="Times New Roman" w:cs="Times New Roman"/>
          <w:sz w:val="24"/>
          <w:szCs w:val="24"/>
        </w:rPr>
        <w:t xml:space="preserve">grupes: pelningumo ir likvidumo. </w:t>
      </w:r>
      <w:r w:rsidR="0079723C">
        <w:rPr>
          <w:rFonts w:ascii="Times New Roman" w:hAnsi="Times New Roman" w:cs="Times New Roman"/>
          <w:sz w:val="24"/>
          <w:szCs w:val="24"/>
        </w:rPr>
        <w:t>Pirmajame verslo apskaitos standarte taip pat skiriamos dvi finansinių ataskaitų elementų grupės: elementai</w:t>
      </w:r>
      <w:r w:rsidR="002B7FE8">
        <w:rPr>
          <w:rFonts w:ascii="Times New Roman" w:hAnsi="Times New Roman" w:cs="Times New Roman"/>
          <w:sz w:val="24"/>
          <w:szCs w:val="24"/>
        </w:rPr>
        <w:t>,</w:t>
      </w:r>
      <w:r w:rsidR="0079723C">
        <w:rPr>
          <w:rFonts w:ascii="Times New Roman" w:hAnsi="Times New Roman" w:cs="Times New Roman"/>
          <w:sz w:val="24"/>
          <w:szCs w:val="24"/>
        </w:rPr>
        <w:t xml:space="preserve"> susiję su įmonės finansinės būklės vertinimu; elementai</w:t>
      </w:r>
      <w:r w:rsidR="002B7FE8">
        <w:rPr>
          <w:rFonts w:ascii="Times New Roman" w:hAnsi="Times New Roman" w:cs="Times New Roman"/>
          <w:sz w:val="24"/>
          <w:szCs w:val="24"/>
        </w:rPr>
        <w:t>,</w:t>
      </w:r>
      <w:r w:rsidR="0079723C">
        <w:rPr>
          <w:rFonts w:ascii="Times New Roman" w:hAnsi="Times New Roman" w:cs="Times New Roman"/>
          <w:sz w:val="24"/>
          <w:szCs w:val="24"/>
        </w:rPr>
        <w:t xml:space="preserve"> susiję su įmonės veiklos rezultatų vertinimu. </w:t>
      </w:r>
      <w:r w:rsidR="004D24E3">
        <w:rPr>
          <w:rFonts w:ascii="Times New Roman" w:hAnsi="Times New Roman" w:cs="Times New Roman"/>
          <w:sz w:val="24"/>
          <w:szCs w:val="24"/>
        </w:rPr>
        <w:t>Pastarųjų metų praktika Lietuvoje rodo, kad dauguma verslininkų ir investuotojų yra sutelkę dėmesį ties pagrindiniu įmonių tikslu – pelnu. Tačiau per didelis dėmesys pelningumo rodikliams ir ignoravimas kitų, tarp jų</w:t>
      </w:r>
      <w:r w:rsidR="002B7FE8">
        <w:rPr>
          <w:rFonts w:ascii="Times New Roman" w:hAnsi="Times New Roman" w:cs="Times New Roman"/>
          <w:sz w:val="24"/>
          <w:szCs w:val="24"/>
        </w:rPr>
        <w:t xml:space="preserve"> –</w:t>
      </w:r>
      <w:r w:rsidR="004D24E3">
        <w:rPr>
          <w:rFonts w:ascii="Times New Roman" w:hAnsi="Times New Roman" w:cs="Times New Roman"/>
          <w:sz w:val="24"/>
          <w:szCs w:val="24"/>
        </w:rPr>
        <w:t xml:space="preserve"> ir</w:t>
      </w:r>
      <w:r w:rsidR="002B7FE8">
        <w:rPr>
          <w:rFonts w:ascii="Times New Roman" w:hAnsi="Times New Roman" w:cs="Times New Roman"/>
          <w:sz w:val="24"/>
          <w:szCs w:val="24"/>
        </w:rPr>
        <w:t xml:space="preserve"> </w:t>
      </w:r>
      <w:r w:rsidR="00151EDE">
        <w:rPr>
          <w:rFonts w:ascii="Times New Roman" w:hAnsi="Times New Roman" w:cs="Times New Roman"/>
          <w:sz w:val="24"/>
          <w:szCs w:val="24"/>
        </w:rPr>
        <w:t>likvidumo</w:t>
      </w:r>
      <w:r w:rsidR="004D24E3">
        <w:rPr>
          <w:rFonts w:ascii="Times New Roman" w:hAnsi="Times New Roman" w:cs="Times New Roman"/>
          <w:sz w:val="24"/>
          <w:szCs w:val="24"/>
        </w:rPr>
        <w:t xml:space="preserve"> rod</w:t>
      </w:r>
      <w:r w:rsidR="000B78FA">
        <w:rPr>
          <w:rFonts w:ascii="Times New Roman" w:hAnsi="Times New Roman" w:cs="Times New Roman"/>
          <w:sz w:val="24"/>
          <w:szCs w:val="24"/>
        </w:rPr>
        <w:t>iklių</w:t>
      </w:r>
      <w:r w:rsidR="00151EDE">
        <w:rPr>
          <w:rFonts w:ascii="Times New Roman" w:hAnsi="Times New Roman" w:cs="Times New Roman"/>
          <w:sz w:val="24"/>
          <w:szCs w:val="24"/>
        </w:rPr>
        <w:t>,</w:t>
      </w:r>
      <w:r w:rsidR="000B78FA">
        <w:rPr>
          <w:rFonts w:ascii="Times New Roman" w:hAnsi="Times New Roman" w:cs="Times New Roman"/>
          <w:sz w:val="24"/>
          <w:szCs w:val="24"/>
        </w:rPr>
        <w:t xml:space="preserve"> sukėlė nemažai </w:t>
      </w:r>
      <w:r w:rsidR="00C23E1B">
        <w:rPr>
          <w:rFonts w:ascii="Times New Roman" w:hAnsi="Times New Roman" w:cs="Times New Roman"/>
          <w:sz w:val="24"/>
          <w:szCs w:val="24"/>
        </w:rPr>
        <w:t xml:space="preserve">nuostolių ir </w:t>
      </w:r>
      <w:r w:rsidR="000B78FA">
        <w:rPr>
          <w:rFonts w:ascii="Times New Roman" w:hAnsi="Times New Roman" w:cs="Times New Roman"/>
          <w:sz w:val="24"/>
          <w:szCs w:val="24"/>
        </w:rPr>
        <w:t>bankrotų. N</w:t>
      </w:r>
      <w:r w:rsidR="00C700F3">
        <w:rPr>
          <w:rFonts w:ascii="Times New Roman" w:hAnsi="Times New Roman" w:cs="Times New Roman"/>
          <w:sz w:val="24"/>
          <w:szCs w:val="24"/>
        </w:rPr>
        <w:t xml:space="preserve">et ir pelningai veikiančios įmonės negali būti tikros dėl veiklos </w:t>
      </w:r>
      <w:r w:rsidR="00C700F3">
        <w:rPr>
          <w:rFonts w:ascii="Times New Roman" w:hAnsi="Times New Roman" w:cs="Times New Roman"/>
          <w:sz w:val="24"/>
          <w:szCs w:val="24"/>
        </w:rPr>
        <w:lastRenderedPageBreak/>
        <w:t xml:space="preserve">tęstinumo ir tai vis labiau skatina analitikus bei įmonių vadovus vertinti įmonės finansinę būklę, turto struktūrą bei likvidumą. </w:t>
      </w:r>
      <w:r w:rsidR="00C23E1B">
        <w:rPr>
          <w:rFonts w:ascii="Times New Roman" w:hAnsi="Times New Roman" w:cs="Times New Roman"/>
          <w:sz w:val="24"/>
          <w:szCs w:val="24"/>
        </w:rPr>
        <w:t xml:space="preserve">Lygiai taip </w:t>
      </w:r>
      <w:r w:rsidR="007C6C57">
        <w:rPr>
          <w:rFonts w:ascii="Times New Roman" w:hAnsi="Times New Roman" w:cs="Times New Roman"/>
          <w:sz w:val="24"/>
          <w:szCs w:val="24"/>
        </w:rPr>
        <w:t xml:space="preserve">pat </w:t>
      </w:r>
      <w:r w:rsidR="00C23E1B">
        <w:rPr>
          <w:rFonts w:ascii="Times New Roman" w:hAnsi="Times New Roman" w:cs="Times New Roman"/>
          <w:sz w:val="24"/>
          <w:szCs w:val="24"/>
        </w:rPr>
        <w:t xml:space="preserve">ši informacija yra svarbi ir kreditoriams bei investuotojams. </w:t>
      </w:r>
      <w:r w:rsidR="00C700F3">
        <w:rPr>
          <w:rFonts w:ascii="Times New Roman" w:hAnsi="Times New Roman" w:cs="Times New Roman"/>
          <w:sz w:val="24"/>
          <w:szCs w:val="24"/>
        </w:rPr>
        <w:t>Toliau šiame darbe dėmesys bus skiriamas</w:t>
      </w:r>
      <w:r w:rsidR="007C6C57">
        <w:rPr>
          <w:rFonts w:ascii="Times New Roman" w:hAnsi="Times New Roman" w:cs="Times New Roman"/>
          <w:sz w:val="24"/>
          <w:szCs w:val="24"/>
        </w:rPr>
        <w:t xml:space="preserve"> įmonių likvidumui</w:t>
      </w:r>
      <w:r w:rsidR="006F1227">
        <w:rPr>
          <w:rFonts w:ascii="Times New Roman" w:hAnsi="Times New Roman" w:cs="Times New Roman"/>
          <w:sz w:val="24"/>
          <w:szCs w:val="24"/>
        </w:rPr>
        <w:t>, kurį sudaro turto, nuosavo</w:t>
      </w:r>
      <w:r w:rsidR="007761B6">
        <w:rPr>
          <w:rFonts w:ascii="Times New Roman" w:hAnsi="Times New Roman" w:cs="Times New Roman"/>
          <w:sz w:val="24"/>
          <w:szCs w:val="24"/>
        </w:rPr>
        <w:t xml:space="preserve"> kapita</w:t>
      </w:r>
      <w:r w:rsidR="006F1227">
        <w:rPr>
          <w:rFonts w:ascii="Times New Roman" w:hAnsi="Times New Roman" w:cs="Times New Roman"/>
          <w:sz w:val="24"/>
          <w:szCs w:val="24"/>
        </w:rPr>
        <w:t xml:space="preserve">lo ir įsipareigojimų </w:t>
      </w:r>
      <w:r w:rsidR="00785542">
        <w:rPr>
          <w:rFonts w:ascii="Times New Roman" w:hAnsi="Times New Roman" w:cs="Times New Roman"/>
          <w:sz w:val="24"/>
          <w:szCs w:val="24"/>
        </w:rPr>
        <w:t xml:space="preserve">bei pinigų srautų </w:t>
      </w:r>
      <w:r w:rsidR="006F1227">
        <w:rPr>
          <w:rFonts w:ascii="Times New Roman" w:hAnsi="Times New Roman" w:cs="Times New Roman"/>
          <w:sz w:val="24"/>
          <w:szCs w:val="24"/>
        </w:rPr>
        <w:t>vertinimas.</w:t>
      </w:r>
    </w:p>
    <w:p w14:paraId="3E64DB86" w14:textId="77777777" w:rsidR="00AB0430" w:rsidRDefault="00AB0430" w:rsidP="000B78FA">
      <w:pPr>
        <w:spacing w:after="0" w:line="360" w:lineRule="auto"/>
        <w:ind w:firstLine="567"/>
        <w:jc w:val="both"/>
        <w:rPr>
          <w:rFonts w:ascii="Times New Roman" w:hAnsi="Times New Roman" w:cs="Times New Roman"/>
          <w:sz w:val="24"/>
          <w:szCs w:val="24"/>
        </w:rPr>
      </w:pPr>
    </w:p>
    <w:p w14:paraId="040F008F" w14:textId="77777777" w:rsidR="007A4FFD" w:rsidRPr="009E1406" w:rsidRDefault="00A52484" w:rsidP="00447752">
      <w:pPr>
        <w:pStyle w:val="Heading2"/>
        <w:numPr>
          <w:ilvl w:val="1"/>
          <w:numId w:val="26"/>
        </w:numPr>
        <w:spacing w:before="0" w:beforeAutospacing="0" w:after="0" w:afterAutospacing="0"/>
        <w:ind w:left="426" w:hanging="426"/>
        <w:jc w:val="center"/>
        <w:rPr>
          <w:sz w:val="24"/>
          <w:szCs w:val="24"/>
        </w:rPr>
      </w:pPr>
      <w:bookmarkStart w:id="51" w:name="_Toc353730651"/>
      <w:r w:rsidRPr="009E1406">
        <w:rPr>
          <w:sz w:val="24"/>
          <w:szCs w:val="24"/>
        </w:rPr>
        <w:t>Likvidumo samprata</w:t>
      </w:r>
      <w:bookmarkEnd w:id="51"/>
    </w:p>
    <w:p w14:paraId="4E951CEE" w14:textId="77777777" w:rsidR="00A5741D" w:rsidRPr="00427594" w:rsidRDefault="00A5741D" w:rsidP="00F95601">
      <w:pPr>
        <w:spacing w:after="0"/>
        <w:jc w:val="both"/>
        <w:rPr>
          <w:rFonts w:ascii="Times New Roman" w:hAnsi="Times New Roman" w:cs="Times New Roman"/>
          <w:b/>
          <w:sz w:val="24"/>
          <w:szCs w:val="24"/>
        </w:rPr>
      </w:pPr>
    </w:p>
    <w:p w14:paraId="4983AC07" w14:textId="77777777" w:rsidR="00EB2DFA" w:rsidRDefault="00A52484" w:rsidP="00657A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Pinigai yra bendrovės gyvybės šaltinis. Atsiskaitymams jie naudojami tiesiogiai, o kitas tru</w:t>
      </w:r>
      <w:r w:rsidR="00DA278B">
        <w:rPr>
          <w:rFonts w:ascii="Times New Roman" w:hAnsi="Times New Roman" w:cs="Times New Roman"/>
          <w:sz w:val="24"/>
          <w:szCs w:val="24"/>
        </w:rPr>
        <w:t>mpalaikis turtas atsiskaitymams</w:t>
      </w:r>
      <w:r>
        <w:rPr>
          <w:rFonts w:ascii="Times New Roman" w:hAnsi="Times New Roman" w:cs="Times New Roman"/>
          <w:sz w:val="24"/>
          <w:szCs w:val="24"/>
        </w:rPr>
        <w:t xml:space="preserve"> dažniausiai nenaudojamas, jį reikia paversti pinigais. </w:t>
      </w:r>
      <w:r w:rsidR="00657A8A">
        <w:rPr>
          <w:rFonts w:ascii="Times New Roman" w:hAnsi="Times New Roman" w:cs="Times New Roman"/>
          <w:sz w:val="24"/>
          <w:szCs w:val="24"/>
        </w:rPr>
        <w:t xml:space="preserve">Įmonės likvidumas yra būtina sąlyga sėkmingam verslui. </w:t>
      </w:r>
      <w:r>
        <w:rPr>
          <w:rFonts w:ascii="Times New Roman" w:hAnsi="Times New Roman" w:cs="Times New Roman"/>
          <w:sz w:val="24"/>
          <w:szCs w:val="24"/>
        </w:rPr>
        <w:t xml:space="preserve">Įmonės gali parduoti daugybę prekių ar paslaugų bei pasiekti gerų finansinių rezultatų, tačiau jei klientai stipriai vėluoja atsiskaityti, jei prisireikus įmonė neturi grynųjų pinigų ar jų ekvivalentų savo įsipareigojimams padengti, tuomet ji </w:t>
      </w:r>
      <w:r w:rsidR="0025483B">
        <w:rPr>
          <w:rFonts w:ascii="Times New Roman" w:hAnsi="Times New Roman" w:cs="Times New Roman"/>
          <w:sz w:val="24"/>
          <w:szCs w:val="24"/>
        </w:rPr>
        <w:t>tampa</w:t>
      </w:r>
      <w:r w:rsidR="00DA278B">
        <w:rPr>
          <w:rFonts w:ascii="Times New Roman" w:hAnsi="Times New Roman" w:cs="Times New Roman"/>
          <w:sz w:val="24"/>
          <w:szCs w:val="24"/>
        </w:rPr>
        <w:t xml:space="preserve"> nelikvidi ir </w:t>
      </w:r>
      <w:r>
        <w:rPr>
          <w:rFonts w:ascii="Times New Roman" w:hAnsi="Times New Roman" w:cs="Times New Roman"/>
          <w:sz w:val="24"/>
          <w:szCs w:val="24"/>
        </w:rPr>
        <w:t>gali turėti rimtų problemų</w:t>
      </w:r>
      <w:r w:rsidR="00EB2DFA">
        <w:rPr>
          <w:rFonts w:ascii="Times New Roman" w:hAnsi="Times New Roman" w:cs="Times New Roman"/>
          <w:sz w:val="24"/>
          <w:szCs w:val="24"/>
        </w:rPr>
        <w:t xml:space="preserve"> (</w:t>
      </w:r>
      <w:r w:rsidR="002B7FE8">
        <w:rPr>
          <w:rFonts w:ascii="Times New Roman" w:hAnsi="Times New Roman" w:cs="Times New Roman"/>
          <w:sz w:val="24"/>
          <w:szCs w:val="24"/>
        </w:rPr>
        <w:t xml:space="preserve">žr. </w:t>
      </w:r>
      <w:r w:rsidR="00EB2DFA">
        <w:rPr>
          <w:rFonts w:ascii="Times New Roman" w:hAnsi="Times New Roman" w:cs="Times New Roman"/>
          <w:sz w:val="24"/>
          <w:szCs w:val="24"/>
        </w:rPr>
        <w:t>2 pav.)</w:t>
      </w:r>
      <w:r>
        <w:rPr>
          <w:rFonts w:ascii="Times New Roman" w:hAnsi="Times New Roman" w:cs="Times New Roman"/>
          <w:sz w:val="24"/>
          <w:szCs w:val="24"/>
        </w:rPr>
        <w:t>.</w:t>
      </w:r>
    </w:p>
    <w:p w14:paraId="5B6B7304" w14:textId="77777777" w:rsidR="00EB2DFA" w:rsidRDefault="00EB2DFA" w:rsidP="00657A8A">
      <w:pPr>
        <w:spacing w:after="0" w:line="360" w:lineRule="auto"/>
        <w:ind w:firstLine="567"/>
        <w:jc w:val="both"/>
        <w:rPr>
          <w:rFonts w:ascii="Times New Roman" w:hAnsi="Times New Roman" w:cs="Times New Roman"/>
          <w:sz w:val="24"/>
          <w:szCs w:val="24"/>
        </w:rPr>
      </w:pPr>
    </w:p>
    <w:p w14:paraId="44283E90" w14:textId="77777777" w:rsidR="00EB2DFA" w:rsidRDefault="00EB2DFA" w:rsidP="00345833">
      <w:pPr>
        <w:spacing w:after="0" w:line="360" w:lineRule="auto"/>
        <w:ind w:firstLine="993"/>
        <w:jc w:val="both"/>
        <w:rPr>
          <w:rFonts w:ascii="Times New Roman" w:hAnsi="Times New Roman" w:cs="Times New Roman"/>
          <w:sz w:val="24"/>
          <w:szCs w:val="24"/>
        </w:rPr>
      </w:pPr>
      <w:r w:rsidRPr="00EB2DFA">
        <w:rPr>
          <w:rFonts w:ascii="Times New Roman" w:hAnsi="Times New Roman" w:cs="Times New Roman"/>
          <w:noProof/>
          <w:sz w:val="24"/>
          <w:szCs w:val="24"/>
          <w:lang w:val="en-US"/>
        </w:rPr>
        <w:drawing>
          <wp:inline distT="0" distB="0" distL="0" distR="0" wp14:anchorId="20A59ECD" wp14:editId="0CC9D732">
            <wp:extent cx="5105519" cy="1701209"/>
            <wp:effectExtent l="0" t="19050" r="76200" b="133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6F4F98C" w14:textId="77777777" w:rsidR="009900EC" w:rsidRPr="00345833" w:rsidRDefault="00345833" w:rsidP="009900EC">
      <w:pPr>
        <w:spacing w:after="0" w:line="360" w:lineRule="auto"/>
        <w:ind w:firstLine="993"/>
        <w:rPr>
          <w:rFonts w:ascii="Times New Roman" w:hAnsi="Times New Roman" w:cs="Times New Roman"/>
          <w:sz w:val="20"/>
          <w:szCs w:val="20"/>
        </w:rPr>
      </w:pPr>
      <w:r w:rsidRPr="00345833">
        <w:rPr>
          <w:rFonts w:ascii="Times New Roman" w:hAnsi="Times New Roman" w:cs="Times New Roman"/>
          <w:b/>
          <w:sz w:val="20"/>
          <w:szCs w:val="20"/>
        </w:rPr>
        <w:t>Šaltinis:</w:t>
      </w:r>
      <w:r w:rsidRPr="00345833">
        <w:rPr>
          <w:rFonts w:ascii="Times New Roman" w:hAnsi="Times New Roman" w:cs="Times New Roman"/>
          <w:sz w:val="20"/>
          <w:szCs w:val="20"/>
        </w:rPr>
        <w:t xml:space="preserve"> adaptuota pagal Pacurari, Muntean</w:t>
      </w:r>
      <w:r w:rsidR="00151EDE">
        <w:rPr>
          <w:rFonts w:ascii="Times New Roman" w:hAnsi="Times New Roman" w:cs="Times New Roman"/>
          <w:sz w:val="20"/>
          <w:szCs w:val="20"/>
        </w:rPr>
        <w:t>, 2008</w:t>
      </w:r>
    </w:p>
    <w:p w14:paraId="0F164488" w14:textId="77777777" w:rsidR="00EB2DFA" w:rsidRPr="007F2B73" w:rsidRDefault="002B7FE8" w:rsidP="007F2B73">
      <w:pPr>
        <w:pStyle w:val="Caption"/>
        <w:rPr>
          <w:szCs w:val="24"/>
        </w:rPr>
      </w:pPr>
      <w:bookmarkStart w:id="52" w:name="_Toc227593858"/>
      <w:bookmarkStart w:id="53" w:name="_Toc227594499"/>
      <w:r w:rsidRPr="007F2B73">
        <w:rPr>
          <w:szCs w:val="24"/>
        </w:rPr>
        <w:t>2 pav. Nelikvidžios įmonės problemos</w:t>
      </w:r>
      <w:bookmarkEnd w:id="52"/>
      <w:bookmarkEnd w:id="53"/>
    </w:p>
    <w:p w14:paraId="644FD29F" w14:textId="77777777" w:rsidR="002B7FE8" w:rsidRDefault="002B7FE8" w:rsidP="002B7FE8">
      <w:pPr>
        <w:spacing w:after="0" w:line="360" w:lineRule="auto"/>
        <w:ind w:firstLine="567"/>
        <w:jc w:val="center"/>
        <w:rPr>
          <w:rFonts w:ascii="Times New Roman" w:hAnsi="Times New Roman" w:cs="Times New Roman"/>
          <w:sz w:val="24"/>
          <w:szCs w:val="24"/>
        </w:rPr>
      </w:pPr>
    </w:p>
    <w:p w14:paraId="655006F6" w14:textId="77777777" w:rsidR="00A52484" w:rsidRDefault="007C6C57" w:rsidP="00657A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matyti iš pateikto paveikslo</w:t>
      </w:r>
      <w:r w:rsidR="004F301C">
        <w:rPr>
          <w:rFonts w:ascii="Times New Roman" w:hAnsi="Times New Roman" w:cs="Times New Roman"/>
          <w:sz w:val="24"/>
          <w:szCs w:val="24"/>
        </w:rPr>
        <w:t xml:space="preserve"> (žr. 2 pav.)</w:t>
      </w:r>
      <w:r>
        <w:rPr>
          <w:rFonts w:ascii="Times New Roman" w:hAnsi="Times New Roman" w:cs="Times New Roman"/>
          <w:sz w:val="24"/>
          <w:szCs w:val="24"/>
        </w:rPr>
        <w:t>, n</w:t>
      </w:r>
      <w:r w:rsidR="00596A53">
        <w:rPr>
          <w:rFonts w:ascii="Times New Roman" w:hAnsi="Times New Roman" w:cs="Times New Roman"/>
          <w:sz w:val="24"/>
          <w:szCs w:val="24"/>
        </w:rPr>
        <w:t xml:space="preserve">epakankamas įmonės likvidumas gali pakenkti įmonės prestižui, sumažinti jos kreditingumo reitingą, sukelti grėsmę mokumui. Visa tai daro įmonę nesaugia bei nepatikima. </w:t>
      </w:r>
      <w:r w:rsidR="00442891">
        <w:rPr>
          <w:rFonts w:ascii="Times New Roman" w:hAnsi="Times New Roman" w:cs="Times New Roman"/>
          <w:sz w:val="24"/>
          <w:szCs w:val="24"/>
        </w:rPr>
        <w:t xml:space="preserve">Įmonės likvidumas svarbus tiek vidiniams, tiek išoriniams analitikams bei informacijos vartotojams, nes šis parametras yra susijęs su kasdieninėmis įmonės operacijomis. </w:t>
      </w:r>
    </w:p>
    <w:p w14:paraId="4A27E61B" w14:textId="77777777" w:rsidR="00427594" w:rsidRDefault="00DA278B" w:rsidP="00AF0D2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Egzistuoja daugybė likvidumo sąvokos apibrėžimų, tačiau dauguma autorių ją aiškina panašiai. Ekonomikos terminų žodyne likvidumas apibrėžiamas kaip vertybinių popierių arba materialiųjų vertybių pavertimo grynaisiais pinigais galimybė.</w:t>
      </w:r>
      <w:r w:rsidR="00AF0D29">
        <w:rPr>
          <w:rFonts w:ascii="Times New Roman" w:hAnsi="Times New Roman" w:cs="Times New Roman"/>
          <w:sz w:val="24"/>
          <w:szCs w:val="24"/>
        </w:rPr>
        <w:t xml:space="preserve"> </w:t>
      </w:r>
      <w:r w:rsidR="00AF0D29" w:rsidRPr="002F4692">
        <w:rPr>
          <w:rFonts w:ascii="Times New Roman" w:hAnsi="Times New Roman" w:cs="Times New Roman"/>
          <w:sz w:val="24"/>
          <w:szCs w:val="24"/>
        </w:rPr>
        <w:t xml:space="preserve">Likvidumo norma – grynųjų ir absoliučiai likvidžių fondų lyginamasis svoris </w:t>
      </w:r>
      <w:r w:rsidR="00A87D7A">
        <w:rPr>
          <w:rFonts w:ascii="Times New Roman" w:hAnsi="Times New Roman" w:cs="Times New Roman"/>
          <w:sz w:val="24"/>
          <w:szCs w:val="24"/>
        </w:rPr>
        <w:t>bendroje pasyvų apimtyje. Iš šio apibrėžimo atrodytų, kad įmonės likvidumas</w:t>
      </w:r>
      <w:r w:rsidR="00AF0D29" w:rsidRPr="002F4692">
        <w:rPr>
          <w:rFonts w:ascii="Times New Roman" w:hAnsi="Times New Roman" w:cs="Times New Roman"/>
          <w:sz w:val="24"/>
          <w:szCs w:val="24"/>
        </w:rPr>
        <w:t xml:space="preserve"> nusako tik pinigų ir trumpal</w:t>
      </w:r>
      <w:r w:rsidR="00A87D7A">
        <w:rPr>
          <w:rFonts w:ascii="Times New Roman" w:hAnsi="Times New Roman" w:cs="Times New Roman"/>
          <w:sz w:val="24"/>
          <w:szCs w:val="24"/>
        </w:rPr>
        <w:t>aikių vertybinių popierių kiekį</w:t>
      </w:r>
      <w:r w:rsidR="00AF0D29" w:rsidRPr="002F4692">
        <w:rPr>
          <w:rFonts w:ascii="Times New Roman" w:hAnsi="Times New Roman" w:cs="Times New Roman"/>
          <w:sz w:val="24"/>
          <w:szCs w:val="24"/>
        </w:rPr>
        <w:t xml:space="preserve"> įmonėje, tačiau </w:t>
      </w:r>
      <w:r w:rsidR="00C23E1B">
        <w:rPr>
          <w:rFonts w:ascii="Times New Roman" w:hAnsi="Times New Roman" w:cs="Times New Roman"/>
          <w:sz w:val="24"/>
          <w:szCs w:val="24"/>
        </w:rPr>
        <w:t>ši sąvoka yra platesnė</w:t>
      </w:r>
      <w:r w:rsidR="00AF0D29" w:rsidRPr="002F4692">
        <w:rPr>
          <w:rFonts w:ascii="Times New Roman" w:hAnsi="Times New Roman" w:cs="Times New Roman"/>
          <w:sz w:val="24"/>
          <w:szCs w:val="24"/>
        </w:rPr>
        <w:t xml:space="preserve">. </w:t>
      </w:r>
    </w:p>
    <w:p w14:paraId="77B3725F" w14:textId="77777777" w:rsidR="00427594" w:rsidRDefault="00DA278B" w:rsidP="00AF0D2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Aleknevičienė (2009) likvidumą traktuoja kaip galimybę greitai ir su minimaliais nuostoliais turtą paversti grynaisiais pinigais. Kad įmonė galėtų atsiskaityti su darbuotojais, valstybe, tiekėjais ir </w:t>
      </w:r>
      <w:r>
        <w:rPr>
          <w:rFonts w:ascii="Times New Roman" w:hAnsi="Times New Roman" w:cs="Times New Roman"/>
          <w:sz w:val="24"/>
          <w:szCs w:val="24"/>
        </w:rPr>
        <w:lastRenderedPageBreak/>
        <w:t xml:space="preserve">kreditoriais už savo įsipareigojimus, jai reikia turėti ne tik grynųjų pinigų ir jų ekvivalentų, bet ir materialiojo likvidaus turto, kurį galėtų greitai paversti grynaisiais pinigais. </w:t>
      </w:r>
    </w:p>
    <w:p w14:paraId="3A379B2D" w14:textId="77777777" w:rsidR="00942B48" w:rsidRDefault="00DA278B" w:rsidP="00AF0D2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Šlekienė ir Klimavičienė (1999) įmonės likvidumą apibūdina kaip gebėjimą trumpalaikiu turtu padengti visus trumpalaikius įsipareigojimus. </w:t>
      </w:r>
      <w:r w:rsidR="00942B48">
        <w:rPr>
          <w:rFonts w:ascii="Times New Roman" w:hAnsi="Times New Roman" w:cs="Times New Roman"/>
          <w:sz w:val="24"/>
          <w:szCs w:val="24"/>
        </w:rPr>
        <w:t>Įmonė</w:t>
      </w:r>
      <w:r w:rsidR="004F301C">
        <w:rPr>
          <w:rFonts w:ascii="Times New Roman" w:hAnsi="Times New Roman" w:cs="Times New Roman"/>
          <w:sz w:val="24"/>
          <w:szCs w:val="24"/>
        </w:rPr>
        <w:t>,</w:t>
      </w:r>
      <w:r w:rsidR="00942B48">
        <w:rPr>
          <w:rFonts w:ascii="Times New Roman" w:hAnsi="Times New Roman" w:cs="Times New Roman"/>
          <w:sz w:val="24"/>
          <w:szCs w:val="24"/>
        </w:rPr>
        <w:t xml:space="preserve"> turinti likvidų turtą</w:t>
      </w:r>
      <w:r w:rsidR="004F301C">
        <w:rPr>
          <w:rFonts w:ascii="Times New Roman" w:hAnsi="Times New Roman" w:cs="Times New Roman"/>
          <w:sz w:val="24"/>
          <w:szCs w:val="24"/>
        </w:rPr>
        <w:t>,</w:t>
      </w:r>
      <w:r w:rsidR="00942B48">
        <w:rPr>
          <w:rFonts w:ascii="Times New Roman" w:hAnsi="Times New Roman" w:cs="Times New Roman"/>
          <w:sz w:val="24"/>
          <w:szCs w:val="24"/>
        </w:rPr>
        <w:t xml:space="preserve"> gali laiku įvykdyti savo finansinius įsipareigojimus. </w:t>
      </w:r>
      <w:r w:rsidR="00785542">
        <w:rPr>
          <w:rFonts w:ascii="Times New Roman" w:hAnsi="Times New Roman" w:cs="Times New Roman"/>
          <w:sz w:val="24"/>
          <w:szCs w:val="24"/>
        </w:rPr>
        <w:t>Kaip matyti iš aukščiau išvardintų apibrėžimų, likvidumo interpretavimas ir aiškinimas nėra tapatus, tačiau dėl vieno visi sutinka - l</w:t>
      </w:r>
      <w:r w:rsidR="00942B48" w:rsidRPr="00D70821">
        <w:rPr>
          <w:rFonts w:ascii="Times New Roman" w:hAnsi="Times New Roman" w:cs="Times New Roman"/>
          <w:sz w:val="24"/>
          <w:szCs w:val="24"/>
        </w:rPr>
        <w:t>ikvidumas yra pagrindinis bet kurios įmonės stabilią ir sėkmingą veiklą charakterizuojantis rodiklis.</w:t>
      </w:r>
      <w:r w:rsidR="00265408">
        <w:rPr>
          <w:rFonts w:ascii="Times New Roman" w:hAnsi="Times New Roman" w:cs="Times New Roman"/>
          <w:sz w:val="24"/>
          <w:szCs w:val="24"/>
        </w:rPr>
        <w:t xml:space="preserve"> </w:t>
      </w:r>
    </w:p>
    <w:p w14:paraId="0248E026" w14:textId="480A3606" w:rsidR="00942B48" w:rsidRPr="00D03D67" w:rsidRDefault="00942B48" w:rsidP="00D03D67">
      <w:pPr>
        <w:spacing w:after="0" w:line="360" w:lineRule="auto"/>
        <w:ind w:firstLine="567"/>
        <w:jc w:val="both"/>
        <w:rPr>
          <w:rFonts w:ascii="Times New Roman" w:hAnsi="Times New Roman" w:cs="Times New Roman"/>
          <w:color w:val="FF0000"/>
          <w:sz w:val="24"/>
          <w:szCs w:val="24"/>
        </w:rPr>
      </w:pPr>
      <w:r w:rsidRPr="00D03D67">
        <w:rPr>
          <w:rFonts w:ascii="Times New Roman" w:hAnsi="Times New Roman" w:cs="Times New Roman"/>
          <w:sz w:val="24"/>
          <w:szCs w:val="24"/>
        </w:rPr>
        <w:t xml:space="preserve">Daugelis </w:t>
      </w:r>
      <w:r w:rsidR="007C6C57">
        <w:rPr>
          <w:rFonts w:ascii="Times New Roman" w:hAnsi="Times New Roman" w:cs="Times New Roman"/>
          <w:sz w:val="24"/>
          <w:szCs w:val="24"/>
        </w:rPr>
        <w:t xml:space="preserve">tiek užsienio, tiek Lietuvos </w:t>
      </w:r>
      <w:r w:rsidRPr="00D03D67">
        <w:rPr>
          <w:rFonts w:ascii="Times New Roman" w:hAnsi="Times New Roman" w:cs="Times New Roman"/>
          <w:sz w:val="24"/>
          <w:szCs w:val="24"/>
        </w:rPr>
        <w:t xml:space="preserve">ekonomistų tapatina likvidumo ir </w:t>
      </w:r>
      <w:r w:rsidR="00265408">
        <w:rPr>
          <w:rFonts w:ascii="Times New Roman" w:hAnsi="Times New Roman" w:cs="Times New Roman"/>
          <w:sz w:val="24"/>
          <w:szCs w:val="24"/>
        </w:rPr>
        <w:t xml:space="preserve">trumpalaikio </w:t>
      </w:r>
      <w:r w:rsidRPr="00D03D67">
        <w:rPr>
          <w:rFonts w:ascii="Times New Roman" w:hAnsi="Times New Roman" w:cs="Times New Roman"/>
          <w:sz w:val="24"/>
          <w:szCs w:val="24"/>
        </w:rPr>
        <w:t>mokumo sąvokas, nors ekonomine prasme jos skiriasi.</w:t>
      </w:r>
      <w:r w:rsidR="00265408">
        <w:rPr>
          <w:rFonts w:ascii="Times New Roman" w:hAnsi="Times New Roman" w:cs="Times New Roman"/>
          <w:sz w:val="24"/>
          <w:szCs w:val="24"/>
        </w:rPr>
        <w:t xml:space="preserve"> Lygiai taip pat ir su rodikliais</w:t>
      </w:r>
      <w:r w:rsidR="004F301C">
        <w:rPr>
          <w:rFonts w:ascii="Times New Roman" w:hAnsi="Times New Roman" w:cs="Times New Roman"/>
          <w:sz w:val="24"/>
          <w:szCs w:val="24"/>
        </w:rPr>
        <w:t>,</w:t>
      </w:r>
      <w:r w:rsidR="00265408">
        <w:rPr>
          <w:rFonts w:ascii="Times New Roman" w:hAnsi="Times New Roman" w:cs="Times New Roman"/>
          <w:sz w:val="24"/>
          <w:szCs w:val="24"/>
        </w:rPr>
        <w:t xml:space="preserve"> naudojamais likvidumui ir trumpalaikiam mokumui skaičiuoti. </w:t>
      </w:r>
      <w:r w:rsidRPr="00D03D67">
        <w:rPr>
          <w:rFonts w:ascii="Times New Roman" w:hAnsi="Times New Roman" w:cs="Times New Roman"/>
          <w:sz w:val="24"/>
          <w:szCs w:val="24"/>
        </w:rPr>
        <w:t>Todėl svarbu</w:t>
      </w:r>
      <w:r w:rsidR="00DA278B" w:rsidRPr="00D03D67">
        <w:rPr>
          <w:rFonts w:ascii="Times New Roman" w:hAnsi="Times New Roman" w:cs="Times New Roman"/>
          <w:sz w:val="24"/>
          <w:szCs w:val="24"/>
        </w:rPr>
        <w:t xml:space="preserve"> atskirti likvidumą nuo mokumo. M</w:t>
      </w:r>
      <w:r w:rsidRPr="00D03D67">
        <w:rPr>
          <w:rFonts w:ascii="Times New Roman" w:hAnsi="Times New Roman" w:cs="Times New Roman"/>
          <w:sz w:val="24"/>
          <w:szCs w:val="24"/>
        </w:rPr>
        <w:t>okumas apibrėžiamas kaip mokamasis</w:t>
      </w:r>
      <w:r>
        <w:rPr>
          <w:rFonts w:ascii="Times New Roman" w:hAnsi="Times New Roman" w:cs="Times New Roman"/>
          <w:sz w:val="24"/>
          <w:szCs w:val="24"/>
        </w:rPr>
        <w:t xml:space="preserve"> pajėgumas. Jei įmonė neturi galimybės trumpalaikio ar kitokio turto paversti pinigais, tai ji taps nemoki.</w:t>
      </w:r>
      <w:r w:rsidR="00344FA4">
        <w:rPr>
          <w:rFonts w:ascii="Times New Roman" w:hAnsi="Times New Roman" w:cs="Times New Roman"/>
          <w:sz w:val="24"/>
          <w:szCs w:val="24"/>
        </w:rPr>
        <w:t xml:space="preserve"> </w:t>
      </w:r>
      <w:r>
        <w:rPr>
          <w:rFonts w:ascii="Times New Roman" w:hAnsi="Times New Roman" w:cs="Times New Roman"/>
          <w:sz w:val="24"/>
          <w:szCs w:val="24"/>
        </w:rPr>
        <w:t xml:space="preserve">Taigi likvidumas ir mokumas glaudžiai tarpusavyje susiję, tačiau likvidumo sąvoka siejama su įmonės turimo turto pobūdžiu, o mokumo – su įmonės finansine būkle. Iš to seka, kad likvidumo sąvoka yra platesnė už mokumo. Turto likvidumas priklauso nuo </w:t>
      </w:r>
      <w:r w:rsidR="00E612B9">
        <w:rPr>
          <w:rFonts w:ascii="Times New Roman" w:hAnsi="Times New Roman" w:cs="Times New Roman"/>
          <w:sz w:val="24"/>
          <w:szCs w:val="24"/>
        </w:rPr>
        <w:t>trijų</w:t>
      </w:r>
      <w:r>
        <w:rPr>
          <w:rFonts w:ascii="Times New Roman" w:hAnsi="Times New Roman" w:cs="Times New Roman"/>
          <w:sz w:val="24"/>
          <w:szCs w:val="24"/>
        </w:rPr>
        <w:t xml:space="preserve"> pagrindinių veiksnių (</w:t>
      </w:r>
      <w:r w:rsidR="00DA1A22">
        <w:rPr>
          <w:rFonts w:ascii="Times New Roman" w:hAnsi="Times New Roman" w:cs="Times New Roman"/>
          <w:sz w:val="24"/>
          <w:szCs w:val="24"/>
        </w:rPr>
        <w:t>Loran et al</w:t>
      </w:r>
      <w:r>
        <w:rPr>
          <w:rFonts w:ascii="Times New Roman" w:hAnsi="Times New Roman" w:cs="Times New Roman"/>
          <w:sz w:val="24"/>
          <w:szCs w:val="24"/>
        </w:rPr>
        <w:t>, 2007):</w:t>
      </w:r>
    </w:p>
    <w:p w14:paraId="40CBBA44" w14:textId="77777777" w:rsidR="00942B48" w:rsidRDefault="004F301C" w:rsidP="00447752">
      <w:pPr>
        <w:pStyle w:val="ListParagraph"/>
        <w:numPr>
          <w:ilvl w:val="0"/>
          <w:numId w:val="2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k</w:t>
      </w:r>
      <w:r w:rsidR="00942B48">
        <w:rPr>
          <w:rFonts w:ascii="Times New Roman" w:hAnsi="Times New Roman" w:cs="Times New Roman"/>
          <w:sz w:val="24"/>
          <w:szCs w:val="24"/>
        </w:rPr>
        <w:t>aip greitai galima turtą pirkti ir parduoti;</w:t>
      </w:r>
    </w:p>
    <w:p w14:paraId="62B59FD7" w14:textId="77777777" w:rsidR="00942B48" w:rsidRDefault="004F301C" w:rsidP="00447752">
      <w:pPr>
        <w:pStyle w:val="ListParagraph"/>
        <w:numPr>
          <w:ilvl w:val="0"/>
          <w:numId w:val="2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w:t>
      </w:r>
      <w:r w:rsidR="00942B48">
        <w:rPr>
          <w:rFonts w:ascii="Times New Roman" w:hAnsi="Times New Roman" w:cs="Times New Roman"/>
          <w:sz w:val="24"/>
          <w:szCs w:val="24"/>
        </w:rPr>
        <w:t>irkimo arba pardavimo operacijų išlaidų;</w:t>
      </w:r>
    </w:p>
    <w:p w14:paraId="6CC1E37A" w14:textId="77777777" w:rsidR="00942B48" w:rsidRDefault="004F301C" w:rsidP="00447752">
      <w:pPr>
        <w:pStyle w:val="ListParagraph"/>
        <w:numPr>
          <w:ilvl w:val="0"/>
          <w:numId w:val="2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s</w:t>
      </w:r>
      <w:r w:rsidR="00942B48">
        <w:rPr>
          <w:rFonts w:ascii="Times New Roman" w:hAnsi="Times New Roman" w:cs="Times New Roman"/>
          <w:sz w:val="24"/>
          <w:szCs w:val="24"/>
        </w:rPr>
        <w:t>tabilios ir</w:t>
      </w:r>
      <w:r w:rsidR="002075A2">
        <w:rPr>
          <w:rFonts w:ascii="Times New Roman" w:hAnsi="Times New Roman" w:cs="Times New Roman"/>
          <w:sz w:val="24"/>
          <w:szCs w:val="24"/>
        </w:rPr>
        <w:t xml:space="preserve"> prognozuojamos to turto kainos.</w:t>
      </w:r>
    </w:p>
    <w:p w14:paraId="6540C07F" w14:textId="77777777" w:rsidR="00344FA4" w:rsidRDefault="00942B48" w:rsidP="00942B4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 visada yra paprasta nustatyti, kuris įmonės turtas yra likvidus, o kuris ne, nes minėti veiksniai gali reikšti skirtingus dalykus. </w:t>
      </w:r>
      <w:r w:rsidR="00344FA4">
        <w:rPr>
          <w:rFonts w:ascii="Times New Roman" w:hAnsi="Times New Roman" w:cs="Times New Roman"/>
          <w:sz w:val="24"/>
          <w:szCs w:val="24"/>
        </w:rPr>
        <w:t xml:space="preserve">Pavyzdžiui, A turtą galima greitai parduoti, bet didelės sandorio išlaidos; B turtui parduoti reikia daugiau laiko, tačiau nepatiriama jokių išlaidų; C turtą galima parduoti be išlaidų ir greitai, tačiau sunku prognozuoti šio turto kainą. </w:t>
      </w:r>
      <w:r>
        <w:rPr>
          <w:rFonts w:ascii="Times New Roman" w:hAnsi="Times New Roman" w:cs="Times New Roman"/>
          <w:sz w:val="24"/>
          <w:szCs w:val="24"/>
        </w:rPr>
        <w:t xml:space="preserve">Būna ir taip, jog turtas yra visiškai nelikvidus. Jo neįmanoma parduoti, nes nėra pirkėjo, todėl toks turtas likviduojamas negaunant jokių pajamų. Jeigu turtas yra likvidus, įmonė turi mokėjimo </w:t>
      </w:r>
      <w:r w:rsidR="004F301C">
        <w:rPr>
          <w:rFonts w:ascii="Times New Roman" w:hAnsi="Times New Roman" w:cs="Times New Roman"/>
          <w:sz w:val="24"/>
          <w:szCs w:val="24"/>
        </w:rPr>
        <w:t>priemonių skoloms sumokėti, bet</w:t>
      </w:r>
      <w:r>
        <w:rPr>
          <w:rFonts w:ascii="Times New Roman" w:hAnsi="Times New Roman" w:cs="Times New Roman"/>
          <w:sz w:val="24"/>
          <w:szCs w:val="24"/>
        </w:rPr>
        <w:t xml:space="preserve"> kai įmonė turi nelikvidų turtą, ji gali tapti nemoki. </w:t>
      </w:r>
      <w:r w:rsidR="00884805">
        <w:rPr>
          <w:rFonts w:ascii="Times New Roman" w:hAnsi="Times New Roman" w:cs="Times New Roman"/>
          <w:sz w:val="24"/>
          <w:szCs w:val="24"/>
        </w:rPr>
        <w:t>Egzistuoja</w:t>
      </w:r>
      <w:r>
        <w:rPr>
          <w:rFonts w:ascii="Times New Roman" w:hAnsi="Times New Roman" w:cs="Times New Roman"/>
          <w:sz w:val="24"/>
          <w:szCs w:val="24"/>
        </w:rPr>
        <w:t xml:space="preserve"> ir toks variantas, kada įmonė netgi turėdama likvidų turtą tampa nemoki. Taip </w:t>
      </w:r>
      <w:r w:rsidR="004F301C">
        <w:rPr>
          <w:rFonts w:ascii="Times New Roman" w:hAnsi="Times New Roman" w:cs="Times New Roman"/>
          <w:sz w:val="24"/>
          <w:szCs w:val="24"/>
        </w:rPr>
        <w:t>atsitinka</w:t>
      </w:r>
      <w:r>
        <w:rPr>
          <w:rFonts w:ascii="Times New Roman" w:hAnsi="Times New Roman" w:cs="Times New Roman"/>
          <w:sz w:val="24"/>
          <w:szCs w:val="24"/>
        </w:rPr>
        <w:t xml:space="preserve"> tuomet, kai turtą pavertus pinigais, jų neužtenka v</w:t>
      </w:r>
      <w:r w:rsidR="00344FA4">
        <w:rPr>
          <w:rFonts w:ascii="Times New Roman" w:hAnsi="Times New Roman" w:cs="Times New Roman"/>
          <w:sz w:val="24"/>
          <w:szCs w:val="24"/>
        </w:rPr>
        <w:t>isoms įmonės skoloms padengti.</w:t>
      </w:r>
      <w:r w:rsidR="00EB2DFA">
        <w:rPr>
          <w:rFonts w:ascii="Times New Roman" w:hAnsi="Times New Roman" w:cs="Times New Roman"/>
          <w:sz w:val="24"/>
          <w:szCs w:val="24"/>
        </w:rPr>
        <w:t xml:space="preserve"> </w:t>
      </w:r>
    </w:p>
    <w:p w14:paraId="0025A7AD" w14:textId="77777777" w:rsidR="00942B48" w:rsidRDefault="00942B48" w:rsidP="00D03D6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Apibendrinant, galima išskirti šiuos likvidumo svarbos įmonėms aspektus:</w:t>
      </w:r>
    </w:p>
    <w:p w14:paraId="3F9E3BAA" w14:textId="77777777" w:rsidR="00942B48" w:rsidRDefault="00AD3C20" w:rsidP="00447752">
      <w:pPr>
        <w:pStyle w:val="ListParagraph"/>
        <w:numPr>
          <w:ilvl w:val="0"/>
          <w:numId w:val="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likvidumas įgalina rečiau skolintis iš finansinių institucijų;</w:t>
      </w:r>
    </w:p>
    <w:p w14:paraId="3463BBDB" w14:textId="77777777" w:rsidR="00942B48" w:rsidRDefault="00AD3C20" w:rsidP="00447752">
      <w:pPr>
        <w:pStyle w:val="ListParagraph"/>
        <w:numPr>
          <w:ilvl w:val="0"/>
          <w:numId w:val="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likvidumas atspindi, kaip lengvai vertybinius popierius ir materialines vertybes galima paversti grynais pinigais neprarandant vertės;</w:t>
      </w:r>
    </w:p>
    <w:p w14:paraId="712A9347" w14:textId="77777777" w:rsidR="00942B48" w:rsidRDefault="00AD3C20" w:rsidP="00447752">
      <w:pPr>
        <w:pStyle w:val="ListParagraph"/>
        <w:numPr>
          <w:ilvl w:val="0"/>
          <w:numId w:val="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likvidumas yra kaip saugumo rezervas ir padeda įmonėms išvengti aktyvų pardavimo nepriimtinomis kainomis;</w:t>
      </w:r>
    </w:p>
    <w:p w14:paraId="0960F904" w14:textId="77777777" w:rsidR="000C192E" w:rsidRDefault="00AD3C20" w:rsidP="00447752">
      <w:pPr>
        <w:pStyle w:val="ListParagraph"/>
        <w:numPr>
          <w:ilvl w:val="0"/>
          <w:numId w:val="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likvidumas didina rinkos dalyvių pasitikėjimą įmone, parodo, kad įmonė yra saugi, todėl gali vykdyti savo </w:t>
      </w:r>
      <w:r w:rsidR="00942B48">
        <w:rPr>
          <w:rFonts w:ascii="Times New Roman" w:hAnsi="Times New Roman" w:cs="Times New Roman"/>
          <w:sz w:val="24"/>
          <w:szCs w:val="24"/>
        </w:rPr>
        <w:t>įsipareigojimus.</w:t>
      </w:r>
    </w:p>
    <w:p w14:paraId="683DC96B" w14:textId="77777777" w:rsidR="008F19B0" w:rsidRDefault="008F19B0" w:rsidP="0042759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Taigi, kaip matyti iš pateik</w:t>
      </w:r>
      <w:r w:rsidR="00427594">
        <w:rPr>
          <w:rFonts w:ascii="Times New Roman" w:hAnsi="Times New Roman" w:cs="Times New Roman"/>
          <w:sz w:val="24"/>
          <w:szCs w:val="24"/>
        </w:rPr>
        <w:t>tų likvidumo apibrėžimo sąvokų bei skirtingų autorių aiškinimų</w:t>
      </w:r>
      <w:r w:rsidR="00AD3C20">
        <w:rPr>
          <w:rFonts w:ascii="Times New Roman" w:hAnsi="Times New Roman" w:cs="Times New Roman"/>
          <w:sz w:val="24"/>
          <w:szCs w:val="24"/>
        </w:rPr>
        <w:t>,</w:t>
      </w:r>
      <w:r w:rsidR="00427594">
        <w:rPr>
          <w:rFonts w:ascii="Times New Roman" w:hAnsi="Times New Roman" w:cs="Times New Roman"/>
          <w:sz w:val="24"/>
          <w:szCs w:val="24"/>
        </w:rPr>
        <w:t xml:space="preserve"> l</w:t>
      </w:r>
      <w:r w:rsidRPr="008F19B0">
        <w:rPr>
          <w:rFonts w:ascii="Times New Roman" w:hAnsi="Times New Roman" w:cs="Times New Roman"/>
          <w:sz w:val="24"/>
          <w:szCs w:val="24"/>
        </w:rPr>
        <w:t>ikvidumas gali būti suprantamas tik kaip trumpalaikio turto, kurį įmonė gali paversti pinigais, likvidumas. Įmonė laikytina likvidžia, jei jos trumpalaikiai įsipareigojimai partneriams, mokesčių inspekcijai, kreditoriams, darbuotojams ir kitiems neviršija trumpalaikio turto.</w:t>
      </w:r>
      <w:r w:rsidR="007A6A13">
        <w:rPr>
          <w:rFonts w:ascii="Times New Roman" w:hAnsi="Times New Roman" w:cs="Times New Roman"/>
          <w:sz w:val="24"/>
          <w:szCs w:val="24"/>
        </w:rPr>
        <w:t xml:space="preserve"> Ši informacija atsispindi įmonių balanse. </w:t>
      </w:r>
      <w:r w:rsidRPr="008F19B0">
        <w:rPr>
          <w:rFonts w:ascii="Times New Roman" w:hAnsi="Times New Roman" w:cs="Times New Roman"/>
          <w:sz w:val="24"/>
          <w:szCs w:val="24"/>
        </w:rPr>
        <w:t xml:space="preserve"> Aukštą likvidumo lygį vertina potencialūs investuotojai ir kreditoriai.</w:t>
      </w:r>
    </w:p>
    <w:p w14:paraId="25650C34" w14:textId="77777777" w:rsidR="003A452C" w:rsidRDefault="003A452C" w:rsidP="00427594">
      <w:pPr>
        <w:spacing w:after="0" w:line="360" w:lineRule="auto"/>
        <w:ind w:firstLine="567"/>
        <w:jc w:val="both"/>
        <w:rPr>
          <w:rFonts w:ascii="Times New Roman" w:hAnsi="Times New Roman" w:cs="Times New Roman"/>
          <w:sz w:val="24"/>
          <w:szCs w:val="24"/>
        </w:rPr>
      </w:pPr>
    </w:p>
    <w:p w14:paraId="3091E3CF" w14:textId="77777777" w:rsidR="00884805" w:rsidRPr="009E1406" w:rsidRDefault="00E81F93" w:rsidP="00447752">
      <w:pPr>
        <w:pStyle w:val="Heading2"/>
        <w:numPr>
          <w:ilvl w:val="1"/>
          <w:numId w:val="26"/>
        </w:numPr>
        <w:spacing w:before="0" w:beforeAutospacing="0" w:after="0" w:afterAutospacing="0"/>
        <w:ind w:left="426" w:hanging="426"/>
        <w:jc w:val="center"/>
        <w:rPr>
          <w:sz w:val="24"/>
          <w:szCs w:val="24"/>
        </w:rPr>
      </w:pPr>
      <w:bookmarkStart w:id="54" w:name="_Toc353730652"/>
      <w:r w:rsidRPr="009E1406">
        <w:rPr>
          <w:sz w:val="24"/>
          <w:szCs w:val="24"/>
        </w:rPr>
        <w:t xml:space="preserve">Balansas – pagrindinis duomenų šaltinis likvidumui </w:t>
      </w:r>
      <w:r w:rsidR="00A97B1E" w:rsidRPr="009E1406">
        <w:rPr>
          <w:sz w:val="24"/>
          <w:szCs w:val="24"/>
        </w:rPr>
        <w:t>vertinti</w:t>
      </w:r>
      <w:bookmarkEnd w:id="54"/>
    </w:p>
    <w:p w14:paraId="67DD4986" w14:textId="77777777" w:rsidR="000C192E" w:rsidRDefault="000C192E" w:rsidP="00953524">
      <w:pPr>
        <w:spacing w:after="0" w:line="360" w:lineRule="auto"/>
        <w:jc w:val="both"/>
        <w:rPr>
          <w:rFonts w:ascii="Times New Roman" w:hAnsi="Times New Roman" w:cs="Times New Roman"/>
          <w:sz w:val="24"/>
          <w:szCs w:val="24"/>
        </w:rPr>
      </w:pPr>
    </w:p>
    <w:p w14:paraId="2F5A84E7" w14:textId="77777777" w:rsidR="00884805" w:rsidRDefault="007B7CAF" w:rsidP="007B7CA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Balansas yra pagrindinė finansinės atskaitomybės ataskaita</w:t>
      </w:r>
      <w:r w:rsidR="00AD3C20">
        <w:rPr>
          <w:rFonts w:ascii="Times New Roman" w:hAnsi="Times New Roman" w:cs="Times New Roman"/>
          <w:sz w:val="24"/>
          <w:szCs w:val="24"/>
        </w:rPr>
        <w:t>,</w:t>
      </w:r>
      <w:r>
        <w:rPr>
          <w:rFonts w:ascii="Times New Roman" w:hAnsi="Times New Roman" w:cs="Times New Roman"/>
          <w:sz w:val="24"/>
          <w:szCs w:val="24"/>
        </w:rPr>
        <w:t xml:space="preserve"> naudojama įmonės likvidumui vertinti. Antrajame verslo apskaitos standarte apibrėžiama, jog įmonės balansas yra finansinė ataskaita, kurioje nurodomas visas įmonės turtas, nuosavas kapitalas ir įsipareigojimai paskutinę ataskaitinio laikotarpio dieną. Taigi balansas yra sudarytas iš dviejų dalių: pirmojoje parodomas įmonės turtas; antrojoje – to turto finansavimo šaltiniai. </w:t>
      </w:r>
      <w:r w:rsidR="00884805">
        <w:rPr>
          <w:rFonts w:ascii="Times New Roman" w:hAnsi="Times New Roman" w:cs="Times New Roman"/>
          <w:sz w:val="24"/>
          <w:szCs w:val="24"/>
        </w:rPr>
        <w:t xml:space="preserve">Įmonių likvidumą lemia balanso struktūra, </w:t>
      </w:r>
      <w:r w:rsidR="00071490">
        <w:rPr>
          <w:rFonts w:ascii="Times New Roman" w:hAnsi="Times New Roman" w:cs="Times New Roman"/>
          <w:sz w:val="24"/>
          <w:szCs w:val="24"/>
        </w:rPr>
        <w:t xml:space="preserve">turto </w:t>
      </w:r>
      <w:r w:rsidR="00884805">
        <w:rPr>
          <w:rFonts w:ascii="Times New Roman" w:hAnsi="Times New Roman" w:cs="Times New Roman"/>
          <w:sz w:val="24"/>
          <w:szCs w:val="24"/>
        </w:rPr>
        <w:t>pobūdis, s</w:t>
      </w:r>
      <w:r>
        <w:rPr>
          <w:rFonts w:ascii="Times New Roman" w:hAnsi="Times New Roman" w:cs="Times New Roman"/>
          <w:sz w:val="24"/>
          <w:szCs w:val="24"/>
        </w:rPr>
        <w:t xml:space="preserve">udėtis ir jo finansavimo būdai. </w:t>
      </w:r>
      <w:r w:rsidRPr="00784506">
        <w:rPr>
          <w:rFonts w:ascii="Times New Roman" w:hAnsi="Times New Roman" w:cs="Times New Roman"/>
          <w:sz w:val="24"/>
          <w:szCs w:val="24"/>
        </w:rPr>
        <w:t>Vadovai turi priiminėti sprendimus atsižvelgdami į tai, kad nekiltų grėsmė įmonės likvidumui.</w:t>
      </w:r>
    </w:p>
    <w:p w14:paraId="3EA968FC" w14:textId="77777777" w:rsidR="00F53A5D" w:rsidRDefault="00F53A5D" w:rsidP="008848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Balanse turtas </w:t>
      </w:r>
      <w:r w:rsidR="008D39D0">
        <w:rPr>
          <w:rFonts w:ascii="Times New Roman" w:hAnsi="Times New Roman" w:cs="Times New Roman"/>
          <w:sz w:val="24"/>
          <w:szCs w:val="24"/>
        </w:rPr>
        <w:t xml:space="preserve">pagal naudojimo trukmę </w:t>
      </w:r>
      <w:r>
        <w:rPr>
          <w:rFonts w:ascii="Times New Roman" w:hAnsi="Times New Roman" w:cs="Times New Roman"/>
          <w:sz w:val="24"/>
          <w:szCs w:val="24"/>
        </w:rPr>
        <w:t xml:space="preserve">skirstomas į ilgalaikį ir trumpalaikį. Ilgalaikis turtas yra turtas, kurio naudojimo trukmė yra ilgesnė už vieną ataskaitinį laikotarpį. Tuo tarpu trumpalaikis turtas yra turtas, kuris sunaudojamas per vieną ataskaitinį laikotarpį. </w:t>
      </w:r>
      <w:r w:rsidR="001659D0">
        <w:rPr>
          <w:rFonts w:ascii="Times New Roman" w:hAnsi="Times New Roman" w:cs="Times New Roman"/>
          <w:sz w:val="24"/>
          <w:szCs w:val="24"/>
        </w:rPr>
        <w:t>Didelė turto apimtis dar negarantuoja įmonei kreditų, jei nustatoma, jog šio turto neįmanoma paversti pinigais. Pažymėtina</w:t>
      </w:r>
      <w:r>
        <w:rPr>
          <w:rFonts w:ascii="Times New Roman" w:hAnsi="Times New Roman" w:cs="Times New Roman"/>
          <w:sz w:val="24"/>
          <w:szCs w:val="24"/>
        </w:rPr>
        <w:t xml:space="preserve">, jog balanse turtas pateikiamas likvidumo didėjimo tvarka, </w:t>
      </w:r>
      <w:r w:rsidR="00A03027">
        <w:rPr>
          <w:rFonts w:ascii="Times New Roman" w:hAnsi="Times New Roman" w:cs="Times New Roman"/>
          <w:sz w:val="24"/>
          <w:szCs w:val="24"/>
        </w:rPr>
        <w:t>t. y.</w:t>
      </w:r>
      <w:r>
        <w:rPr>
          <w:rFonts w:ascii="Times New Roman" w:hAnsi="Times New Roman" w:cs="Times New Roman"/>
          <w:sz w:val="24"/>
          <w:szCs w:val="24"/>
        </w:rPr>
        <w:t xml:space="preserve">, pradžioje parodomas </w:t>
      </w:r>
      <w:r w:rsidR="0088026E">
        <w:rPr>
          <w:rFonts w:ascii="Times New Roman" w:hAnsi="Times New Roman" w:cs="Times New Roman"/>
          <w:sz w:val="24"/>
          <w:szCs w:val="24"/>
        </w:rPr>
        <w:t>mažiau likvidus</w:t>
      </w:r>
      <w:r>
        <w:rPr>
          <w:rFonts w:ascii="Times New Roman" w:hAnsi="Times New Roman" w:cs="Times New Roman"/>
          <w:sz w:val="24"/>
          <w:szCs w:val="24"/>
        </w:rPr>
        <w:t xml:space="preserve"> ilgalaikis turtas</w:t>
      </w:r>
      <w:r w:rsidR="0088026E">
        <w:rPr>
          <w:rFonts w:ascii="Times New Roman" w:hAnsi="Times New Roman" w:cs="Times New Roman"/>
          <w:sz w:val="24"/>
          <w:szCs w:val="24"/>
        </w:rPr>
        <w:t xml:space="preserve"> -</w:t>
      </w:r>
      <w:r w:rsidR="008D39D0">
        <w:rPr>
          <w:rFonts w:ascii="Times New Roman" w:hAnsi="Times New Roman" w:cs="Times New Roman"/>
          <w:sz w:val="24"/>
          <w:szCs w:val="24"/>
        </w:rPr>
        <w:t xml:space="preserve"> nuo nemateri</w:t>
      </w:r>
      <w:r w:rsidR="00A87D7A">
        <w:rPr>
          <w:rFonts w:ascii="Times New Roman" w:hAnsi="Times New Roman" w:cs="Times New Roman"/>
          <w:sz w:val="24"/>
          <w:szCs w:val="24"/>
        </w:rPr>
        <w:t>alaus</w:t>
      </w:r>
      <w:r>
        <w:rPr>
          <w:rFonts w:ascii="Times New Roman" w:hAnsi="Times New Roman" w:cs="Times New Roman"/>
          <w:sz w:val="24"/>
          <w:szCs w:val="24"/>
        </w:rPr>
        <w:t xml:space="preserve">, kuris </w:t>
      </w:r>
      <w:r w:rsidR="00A87D7A">
        <w:rPr>
          <w:rFonts w:ascii="Times New Roman" w:hAnsi="Times New Roman" w:cs="Times New Roman"/>
          <w:sz w:val="24"/>
          <w:szCs w:val="24"/>
        </w:rPr>
        <w:t>praktiškai yra nelikvidus, iki finansinio ilgalaikio turto, kuris yra likvidžiausias</w:t>
      </w:r>
      <w:r w:rsidR="000C7ED0">
        <w:rPr>
          <w:rFonts w:ascii="Times New Roman" w:hAnsi="Times New Roman" w:cs="Times New Roman"/>
          <w:sz w:val="24"/>
          <w:szCs w:val="24"/>
        </w:rPr>
        <w:t xml:space="preserve"> (Bolek, Wolski; 2012)</w:t>
      </w:r>
      <w:r w:rsidR="00A87D7A">
        <w:rPr>
          <w:rFonts w:ascii="Times New Roman" w:hAnsi="Times New Roman" w:cs="Times New Roman"/>
          <w:sz w:val="24"/>
          <w:szCs w:val="24"/>
        </w:rPr>
        <w:t xml:space="preserve">. Lygiai taip pat ir su trumpalaikio turto skirstymu, kuris seka iškart po ilgalaikio: nuo atsargų, kurios yra mažiausiai likvidus </w:t>
      </w:r>
      <w:r w:rsidR="00090D2A">
        <w:rPr>
          <w:rFonts w:ascii="Times New Roman" w:hAnsi="Times New Roman" w:cs="Times New Roman"/>
          <w:sz w:val="24"/>
          <w:szCs w:val="24"/>
        </w:rPr>
        <w:t xml:space="preserve">trumpalaikis </w:t>
      </w:r>
      <w:r w:rsidR="00A87D7A">
        <w:rPr>
          <w:rFonts w:ascii="Times New Roman" w:hAnsi="Times New Roman" w:cs="Times New Roman"/>
          <w:sz w:val="24"/>
          <w:szCs w:val="24"/>
        </w:rPr>
        <w:t>turtas</w:t>
      </w:r>
      <w:r w:rsidR="00E119B9">
        <w:rPr>
          <w:rFonts w:ascii="Times New Roman" w:hAnsi="Times New Roman" w:cs="Times New Roman"/>
          <w:sz w:val="24"/>
          <w:szCs w:val="24"/>
        </w:rPr>
        <w:t xml:space="preserve"> – pagaminta prudukcija ir žaliavos yra likvidesnės nei nebaigtos gamybos likučiai,</w:t>
      </w:r>
      <w:r w:rsidR="00A87D7A">
        <w:rPr>
          <w:rFonts w:ascii="Times New Roman" w:hAnsi="Times New Roman" w:cs="Times New Roman"/>
          <w:sz w:val="24"/>
          <w:szCs w:val="24"/>
        </w:rPr>
        <w:t xml:space="preserve"> iki pinigų ir jų ekvivalentų. Žinoma, šie turto straipsniai skaidomi dar detaliau, bet esmė nekinta, jie išdėstomi likvidumo didėjimo tvarka.</w:t>
      </w:r>
      <w:r w:rsidR="008D39D0">
        <w:rPr>
          <w:rFonts w:ascii="Times New Roman" w:hAnsi="Times New Roman" w:cs="Times New Roman"/>
          <w:sz w:val="24"/>
          <w:szCs w:val="24"/>
        </w:rPr>
        <w:t xml:space="preserve"> </w:t>
      </w:r>
    </w:p>
    <w:p w14:paraId="32DAAD17" w14:textId="77777777" w:rsidR="00AB0430" w:rsidRDefault="00DD32F3" w:rsidP="00AB04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Tuo tarpu dešinioji balanso pusė rodo kokiomis lėšomis yra dengiamas įmonės turtas, </w:t>
      </w:r>
      <w:r w:rsidR="00A03027">
        <w:rPr>
          <w:rFonts w:ascii="Times New Roman" w:hAnsi="Times New Roman" w:cs="Times New Roman"/>
          <w:sz w:val="24"/>
          <w:szCs w:val="24"/>
        </w:rPr>
        <w:t>t. y.</w:t>
      </w:r>
      <w:r>
        <w:rPr>
          <w:rFonts w:ascii="Times New Roman" w:hAnsi="Times New Roman" w:cs="Times New Roman"/>
          <w:sz w:val="24"/>
          <w:szCs w:val="24"/>
        </w:rPr>
        <w:t xml:space="preserve">, kuri dalis priklauso savininkams, o kuri finansuojama kreditoriniais įsiskolinimais. Kreditoriniai įsiskolinimai skirstomi pagal jų grąžinimo trukmę į ilgalaikius </w:t>
      </w:r>
      <w:r w:rsidR="00427DDB">
        <w:rPr>
          <w:rFonts w:ascii="Times New Roman" w:hAnsi="Times New Roman" w:cs="Times New Roman"/>
          <w:sz w:val="24"/>
          <w:szCs w:val="24"/>
        </w:rPr>
        <w:t>ir trumpalaikius.</w:t>
      </w:r>
      <w:r w:rsidR="00865022">
        <w:rPr>
          <w:rFonts w:ascii="Times New Roman" w:hAnsi="Times New Roman" w:cs="Times New Roman"/>
          <w:sz w:val="24"/>
          <w:szCs w:val="24"/>
        </w:rPr>
        <w:t xml:space="preserve"> Trumpalaikis finansavimas daugiau parodo trukmę, o ilgalaikis</w:t>
      </w:r>
      <w:r w:rsidR="00A03027">
        <w:rPr>
          <w:rFonts w:ascii="Times New Roman" w:hAnsi="Times New Roman" w:cs="Times New Roman"/>
          <w:sz w:val="24"/>
          <w:szCs w:val="24"/>
        </w:rPr>
        <w:t xml:space="preserve"> –</w:t>
      </w:r>
      <w:r w:rsidR="00865022">
        <w:rPr>
          <w:rFonts w:ascii="Times New Roman" w:hAnsi="Times New Roman" w:cs="Times New Roman"/>
          <w:sz w:val="24"/>
          <w:szCs w:val="24"/>
        </w:rPr>
        <w:t xml:space="preserve"> pobūdį. Pasirinkdami įmonės finansavimo strategiją, vadovai turi atsakyti į 2 klausimus: koks nuosavo ir skolin</w:t>
      </w:r>
      <w:r w:rsidR="00A03027">
        <w:rPr>
          <w:rFonts w:ascii="Times New Roman" w:hAnsi="Times New Roman" w:cs="Times New Roman"/>
          <w:sz w:val="24"/>
          <w:szCs w:val="24"/>
        </w:rPr>
        <w:t>to kapitalo santykis geriausias ir</w:t>
      </w:r>
      <w:r w:rsidR="00865022">
        <w:rPr>
          <w:rFonts w:ascii="Times New Roman" w:hAnsi="Times New Roman" w:cs="Times New Roman"/>
          <w:sz w:val="24"/>
          <w:szCs w:val="24"/>
        </w:rPr>
        <w:t xml:space="preserve"> kok</w:t>
      </w:r>
      <w:r w:rsidR="007C6C57">
        <w:rPr>
          <w:rFonts w:ascii="Times New Roman" w:hAnsi="Times New Roman" w:cs="Times New Roman"/>
          <w:sz w:val="24"/>
          <w:szCs w:val="24"/>
        </w:rPr>
        <w:t>s skolintame kapitale optimalus</w:t>
      </w:r>
      <w:r w:rsidR="00865022">
        <w:rPr>
          <w:rFonts w:ascii="Times New Roman" w:hAnsi="Times New Roman" w:cs="Times New Roman"/>
          <w:sz w:val="24"/>
          <w:szCs w:val="24"/>
        </w:rPr>
        <w:t xml:space="preserve"> santykis tarp trumpalaikių ir ilgalaikių finansavimo šaltinių. Antrasis klausimas veikia įmonės likvidumą. </w:t>
      </w:r>
    </w:p>
    <w:p w14:paraId="5CF9143D" w14:textId="0A2F1730" w:rsidR="002D6BC0" w:rsidRDefault="00884805" w:rsidP="00AB04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Standartinis įmonių balansas apibrėžia įmonės savininkų investicijas pagal atitinkamą datą įmonėje. Savininkų nuosavybė yra skirtumas tarp viso turto ir įsipareigojimų, kur turtas yra akcininkų nuosavybė, o įsipareigojimai</w:t>
      </w:r>
      <w:r w:rsidR="007B7CAF">
        <w:rPr>
          <w:rFonts w:ascii="Times New Roman" w:hAnsi="Times New Roman" w:cs="Times New Roman"/>
          <w:sz w:val="24"/>
          <w:szCs w:val="24"/>
        </w:rPr>
        <w:t xml:space="preserve"> </w:t>
      </w:r>
      <w:r w:rsidR="00A03027">
        <w:rPr>
          <w:rFonts w:ascii="Times New Roman" w:hAnsi="Times New Roman" w:cs="Times New Roman"/>
          <w:sz w:val="24"/>
          <w:szCs w:val="24"/>
        </w:rPr>
        <w:t>–</w:t>
      </w:r>
      <w:r>
        <w:rPr>
          <w:rFonts w:ascii="Times New Roman" w:hAnsi="Times New Roman" w:cs="Times New Roman"/>
          <w:sz w:val="24"/>
          <w:szCs w:val="24"/>
        </w:rPr>
        <w:t xml:space="preserve"> skolos</w:t>
      </w:r>
      <w:r w:rsidR="00A03027">
        <w:rPr>
          <w:rFonts w:ascii="Times New Roman" w:hAnsi="Times New Roman" w:cs="Times New Roman"/>
          <w:sz w:val="24"/>
          <w:szCs w:val="24"/>
        </w:rPr>
        <w:t xml:space="preserve"> </w:t>
      </w:r>
      <w:r>
        <w:rPr>
          <w:rFonts w:ascii="Times New Roman" w:hAnsi="Times New Roman" w:cs="Times New Roman"/>
          <w:sz w:val="24"/>
          <w:szCs w:val="24"/>
        </w:rPr>
        <w:t xml:space="preserve">kredito įstaigoms, darbuotojams ar tiekėjams. </w:t>
      </w:r>
    </w:p>
    <w:p w14:paraId="5A8A4EE3" w14:textId="77777777" w:rsidR="00987BDA" w:rsidRDefault="007A6A13" w:rsidP="00AD3C2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JAV</w:t>
      </w:r>
      <w:r w:rsidR="00443DA4">
        <w:rPr>
          <w:rFonts w:ascii="Times New Roman" w:hAnsi="Times New Roman" w:cs="Times New Roman"/>
          <w:sz w:val="24"/>
          <w:szCs w:val="24"/>
        </w:rPr>
        <w:t xml:space="preserve"> </w:t>
      </w:r>
      <w:r w:rsidR="009D1018">
        <w:rPr>
          <w:rFonts w:ascii="Times New Roman" w:hAnsi="Times New Roman" w:cs="Times New Roman"/>
          <w:sz w:val="24"/>
          <w:szCs w:val="24"/>
        </w:rPr>
        <w:t>mokslininkai</w:t>
      </w:r>
      <w:r w:rsidR="00443DA4">
        <w:rPr>
          <w:rFonts w:ascii="Times New Roman" w:hAnsi="Times New Roman" w:cs="Times New Roman"/>
          <w:sz w:val="24"/>
          <w:szCs w:val="24"/>
        </w:rPr>
        <w:t xml:space="preserve"> </w:t>
      </w:r>
      <w:r w:rsidR="007B7CAF" w:rsidRPr="007B7CAF">
        <w:rPr>
          <w:rFonts w:ascii="Times New Roman" w:hAnsi="Times New Roman" w:cs="Times New Roman"/>
          <w:sz w:val="24"/>
          <w:szCs w:val="24"/>
        </w:rPr>
        <w:t xml:space="preserve">G. Hawawini ir C. Viallet </w:t>
      </w:r>
      <w:r w:rsidR="00443DA4">
        <w:rPr>
          <w:rFonts w:ascii="Times New Roman" w:hAnsi="Times New Roman" w:cs="Times New Roman"/>
          <w:sz w:val="24"/>
          <w:szCs w:val="24"/>
        </w:rPr>
        <w:t xml:space="preserve">savo </w:t>
      </w:r>
      <w:r w:rsidR="007B7CAF" w:rsidRPr="007B7CAF">
        <w:rPr>
          <w:rFonts w:ascii="Times New Roman" w:hAnsi="Times New Roman" w:cs="Times New Roman"/>
          <w:sz w:val="24"/>
          <w:szCs w:val="24"/>
        </w:rPr>
        <w:t>knygoje</w:t>
      </w:r>
      <w:r w:rsidR="00414499" w:rsidRPr="007B7CAF">
        <w:rPr>
          <w:rFonts w:ascii="Times New Roman" w:hAnsi="Times New Roman" w:cs="Times New Roman"/>
          <w:sz w:val="24"/>
          <w:szCs w:val="24"/>
        </w:rPr>
        <w:t xml:space="preserve"> „Finance for executives</w:t>
      </w:r>
      <w:r w:rsidR="00414499" w:rsidRPr="00414499">
        <w:rPr>
          <w:rFonts w:ascii="Times New Roman" w:hAnsi="Times New Roman" w:cs="Times New Roman"/>
          <w:sz w:val="24"/>
          <w:szCs w:val="24"/>
        </w:rPr>
        <w:t>“</w:t>
      </w:r>
      <w:r w:rsidR="00414499">
        <w:rPr>
          <w:rFonts w:ascii="Times New Roman" w:hAnsi="Times New Roman" w:cs="Times New Roman"/>
          <w:sz w:val="24"/>
          <w:szCs w:val="24"/>
        </w:rPr>
        <w:t xml:space="preserve"> teigia, kad į</w:t>
      </w:r>
      <w:r w:rsidR="00884805">
        <w:rPr>
          <w:rFonts w:ascii="Times New Roman" w:hAnsi="Times New Roman" w:cs="Times New Roman"/>
          <w:sz w:val="24"/>
          <w:szCs w:val="24"/>
        </w:rPr>
        <w:t>monės vadovams standartinis balansas nėra pats tinkamiausias įrankis įvertinti savo indėlį finansinės būklės valdyme. Tam, kad balansas keltų susirūpinimą ne buhalteriams ar auditoriams, o įmonės vadovams, jis turėtų būti pertvarkytas. Šiame pertvarkytame balanse turtas skirstomas į tris kategorijas</w:t>
      </w:r>
      <w:r w:rsidR="002D6BC0">
        <w:rPr>
          <w:rFonts w:ascii="Times New Roman" w:hAnsi="Times New Roman" w:cs="Times New Roman"/>
          <w:sz w:val="24"/>
          <w:szCs w:val="24"/>
        </w:rPr>
        <w:t xml:space="preserve"> pagal likvidumo </w:t>
      </w:r>
      <w:r w:rsidR="007B7CAF">
        <w:rPr>
          <w:rFonts w:ascii="Times New Roman" w:hAnsi="Times New Roman" w:cs="Times New Roman"/>
          <w:sz w:val="24"/>
          <w:szCs w:val="24"/>
        </w:rPr>
        <w:t>laipsnį</w:t>
      </w:r>
      <w:r w:rsidR="00884805">
        <w:rPr>
          <w:rFonts w:ascii="Times New Roman" w:hAnsi="Times New Roman" w:cs="Times New Roman"/>
          <w:sz w:val="24"/>
          <w:szCs w:val="24"/>
        </w:rPr>
        <w:t xml:space="preserve">: pinigai ir jų ekvivalentai; turtas, reikalingas įmonės veiklai palaikyti arba apyvartinio kapitalo poreikis; ilgalaikis turtas. </w:t>
      </w:r>
    </w:p>
    <w:p w14:paraId="0701356E" w14:textId="77777777" w:rsidR="006212E8" w:rsidRDefault="003A31A3" w:rsidP="003A31A3">
      <w:pPr>
        <w:spacing w:after="0" w:line="360" w:lineRule="auto"/>
        <w:ind w:firstLine="567"/>
        <w:jc w:val="both"/>
        <w:rPr>
          <w:rFonts w:ascii="Times New Roman" w:hAnsi="Times New Roman" w:cs="Times New Roman"/>
          <w:sz w:val="24"/>
          <w:szCs w:val="24"/>
        </w:rPr>
      </w:pPr>
      <w:r w:rsidRPr="003A31A3">
        <w:rPr>
          <w:rFonts w:ascii="Times New Roman" w:hAnsi="Times New Roman" w:cs="Times New Roman"/>
          <w:sz w:val="24"/>
          <w:szCs w:val="24"/>
        </w:rPr>
        <w:t>Svarbu tai, jog į trumpalaikį turtą neįskaitomi grynieji pinigai, nes jų paskirtis finansuoti</w:t>
      </w:r>
      <w:r w:rsidR="00A03027">
        <w:rPr>
          <w:rFonts w:ascii="Times New Roman" w:hAnsi="Times New Roman" w:cs="Times New Roman"/>
          <w:sz w:val="24"/>
          <w:szCs w:val="24"/>
        </w:rPr>
        <w:t xml:space="preserve"> </w:t>
      </w:r>
      <w:r w:rsidR="00A03027" w:rsidRPr="003A31A3">
        <w:rPr>
          <w:rFonts w:ascii="Times New Roman" w:hAnsi="Times New Roman" w:cs="Times New Roman"/>
          <w:sz w:val="24"/>
          <w:szCs w:val="24"/>
        </w:rPr>
        <w:t>ne tik</w:t>
      </w:r>
      <w:r w:rsidRPr="003A31A3">
        <w:rPr>
          <w:rFonts w:ascii="Times New Roman" w:hAnsi="Times New Roman" w:cs="Times New Roman"/>
          <w:sz w:val="24"/>
          <w:szCs w:val="24"/>
        </w:rPr>
        <w:t xml:space="preserve"> laikin</w:t>
      </w:r>
      <w:r w:rsidR="00A03027">
        <w:rPr>
          <w:rFonts w:ascii="Times New Roman" w:hAnsi="Times New Roman" w:cs="Times New Roman"/>
          <w:sz w:val="24"/>
          <w:szCs w:val="24"/>
        </w:rPr>
        <w:t>ą</w:t>
      </w:r>
      <w:r w:rsidRPr="003A31A3">
        <w:rPr>
          <w:rFonts w:ascii="Times New Roman" w:hAnsi="Times New Roman" w:cs="Times New Roman"/>
          <w:sz w:val="24"/>
          <w:szCs w:val="24"/>
        </w:rPr>
        <w:t xml:space="preserve"> turt</w:t>
      </w:r>
      <w:r w:rsidR="00A03027">
        <w:rPr>
          <w:rFonts w:ascii="Times New Roman" w:hAnsi="Times New Roman" w:cs="Times New Roman"/>
          <w:sz w:val="24"/>
          <w:szCs w:val="24"/>
        </w:rPr>
        <w:t>ą</w:t>
      </w:r>
      <w:r w:rsidRPr="003A31A3">
        <w:rPr>
          <w:rFonts w:ascii="Times New Roman" w:hAnsi="Times New Roman" w:cs="Times New Roman"/>
          <w:sz w:val="24"/>
          <w:szCs w:val="24"/>
        </w:rPr>
        <w:t>, bet ir ki</w:t>
      </w:r>
      <w:r w:rsidR="00A03027">
        <w:rPr>
          <w:rFonts w:ascii="Times New Roman" w:hAnsi="Times New Roman" w:cs="Times New Roman"/>
          <w:sz w:val="24"/>
          <w:szCs w:val="24"/>
        </w:rPr>
        <w:t>tus</w:t>
      </w:r>
      <w:r w:rsidRPr="003A31A3">
        <w:rPr>
          <w:rFonts w:ascii="Times New Roman" w:hAnsi="Times New Roman" w:cs="Times New Roman"/>
          <w:sz w:val="24"/>
          <w:szCs w:val="24"/>
        </w:rPr>
        <w:t xml:space="preserve"> poreiki</w:t>
      </w:r>
      <w:r w:rsidR="00A03027">
        <w:rPr>
          <w:rFonts w:ascii="Times New Roman" w:hAnsi="Times New Roman" w:cs="Times New Roman"/>
          <w:sz w:val="24"/>
          <w:szCs w:val="24"/>
        </w:rPr>
        <w:t>us</w:t>
      </w:r>
      <w:r w:rsidRPr="003A31A3">
        <w:rPr>
          <w:rFonts w:ascii="Times New Roman" w:hAnsi="Times New Roman" w:cs="Times New Roman"/>
          <w:sz w:val="24"/>
          <w:szCs w:val="24"/>
        </w:rPr>
        <w:t>.</w:t>
      </w:r>
      <w:r w:rsidRPr="00BC01CF">
        <w:rPr>
          <w:rFonts w:ascii="Times New Roman" w:hAnsi="Times New Roman" w:cs="Times New Roman"/>
          <w:color w:val="FF0000"/>
          <w:sz w:val="24"/>
          <w:szCs w:val="24"/>
        </w:rPr>
        <w:t xml:space="preserve"> </w:t>
      </w:r>
      <w:r w:rsidR="007B7CAF">
        <w:rPr>
          <w:rFonts w:ascii="Times New Roman" w:hAnsi="Times New Roman" w:cs="Times New Roman"/>
          <w:sz w:val="24"/>
          <w:szCs w:val="24"/>
        </w:rPr>
        <w:t xml:space="preserve">Kaip vienas iš pagrindinių skirtumų tarp standartinio ir </w:t>
      </w:r>
      <w:r w:rsidR="00443DA4">
        <w:rPr>
          <w:rFonts w:ascii="Times New Roman" w:hAnsi="Times New Roman" w:cs="Times New Roman"/>
          <w:sz w:val="24"/>
          <w:szCs w:val="24"/>
        </w:rPr>
        <w:t>modifikuoto</w:t>
      </w:r>
      <w:r w:rsidR="007B7CAF">
        <w:rPr>
          <w:rFonts w:ascii="Times New Roman" w:hAnsi="Times New Roman" w:cs="Times New Roman"/>
          <w:sz w:val="24"/>
          <w:szCs w:val="24"/>
        </w:rPr>
        <w:t xml:space="preserve"> balansų yra tai, jog s</w:t>
      </w:r>
      <w:r w:rsidR="006212E8">
        <w:rPr>
          <w:rFonts w:ascii="Times New Roman" w:hAnsi="Times New Roman" w:cs="Times New Roman"/>
          <w:sz w:val="24"/>
          <w:szCs w:val="24"/>
        </w:rPr>
        <w:t>tandartiniame balanse trumpalaikiai įsipareigojimai yra d</w:t>
      </w:r>
      <w:r w:rsidR="007B7CAF">
        <w:rPr>
          <w:rFonts w:ascii="Times New Roman" w:hAnsi="Times New Roman" w:cs="Times New Roman"/>
          <w:sz w:val="24"/>
          <w:szCs w:val="24"/>
        </w:rPr>
        <w:t>alis visų įmonės įsipareigojimų, o m</w:t>
      </w:r>
      <w:r w:rsidR="006212E8">
        <w:rPr>
          <w:rFonts w:ascii="Times New Roman" w:hAnsi="Times New Roman" w:cs="Times New Roman"/>
          <w:sz w:val="24"/>
          <w:szCs w:val="24"/>
        </w:rPr>
        <w:t>odifikuotame balanse trumpalaikiai įsipareigojimai atimami iš trumpalaikio turto tam, kad apibrėžt</w:t>
      </w:r>
      <w:r w:rsidR="00A03027">
        <w:rPr>
          <w:rFonts w:ascii="Times New Roman" w:hAnsi="Times New Roman" w:cs="Times New Roman"/>
          <w:sz w:val="24"/>
          <w:szCs w:val="24"/>
        </w:rPr>
        <w:t>ų</w:t>
      </w:r>
      <w:r w:rsidR="006212E8">
        <w:rPr>
          <w:rFonts w:ascii="Times New Roman" w:hAnsi="Times New Roman" w:cs="Times New Roman"/>
          <w:sz w:val="24"/>
          <w:szCs w:val="24"/>
        </w:rPr>
        <w:t xml:space="preserve"> investicijų, reikalingų įmonės veiklai palaikyti, apimtį arba apyvartinio kapitalo poreikį. Prie šio komponento pridėjus pinigus ir ilgalaikį turtą</w:t>
      </w:r>
      <w:r w:rsidR="00A03027">
        <w:rPr>
          <w:rFonts w:ascii="Times New Roman" w:hAnsi="Times New Roman" w:cs="Times New Roman"/>
          <w:sz w:val="24"/>
          <w:szCs w:val="24"/>
        </w:rPr>
        <w:t>,</w:t>
      </w:r>
      <w:r w:rsidR="006212E8">
        <w:rPr>
          <w:rFonts w:ascii="Times New Roman" w:hAnsi="Times New Roman" w:cs="Times New Roman"/>
          <w:sz w:val="24"/>
          <w:szCs w:val="24"/>
        </w:rPr>
        <w:t xml:space="preserve"> g</w:t>
      </w:r>
      <w:r w:rsidR="007B7CAF">
        <w:rPr>
          <w:rFonts w:ascii="Times New Roman" w:hAnsi="Times New Roman" w:cs="Times New Roman"/>
          <w:sz w:val="24"/>
          <w:szCs w:val="24"/>
        </w:rPr>
        <w:t>auname grynąjį įmonės turtą arba</w:t>
      </w:r>
      <w:r w:rsidR="006212E8">
        <w:rPr>
          <w:rFonts w:ascii="Times New Roman" w:hAnsi="Times New Roman" w:cs="Times New Roman"/>
          <w:sz w:val="24"/>
          <w:szCs w:val="24"/>
        </w:rPr>
        <w:t xml:space="preserve"> investuotą kapitalą. Įsipareigojimų pusėje, pašalinus trumpalaikius įsipareigojimus, lieka šaltiniai</w:t>
      </w:r>
      <w:r w:rsidR="00A03027">
        <w:rPr>
          <w:rFonts w:ascii="Times New Roman" w:hAnsi="Times New Roman" w:cs="Times New Roman"/>
          <w:sz w:val="24"/>
          <w:szCs w:val="24"/>
        </w:rPr>
        <w:t>,</w:t>
      </w:r>
      <w:r w:rsidR="006212E8">
        <w:rPr>
          <w:rFonts w:ascii="Times New Roman" w:hAnsi="Times New Roman" w:cs="Times New Roman"/>
          <w:sz w:val="24"/>
          <w:szCs w:val="24"/>
        </w:rPr>
        <w:t xml:space="preserve"> reikalingi turtui finansuoti: trumpalaikės skolos, ilgalaikės skolos ir savininkų nuosavybė.</w:t>
      </w:r>
    </w:p>
    <w:p w14:paraId="546B8411" w14:textId="77777777" w:rsidR="00884805" w:rsidRDefault="00443DA4" w:rsidP="008848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 Hawawini ir C. Viallet</w:t>
      </w:r>
      <w:r w:rsidR="00BB4206">
        <w:rPr>
          <w:rFonts w:ascii="Times New Roman" w:hAnsi="Times New Roman" w:cs="Times New Roman"/>
          <w:sz w:val="24"/>
          <w:szCs w:val="24"/>
        </w:rPr>
        <w:t xml:space="preserve"> pažymi, jog standartiniame balanse gautinos sumos ir atsargos priskiriamos prie trumpalaikio turto, o mokėtinos sumos </w:t>
      </w:r>
      <w:r w:rsidR="00A03027">
        <w:rPr>
          <w:rFonts w:ascii="Times New Roman" w:hAnsi="Times New Roman" w:cs="Times New Roman"/>
          <w:sz w:val="24"/>
          <w:szCs w:val="24"/>
        </w:rPr>
        <w:t xml:space="preserve">– </w:t>
      </w:r>
      <w:r w:rsidR="00BB4206">
        <w:rPr>
          <w:rFonts w:ascii="Times New Roman" w:hAnsi="Times New Roman" w:cs="Times New Roman"/>
          <w:sz w:val="24"/>
          <w:szCs w:val="24"/>
        </w:rPr>
        <w:t>prie</w:t>
      </w:r>
      <w:r w:rsidR="00A03027">
        <w:rPr>
          <w:rFonts w:ascii="Times New Roman" w:hAnsi="Times New Roman" w:cs="Times New Roman"/>
          <w:sz w:val="24"/>
          <w:szCs w:val="24"/>
        </w:rPr>
        <w:t xml:space="preserve"> </w:t>
      </w:r>
      <w:r w:rsidR="00BB4206">
        <w:rPr>
          <w:rFonts w:ascii="Times New Roman" w:hAnsi="Times New Roman" w:cs="Times New Roman"/>
          <w:sz w:val="24"/>
          <w:szCs w:val="24"/>
        </w:rPr>
        <w:t>trumpalaikių įsipareigojimų.</w:t>
      </w:r>
      <w:r w:rsidR="00987BDA">
        <w:rPr>
          <w:rFonts w:ascii="Times New Roman" w:hAnsi="Times New Roman" w:cs="Times New Roman"/>
          <w:sz w:val="24"/>
          <w:szCs w:val="24"/>
        </w:rPr>
        <w:t xml:space="preserve"> Kadangi visas šias tris dalis lengvai gali valdyti įmonių vadovai, autoriai analizuodami įmones dažniausiai naudoja modifikuotą balansą.</w:t>
      </w:r>
      <w:r w:rsidR="00236CE9">
        <w:rPr>
          <w:rFonts w:ascii="Times New Roman" w:hAnsi="Times New Roman" w:cs="Times New Roman"/>
          <w:sz w:val="24"/>
          <w:szCs w:val="24"/>
        </w:rPr>
        <w:t xml:space="preserve"> </w:t>
      </w:r>
    </w:p>
    <w:p w14:paraId="3BB6687A" w14:textId="77777777" w:rsidR="007C6C57" w:rsidRDefault="007C6C57" w:rsidP="0004087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Taigi, galima teigti, jog balansas parodo įmonės investicijas ir tų investicijų finansavimo šaltinius, todėl likvidumą valdyti galima dviem būdais: per investavimo s</w:t>
      </w:r>
      <w:r w:rsidR="00A03027">
        <w:rPr>
          <w:rFonts w:ascii="Times New Roman" w:hAnsi="Times New Roman" w:cs="Times New Roman"/>
          <w:sz w:val="24"/>
          <w:szCs w:val="24"/>
        </w:rPr>
        <w:t>p</w:t>
      </w:r>
      <w:r>
        <w:rPr>
          <w:rFonts w:ascii="Times New Roman" w:hAnsi="Times New Roman" w:cs="Times New Roman"/>
          <w:sz w:val="24"/>
          <w:szCs w:val="24"/>
        </w:rPr>
        <w:t>rendimus ir per finansavimo sprendimus.</w:t>
      </w:r>
    </w:p>
    <w:p w14:paraId="5FD2E42A" w14:textId="77777777" w:rsidR="003A31A3" w:rsidRDefault="003A31A3" w:rsidP="00163DF5">
      <w:pPr>
        <w:spacing w:after="0" w:line="360" w:lineRule="auto"/>
        <w:jc w:val="both"/>
        <w:rPr>
          <w:rFonts w:ascii="Times New Roman" w:hAnsi="Times New Roman" w:cs="Times New Roman"/>
          <w:sz w:val="24"/>
          <w:szCs w:val="24"/>
        </w:rPr>
      </w:pPr>
    </w:p>
    <w:p w14:paraId="388802EA" w14:textId="77777777" w:rsidR="0088026E" w:rsidRPr="009E1406" w:rsidRDefault="0088026E" w:rsidP="00447752">
      <w:pPr>
        <w:pStyle w:val="Heading2"/>
        <w:numPr>
          <w:ilvl w:val="1"/>
          <w:numId w:val="26"/>
        </w:numPr>
        <w:spacing w:before="0" w:beforeAutospacing="0" w:after="0" w:afterAutospacing="0" w:line="360" w:lineRule="auto"/>
        <w:ind w:left="426" w:hanging="426"/>
        <w:jc w:val="center"/>
        <w:rPr>
          <w:sz w:val="24"/>
          <w:szCs w:val="24"/>
        </w:rPr>
      </w:pPr>
      <w:bookmarkStart w:id="55" w:name="_Toc353730653"/>
      <w:r w:rsidRPr="009E1406">
        <w:rPr>
          <w:sz w:val="24"/>
          <w:szCs w:val="24"/>
        </w:rPr>
        <w:t>Įmonių likvidumą įtakojantys sprendimai</w:t>
      </w:r>
      <w:bookmarkEnd w:id="55"/>
    </w:p>
    <w:p w14:paraId="54E494D0" w14:textId="77777777" w:rsidR="0088026E" w:rsidRDefault="0088026E" w:rsidP="00163DF5">
      <w:pPr>
        <w:spacing w:after="0" w:line="360" w:lineRule="auto"/>
        <w:ind w:firstLine="567"/>
        <w:jc w:val="both"/>
        <w:rPr>
          <w:rFonts w:ascii="Times New Roman" w:hAnsi="Times New Roman" w:cs="Times New Roman"/>
          <w:sz w:val="24"/>
          <w:szCs w:val="24"/>
        </w:rPr>
      </w:pPr>
    </w:p>
    <w:p w14:paraId="602DC62E" w14:textId="77777777" w:rsidR="00B95079" w:rsidRDefault="00B95079" w:rsidP="0004087B">
      <w:pPr>
        <w:spacing w:after="0" w:line="360" w:lineRule="auto"/>
        <w:ind w:firstLine="567"/>
        <w:jc w:val="both"/>
        <w:rPr>
          <w:rFonts w:ascii="Times New Roman" w:hAnsi="Times New Roman" w:cs="Times New Roman"/>
          <w:sz w:val="24"/>
          <w:szCs w:val="24"/>
        </w:rPr>
      </w:pPr>
      <w:r w:rsidRPr="00B6343E">
        <w:rPr>
          <w:rFonts w:ascii="Times New Roman" w:hAnsi="Times New Roman" w:cs="Times New Roman"/>
          <w:sz w:val="24"/>
          <w:szCs w:val="24"/>
        </w:rPr>
        <w:t>Įmonių likvidumą įtakoja dvi finansinių sprendimų rūšys:</w:t>
      </w:r>
    </w:p>
    <w:p w14:paraId="5718ABA6" w14:textId="77777777" w:rsidR="00B95079" w:rsidRPr="006116FB" w:rsidRDefault="00B95079" w:rsidP="00447752">
      <w:pPr>
        <w:pStyle w:val="ListParagraph"/>
        <w:numPr>
          <w:ilvl w:val="0"/>
          <w:numId w:val="3"/>
        </w:numPr>
        <w:spacing w:after="0" w:line="360" w:lineRule="auto"/>
        <w:ind w:left="851" w:hanging="284"/>
        <w:jc w:val="both"/>
        <w:rPr>
          <w:rFonts w:ascii="Times New Roman" w:hAnsi="Times New Roman" w:cs="Times New Roman"/>
          <w:b/>
          <w:sz w:val="24"/>
          <w:szCs w:val="24"/>
        </w:rPr>
      </w:pPr>
      <w:r w:rsidRPr="006116FB">
        <w:rPr>
          <w:rFonts w:ascii="Times New Roman" w:hAnsi="Times New Roman" w:cs="Times New Roman"/>
          <w:b/>
          <w:sz w:val="24"/>
          <w:szCs w:val="24"/>
        </w:rPr>
        <w:t>Investavimo sprendimai.</w:t>
      </w:r>
    </w:p>
    <w:p w14:paraId="687DF072" w14:textId="77777777" w:rsidR="00FA3E44" w:rsidRDefault="00B95079" w:rsidP="00FA3E44">
      <w:pPr>
        <w:spacing w:after="0" w:line="360" w:lineRule="auto"/>
        <w:ind w:firstLine="567"/>
        <w:jc w:val="both"/>
        <w:rPr>
          <w:rFonts w:ascii="Times New Roman" w:hAnsi="Times New Roman" w:cs="Times New Roman"/>
          <w:sz w:val="24"/>
          <w:szCs w:val="24"/>
        </w:rPr>
      </w:pPr>
      <w:r w:rsidRPr="00B6343E">
        <w:rPr>
          <w:rFonts w:ascii="Times New Roman" w:hAnsi="Times New Roman" w:cs="Times New Roman"/>
          <w:sz w:val="24"/>
          <w:szCs w:val="24"/>
        </w:rPr>
        <w:t>Paprastai,</w:t>
      </w:r>
      <w:r>
        <w:rPr>
          <w:rFonts w:ascii="Times New Roman" w:hAnsi="Times New Roman" w:cs="Times New Roman"/>
          <w:sz w:val="24"/>
          <w:szCs w:val="24"/>
        </w:rPr>
        <w:t xml:space="preserve"> įmonių ilgalaikis turtas pats savaime negeneruoja pajamų, todėl </w:t>
      </w:r>
      <w:r w:rsidRPr="00B6343E">
        <w:rPr>
          <w:rFonts w:ascii="Times New Roman" w:hAnsi="Times New Roman" w:cs="Times New Roman"/>
          <w:sz w:val="24"/>
          <w:szCs w:val="24"/>
        </w:rPr>
        <w:t xml:space="preserve">ilgalaikis ir trumpalaikis turtas analizuojami atskirai. </w:t>
      </w:r>
      <w:r>
        <w:rPr>
          <w:rFonts w:ascii="Times New Roman" w:hAnsi="Times New Roman" w:cs="Times New Roman"/>
          <w:sz w:val="24"/>
          <w:szCs w:val="24"/>
        </w:rPr>
        <w:t>Trumpalaikis turtas gali būti skirstomas į: nuolatinį trump</w:t>
      </w:r>
      <w:r w:rsidR="00A03027">
        <w:rPr>
          <w:rFonts w:ascii="Times New Roman" w:hAnsi="Times New Roman" w:cs="Times New Roman"/>
          <w:sz w:val="24"/>
          <w:szCs w:val="24"/>
        </w:rPr>
        <w:t>al</w:t>
      </w:r>
      <w:r>
        <w:rPr>
          <w:rFonts w:ascii="Times New Roman" w:hAnsi="Times New Roman" w:cs="Times New Roman"/>
          <w:sz w:val="24"/>
          <w:szCs w:val="24"/>
        </w:rPr>
        <w:t xml:space="preserve">aikį turtą </w:t>
      </w:r>
      <w:r w:rsidR="00A03027">
        <w:rPr>
          <w:rFonts w:ascii="Times New Roman" w:hAnsi="Times New Roman" w:cs="Times New Roman"/>
          <w:sz w:val="24"/>
          <w:szCs w:val="24"/>
        </w:rPr>
        <w:t>–</w:t>
      </w:r>
      <w:r>
        <w:rPr>
          <w:rFonts w:ascii="Times New Roman" w:hAnsi="Times New Roman" w:cs="Times New Roman"/>
          <w:sz w:val="24"/>
          <w:szCs w:val="24"/>
        </w:rPr>
        <w:t xml:space="preserve"> minimalų</w:t>
      </w:r>
      <w:r w:rsidR="00A03027">
        <w:rPr>
          <w:rFonts w:ascii="Times New Roman" w:hAnsi="Times New Roman" w:cs="Times New Roman"/>
          <w:sz w:val="24"/>
          <w:szCs w:val="24"/>
        </w:rPr>
        <w:t xml:space="preserve"> </w:t>
      </w:r>
      <w:r>
        <w:rPr>
          <w:rFonts w:ascii="Times New Roman" w:hAnsi="Times New Roman" w:cs="Times New Roman"/>
          <w:sz w:val="24"/>
          <w:szCs w:val="24"/>
        </w:rPr>
        <w:t xml:space="preserve">trumpalaikio turto kiekį, kurio nuolatos reikia; laikiną trumpalaikį turtą – </w:t>
      </w:r>
      <w:r w:rsidR="00CA1A78">
        <w:rPr>
          <w:rFonts w:ascii="Times New Roman" w:hAnsi="Times New Roman" w:cs="Times New Roman"/>
          <w:sz w:val="24"/>
          <w:szCs w:val="24"/>
        </w:rPr>
        <w:t xml:space="preserve">turtą, </w:t>
      </w:r>
      <w:r>
        <w:rPr>
          <w:rFonts w:ascii="Times New Roman" w:hAnsi="Times New Roman" w:cs="Times New Roman"/>
          <w:sz w:val="24"/>
          <w:szCs w:val="24"/>
        </w:rPr>
        <w:t xml:space="preserve">kuris užtikrina likvidumą tam tikrais laikotarpiais. </w:t>
      </w:r>
      <w:r w:rsidRPr="00B6343E">
        <w:rPr>
          <w:rFonts w:ascii="Times New Roman" w:hAnsi="Times New Roman" w:cs="Times New Roman"/>
          <w:sz w:val="24"/>
          <w:szCs w:val="24"/>
        </w:rPr>
        <w:t xml:space="preserve">Trumpalaikio turto ir trumpalaikių įsipareigojimų valdymas vadinamas apyvartinio kapitalo valdymu. Trumpalaikis turtas suteikia įmonei likvidumą ir mažina riziką. </w:t>
      </w:r>
      <w:r>
        <w:rPr>
          <w:rFonts w:ascii="Times New Roman" w:hAnsi="Times New Roman" w:cs="Times New Roman"/>
          <w:sz w:val="24"/>
          <w:szCs w:val="24"/>
        </w:rPr>
        <w:t xml:space="preserve">Įmonės siekia, jog turto struktūra būtų optimali. Tam reikia nuolatinio </w:t>
      </w:r>
      <w:r>
        <w:rPr>
          <w:rFonts w:ascii="Times New Roman" w:hAnsi="Times New Roman" w:cs="Times New Roman"/>
          <w:sz w:val="24"/>
          <w:szCs w:val="24"/>
        </w:rPr>
        <w:lastRenderedPageBreak/>
        <w:t xml:space="preserve">pajamų gavimo, kurį užtikrina sėkmingi pardavimai, o jų sklandumą </w:t>
      </w:r>
      <w:r w:rsidR="00CF4B8C">
        <w:rPr>
          <w:rFonts w:ascii="Times New Roman" w:hAnsi="Times New Roman" w:cs="Times New Roman"/>
          <w:sz w:val="24"/>
          <w:szCs w:val="24"/>
        </w:rPr>
        <w:t>užtikrina trumpalaikis turtas (</w:t>
      </w:r>
      <w:r w:rsidR="00CA1A78">
        <w:rPr>
          <w:rFonts w:ascii="Times New Roman" w:hAnsi="Times New Roman" w:cs="Times New Roman"/>
          <w:sz w:val="24"/>
          <w:szCs w:val="24"/>
        </w:rPr>
        <w:t xml:space="preserve">žr. </w:t>
      </w:r>
      <w:r w:rsidR="00CF4B8C">
        <w:rPr>
          <w:rFonts w:ascii="Times New Roman" w:hAnsi="Times New Roman" w:cs="Times New Roman"/>
          <w:sz w:val="24"/>
          <w:szCs w:val="24"/>
        </w:rPr>
        <w:t>3</w:t>
      </w:r>
      <w:r>
        <w:rPr>
          <w:rFonts w:ascii="Times New Roman" w:hAnsi="Times New Roman" w:cs="Times New Roman"/>
          <w:sz w:val="24"/>
          <w:szCs w:val="24"/>
        </w:rPr>
        <w:t xml:space="preserve"> pav.). </w:t>
      </w:r>
    </w:p>
    <w:p w14:paraId="427E29E5" w14:textId="77777777" w:rsidR="00B8314D" w:rsidRDefault="00B8314D" w:rsidP="00B831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matyti paveiksle (žr. 3 pav.), apyvartinio kapitalo pinigų srauto ciklas apima medžiagų ir darbo pirkimo, produkto gamybos, pardavimo kreditan ir mokėjimų gavimo procesą, tai yra laiką, kurio reikia pinigus paversti atsargomis, atsargas gautinomis sumomis, gautinas sumas pinigais. Kai visi šie procesai įvyksta, ciklas prasideda iš naujo. Kiekviena šio ciklo dalis veikia įmonės balansą. Pavyzdžiui, kai įmonė vykdo pirkimus ir atsargos, ir mokėtinos sumos didėja.</w:t>
      </w:r>
    </w:p>
    <w:p w14:paraId="7D19FFEB" w14:textId="77777777" w:rsidR="008C7ACA" w:rsidRDefault="008C7ACA" w:rsidP="00B8314D">
      <w:pPr>
        <w:spacing w:after="0" w:line="360" w:lineRule="auto"/>
        <w:ind w:firstLine="567"/>
        <w:jc w:val="both"/>
        <w:rPr>
          <w:rFonts w:ascii="Times New Roman" w:hAnsi="Times New Roman" w:cs="Times New Roman"/>
          <w:sz w:val="24"/>
          <w:szCs w:val="24"/>
        </w:rPr>
      </w:pPr>
    </w:p>
    <w:p w14:paraId="697BD062" w14:textId="77777777" w:rsidR="00E81F93" w:rsidRDefault="00E612B9" w:rsidP="00E81F9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lt-LT"/>
        </w:rPr>
        <w:pict w14:anchorId="36515FE6">
          <v:shapetype id="_x0000_t202" coordsize="21600,21600" o:spt="202" path="m,l,21600r21600,l21600,xe">
            <v:stroke joinstyle="miter"/>
            <v:path gradientshapeok="t" o:connecttype="rect"/>
          </v:shapetype>
          <v:shape id="_x0000_s1032" type="#_x0000_t202" style="position:absolute;left:0;text-align:left;margin-left:193.1pt;margin-top:227.95pt;width:113.6pt;height:59.75pt;z-index:251658752">
            <v:textbox style="mso-next-textbox:#_x0000_s1032">
              <w:txbxContent>
                <w:p w14:paraId="71295221" w14:textId="77777777" w:rsidR="004E51DB" w:rsidRPr="00AA63B7" w:rsidRDefault="004E51DB" w:rsidP="00B95079">
                  <w:pPr>
                    <w:spacing w:after="0"/>
                    <w:jc w:val="both"/>
                    <w:rPr>
                      <w:rFonts w:ascii="Times New Roman" w:hAnsi="Times New Roman" w:cs="Times New Roman"/>
                      <w:sz w:val="20"/>
                      <w:szCs w:val="20"/>
                    </w:rPr>
                  </w:pPr>
                  <w:r w:rsidRPr="00AA63B7">
                    <w:rPr>
                      <w:rFonts w:ascii="Times New Roman" w:hAnsi="Times New Roman" w:cs="Times New Roman"/>
                      <w:sz w:val="20"/>
                      <w:szCs w:val="20"/>
                    </w:rPr>
                    <w:t>Poveikis balansui:</w:t>
                  </w:r>
                </w:p>
                <w:p w14:paraId="5940B658" w14:textId="77777777" w:rsidR="004E51DB" w:rsidRPr="00AA63B7" w:rsidRDefault="004E51DB" w:rsidP="00B95079">
                  <w:pPr>
                    <w:spacing w:after="0"/>
                    <w:jc w:val="both"/>
                    <w:rPr>
                      <w:rFonts w:ascii="Times New Roman" w:hAnsi="Times New Roman" w:cs="Times New Roman"/>
                      <w:sz w:val="20"/>
                      <w:szCs w:val="20"/>
                    </w:rPr>
                  </w:pPr>
                  <w:r w:rsidRPr="00AA63B7">
                    <w:rPr>
                      <w:rFonts w:ascii="Times New Roman" w:hAnsi="Times New Roman" w:cs="Times New Roman"/>
                      <w:sz w:val="20"/>
                      <w:szCs w:val="20"/>
                    </w:rPr>
                    <w:t>-Žaliavų atsargos;</w:t>
                  </w:r>
                </w:p>
                <w:p w14:paraId="22A03FA3" w14:textId="77777777" w:rsidR="004E51DB" w:rsidRPr="00AA63B7" w:rsidRDefault="004E51DB" w:rsidP="00B95079">
                  <w:pPr>
                    <w:spacing w:after="0"/>
                    <w:jc w:val="both"/>
                    <w:rPr>
                      <w:rFonts w:ascii="Times New Roman" w:hAnsi="Times New Roman" w:cs="Times New Roman"/>
                      <w:sz w:val="20"/>
                      <w:szCs w:val="20"/>
                    </w:rPr>
                  </w:pPr>
                  <w:r w:rsidRPr="00AA63B7">
                    <w:rPr>
                      <w:rFonts w:ascii="Times New Roman" w:hAnsi="Times New Roman" w:cs="Times New Roman"/>
                      <w:sz w:val="20"/>
                      <w:szCs w:val="20"/>
                    </w:rPr>
                    <w:t>-Nebaigta gamyba;</w:t>
                  </w:r>
                </w:p>
                <w:p w14:paraId="78B618BE" w14:textId="77777777" w:rsidR="004E51DB" w:rsidRPr="00AA63B7" w:rsidRDefault="004E51DB" w:rsidP="00B95079">
                  <w:pPr>
                    <w:spacing w:after="0"/>
                    <w:jc w:val="both"/>
                    <w:rPr>
                      <w:rFonts w:ascii="Times New Roman" w:hAnsi="Times New Roman" w:cs="Times New Roman"/>
                      <w:sz w:val="20"/>
                      <w:szCs w:val="20"/>
                    </w:rPr>
                  </w:pPr>
                  <w:r w:rsidRPr="00AA63B7">
                    <w:rPr>
                      <w:rFonts w:ascii="Times New Roman" w:hAnsi="Times New Roman" w:cs="Times New Roman"/>
                      <w:sz w:val="20"/>
                      <w:szCs w:val="20"/>
                    </w:rPr>
                    <w:t>-Pagaminta produkcija.</w:t>
                  </w:r>
                </w:p>
              </w:txbxContent>
            </v:textbox>
          </v:shape>
        </w:pict>
      </w:r>
      <w:r>
        <w:rPr>
          <w:rFonts w:ascii="Times New Roman" w:hAnsi="Times New Roman" w:cs="Times New Roman"/>
          <w:noProof/>
          <w:sz w:val="24"/>
          <w:szCs w:val="24"/>
          <w:lang w:eastAsia="lt-LT"/>
        </w:rPr>
        <w:pict w14:anchorId="6AD8C003">
          <v:shape id="_x0000_s1031" type="#_x0000_t202" style="position:absolute;left:0;text-align:left;margin-left:376.25pt;margin-top:86.95pt;width:97.95pt;height:48.9pt;z-index:251656704">
            <v:textbox style="mso-next-textbox:#_x0000_s1031">
              <w:txbxContent>
                <w:p w14:paraId="3ED05B33" w14:textId="77777777" w:rsidR="004E51DB" w:rsidRPr="00AA63B7" w:rsidRDefault="004E51DB" w:rsidP="00B95079">
                  <w:pPr>
                    <w:spacing w:after="0"/>
                    <w:jc w:val="both"/>
                    <w:rPr>
                      <w:rFonts w:ascii="Times New Roman" w:hAnsi="Times New Roman" w:cs="Times New Roman"/>
                      <w:sz w:val="20"/>
                      <w:szCs w:val="20"/>
                    </w:rPr>
                  </w:pPr>
                  <w:r w:rsidRPr="00AA63B7">
                    <w:rPr>
                      <w:rFonts w:ascii="Times New Roman" w:hAnsi="Times New Roman" w:cs="Times New Roman"/>
                      <w:sz w:val="20"/>
                      <w:szCs w:val="20"/>
                    </w:rPr>
                    <w:t>Poveikis balansui:</w:t>
                  </w:r>
                </w:p>
                <w:p w14:paraId="5A477EFB" w14:textId="77777777" w:rsidR="004E51DB" w:rsidRPr="00AA63B7" w:rsidRDefault="004E51DB" w:rsidP="00B95079">
                  <w:pPr>
                    <w:spacing w:after="0"/>
                    <w:jc w:val="both"/>
                    <w:rPr>
                      <w:rFonts w:ascii="Times New Roman" w:hAnsi="Times New Roman" w:cs="Times New Roman"/>
                      <w:sz w:val="20"/>
                      <w:szCs w:val="20"/>
                    </w:rPr>
                  </w:pPr>
                  <w:r w:rsidRPr="00AA63B7">
                    <w:rPr>
                      <w:rFonts w:ascii="Times New Roman" w:hAnsi="Times New Roman" w:cs="Times New Roman"/>
                      <w:sz w:val="20"/>
                      <w:szCs w:val="20"/>
                    </w:rPr>
                    <w:t>-Mokėtinos sumos;</w:t>
                  </w:r>
                </w:p>
                <w:p w14:paraId="03DF39A8" w14:textId="77777777" w:rsidR="004E51DB" w:rsidRPr="00BE1481" w:rsidRDefault="004E51DB" w:rsidP="00B95079">
                  <w:pPr>
                    <w:spacing w:after="0"/>
                    <w:jc w:val="both"/>
                    <w:rPr>
                      <w:sz w:val="20"/>
                      <w:szCs w:val="20"/>
                    </w:rPr>
                  </w:pPr>
                  <w:r w:rsidRPr="00AA63B7">
                    <w:rPr>
                      <w:rFonts w:ascii="Times New Roman" w:hAnsi="Times New Roman" w:cs="Times New Roman"/>
                      <w:sz w:val="20"/>
                      <w:szCs w:val="20"/>
                    </w:rPr>
                    <w:t>-Žaliavų atsargos</w:t>
                  </w:r>
                  <w:r>
                    <w:rPr>
                      <w:sz w:val="20"/>
                      <w:szCs w:val="20"/>
                    </w:rPr>
                    <w:t>.</w:t>
                  </w:r>
                </w:p>
              </w:txbxContent>
            </v:textbox>
          </v:shape>
        </w:pict>
      </w:r>
      <w:r>
        <w:rPr>
          <w:rFonts w:ascii="Times New Roman" w:hAnsi="Times New Roman" w:cs="Times New Roman"/>
          <w:noProof/>
          <w:sz w:val="24"/>
          <w:szCs w:val="24"/>
          <w:lang w:eastAsia="lt-LT"/>
        </w:rPr>
        <w:pict w14:anchorId="184B1B8B">
          <v:shape id="_x0000_s1030" type="#_x0000_t202" style="position:absolute;left:0;text-align:left;margin-left:8.75pt;margin-top:86.95pt;width:103.8pt;height:54.75pt;z-index:251657728" strokecolor="black [3213]">
            <v:textbox style="mso-next-textbox:#_x0000_s1030">
              <w:txbxContent>
                <w:p w14:paraId="73424781" w14:textId="77777777" w:rsidR="004E51DB" w:rsidRPr="00AA63B7" w:rsidRDefault="004E51DB" w:rsidP="00B95079">
                  <w:pPr>
                    <w:spacing w:after="0" w:line="240" w:lineRule="auto"/>
                    <w:jc w:val="both"/>
                    <w:rPr>
                      <w:rFonts w:ascii="Times New Roman" w:hAnsi="Times New Roman" w:cs="Times New Roman"/>
                      <w:sz w:val="20"/>
                      <w:szCs w:val="20"/>
                    </w:rPr>
                  </w:pPr>
                  <w:r w:rsidRPr="00AA63B7">
                    <w:rPr>
                      <w:rFonts w:ascii="Times New Roman" w:hAnsi="Times New Roman" w:cs="Times New Roman"/>
                      <w:sz w:val="20"/>
                      <w:szCs w:val="20"/>
                    </w:rPr>
                    <w:t>Poveikis balansui:</w:t>
                  </w:r>
                </w:p>
                <w:p w14:paraId="50BE0398" w14:textId="77777777" w:rsidR="004E51DB" w:rsidRPr="00AA63B7" w:rsidRDefault="004E51DB" w:rsidP="00447752">
                  <w:pPr>
                    <w:pStyle w:val="ListParagraph"/>
                    <w:numPr>
                      <w:ilvl w:val="0"/>
                      <w:numId w:val="4"/>
                    </w:numPr>
                    <w:spacing w:after="0" w:line="240" w:lineRule="auto"/>
                    <w:ind w:left="0"/>
                    <w:jc w:val="both"/>
                    <w:rPr>
                      <w:rFonts w:ascii="Times New Roman" w:hAnsi="Times New Roman" w:cs="Times New Roman"/>
                      <w:sz w:val="20"/>
                      <w:szCs w:val="20"/>
                    </w:rPr>
                  </w:pPr>
                  <w:r w:rsidRPr="00AA63B7">
                    <w:rPr>
                      <w:rFonts w:ascii="Times New Roman" w:hAnsi="Times New Roman" w:cs="Times New Roman"/>
                      <w:sz w:val="20"/>
                      <w:szCs w:val="20"/>
                    </w:rPr>
                    <w:t>-Gautinos sumos;</w:t>
                  </w:r>
                </w:p>
                <w:p w14:paraId="249CAF12" w14:textId="77777777" w:rsidR="004E51DB" w:rsidRPr="00AA63B7" w:rsidRDefault="004E51DB" w:rsidP="00447752">
                  <w:pPr>
                    <w:pStyle w:val="ListParagraph"/>
                    <w:numPr>
                      <w:ilvl w:val="0"/>
                      <w:numId w:val="4"/>
                    </w:numPr>
                    <w:spacing w:after="0" w:line="240" w:lineRule="auto"/>
                    <w:ind w:left="0"/>
                    <w:jc w:val="both"/>
                    <w:rPr>
                      <w:rFonts w:ascii="Times New Roman" w:hAnsi="Times New Roman" w:cs="Times New Roman"/>
                      <w:sz w:val="20"/>
                      <w:szCs w:val="20"/>
                    </w:rPr>
                  </w:pPr>
                  <w:r w:rsidRPr="00AA63B7">
                    <w:rPr>
                      <w:rFonts w:ascii="Times New Roman" w:hAnsi="Times New Roman" w:cs="Times New Roman"/>
                      <w:sz w:val="20"/>
                      <w:szCs w:val="20"/>
                    </w:rPr>
                    <w:t>-Pagamintos produkcijos atsargos.</w:t>
                  </w:r>
                </w:p>
              </w:txbxContent>
            </v:textbox>
          </v:shape>
        </w:pict>
      </w:r>
      <w:r w:rsidR="00B95079">
        <w:rPr>
          <w:rFonts w:ascii="Times New Roman" w:hAnsi="Times New Roman" w:cs="Times New Roman"/>
          <w:noProof/>
          <w:sz w:val="24"/>
          <w:szCs w:val="24"/>
          <w:lang w:val="en-US"/>
        </w:rPr>
        <w:drawing>
          <wp:inline distT="0" distB="0" distL="0" distR="0" wp14:anchorId="146C5F11" wp14:editId="1C87D22A">
            <wp:extent cx="6262577" cy="2817628"/>
            <wp:effectExtent l="0" t="0" r="0" b="190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DF61CBD" w14:textId="77777777" w:rsidR="00E119B9" w:rsidRDefault="00E119B9" w:rsidP="00E81F93">
      <w:pPr>
        <w:spacing w:after="0" w:line="360" w:lineRule="auto"/>
        <w:jc w:val="both"/>
        <w:rPr>
          <w:rFonts w:ascii="Times New Roman" w:hAnsi="Times New Roman" w:cs="Times New Roman"/>
          <w:sz w:val="24"/>
          <w:szCs w:val="24"/>
        </w:rPr>
      </w:pPr>
    </w:p>
    <w:p w14:paraId="75B95008" w14:textId="77777777" w:rsidR="00E119B9" w:rsidRDefault="00E119B9" w:rsidP="00B95079">
      <w:pPr>
        <w:spacing w:after="0" w:line="360" w:lineRule="auto"/>
        <w:ind w:firstLine="567"/>
        <w:jc w:val="both"/>
        <w:rPr>
          <w:rFonts w:ascii="Times New Roman" w:hAnsi="Times New Roman" w:cs="Times New Roman"/>
          <w:sz w:val="24"/>
          <w:szCs w:val="24"/>
        </w:rPr>
      </w:pPr>
    </w:p>
    <w:p w14:paraId="614026C9" w14:textId="77777777" w:rsidR="00FA3E44" w:rsidRDefault="00FA3E44" w:rsidP="00B95079">
      <w:pPr>
        <w:spacing w:after="0" w:line="360" w:lineRule="auto"/>
        <w:ind w:firstLine="567"/>
        <w:jc w:val="both"/>
        <w:rPr>
          <w:rFonts w:ascii="Times New Roman" w:hAnsi="Times New Roman" w:cs="Times New Roman"/>
          <w:sz w:val="24"/>
          <w:szCs w:val="24"/>
        </w:rPr>
      </w:pPr>
    </w:p>
    <w:p w14:paraId="751CCBCD" w14:textId="77777777" w:rsidR="007D3BAB" w:rsidRDefault="007D3BAB" w:rsidP="00CA1A78">
      <w:pPr>
        <w:spacing w:after="0" w:line="360" w:lineRule="auto"/>
        <w:ind w:firstLine="284"/>
        <w:jc w:val="both"/>
        <w:rPr>
          <w:rFonts w:ascii="Times New Roman" w:hAnsi="Times New Roman" w:cs="Times New Roman"/>
          <w:b/>
          <w:sz w:val="20"/>
          <w:szCs w:val="20"/>
        </w:rPr>
      </w:pPr>
    </w:p>
    <w:p w14:paraId="6CC36F0E" w14:textId="77777777" w:rsidR="00FA3E44" w:rsidRPr="00CA1A78" w:rsidRDefault="00CA1A78" w:rsidP="00CA1A78">
      <w:pPr>
        <w:spacing w:after="0" w:line="360" w:lineRule="auto"/>
        <w:ind w:firstLine="284"/>
        <w:jc w:val="both"/>
        <w:rPr>
          <w:rFonts w:ascii="Times New Roman" w:hAnsi="Times New Roman" w:cs="Times New Roman"/>
          <w:sz w:val="20"/>
          <w:szCs w:val="20"/>
        </w:rPr>
      </w:pPr>
      <w:r w:rsidRPr="00CA1A78">
        <w:rPr>
          <w:rFonts w:ascii="Times New Roman" w:hAnsi="Times New Roman" w:cs="Times New Roman"/>
          <w:b/>
          <w:sz w:val="20"/>
          <w:szCs w:val="20"/>
        </w:rPr>
        <w:t>Šaltinis:</w:t>
      </w:r>
      <w:r w:rsidRPr="00CA1A78">
        <w:rPr>
          <w:rFonts w:ascii="Times New Roman" w:hAnsi="Times New Roman" w:cs="Times New Roman"/>
          <w:sz w:val="20"/>
          <w:szCs w:val="20"/>
        </w:rPr>
        <w:t xml:space="preserve"> Hawawini G., Viallet C.</w:t>
      </w:r>
      <w:r>
        <w:rPr>
          <w:rFonts w:ascii="Times New Roman" w:hAnsi="Times New Roman" w:cs="Times New Roman"/>
          <w:sz w:val="20"/>
          <w:szCs w:val="20"/>
        </w:rPr>
        <w:t>, 2007</w:t>
      </w:r>
    </w:p>
    <w:p w14:paraId="20886865" w14:textId="77777777" w:rsidR="00CA1A78" w:rsidRPr="007F2B73" w:rsidRDefault="00CA1A78" w:rsidP="007F2B73">
      <w:pPr>
        <w:pStyle w:val="Caption"/>
        <w:rPr>
          <w:szCs w:val="24"/>
        </w:rPr>
      </w:pPr>
      <w:bookmarkStart w:id="56" w:name="_Toc227593859"/>
      <w:bookmarkStart w:id="57" w:name="_Toc227594500"/>
      <w:r w:rsidRPr="007F2B73">
        <w:rPr>
          <w:szCs w:val="24"/>
        </w:rPr>
        <w:t>3 pav. Apyvartinio kapitalo pinigų srauto ciklas</w:t>
      </w:r>
      <w:bookmarkEnd w:id="56"/>
      <w:bookmarkEnd w:id="57"/>
    </w:p>
    <w:p w14:paraId="2C19AB5B" w14:textId="77777777" w:rsidR="00CA1A78" w:rsidRDefault="00CA1A78" w:rsidP="00CA1A78">
      <w:pPr>
        <w:spacing w:after="0" w:line="360" w:lineRule="auto"/>
        <w:jc w:val="center"/>
        <w:rPr>
          <w:rFonts w:ascii="Times New Roman" w:hAnsi="Times New Roman" w:cs="Times New Roman"/>
          <w:sz w:val="24"/>
          <w:szCs w:val="24"/>
        </w:rPr>
      </w:pPr>
    </w:p>
    <w:p w14:paraId="6FCF9287"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Problema atsiranda dėl to, </w:t>
      </w:r>
      <w:r w:rsidR="00E20503">
        <w:rPr>
          <w:rFonts w:ascii="Times New Roman" w:hAnsi="Times New Roman" w:cs="Times New Roman"/>
          <w:sz w:val="24"/>
          <w:szCs w:val="24"/>
        </w:rPr>
        <w:t>kad</w:t>
      </w:r>
      <w:r>
        <w:rPr>
          <w:rFonts w:ascii="Times New Roman" w:hAnsi="Times New Roman" w:cs="Times New Roman"/>
          <w:sz w:val="24"/>
          <w:szCs w:val="24"/>
        </w:rPr>
        <w:t xml:space="preserve"> įsiskolinimų mokėjimo terminai dažniausiai nesutampa su pinigų įplaukomis, todėl firmos turi turėti tam tikrą likvidžių aktyvų rezervą, kurio pagalba galėtų padengti savo įsipareigojimus. Anot Kancerevyčiaus (2006)</w:t>
      </w:r>
      <w:r w:rsidR="00F02BBE">
        <w:rPr>
          <w:rFonts w:ascii="Times New Roman" w:hAnsi="Times New Roman" w:cs="Times New Roman"/>
          <w:sz w:val="24"/>
          <w:szCs w:val="24"/>
        </w:rPr>
        <w:t>,</w:t>
      </w:r>
      <w:r>
        <w:rPr>
          <w:rFonts w:ascii="Times New Roman" w:hAnsi="Times New Roman" w:cs="Times New Roman"/>
          <w:sz w:val="24"/>
          <w:szCs w:val="24"/>
        </w:rPr>
        <w:t xml:space="preserve"> pinigų apyvartos ciklas gaunamas </w:t>
      </w:r>
      <w:r w:rsidRPr="00FA3E44">
        <w:rPr>
          <w:rFonts w:ascii="Times New Roman" w:hAnsi="Times New Roman" w:cs="Times New Roman"/>
          <w:sz w:val="24"/>
          <w:szCs w:val="24"/>
        </w:rPr>
        <w:t xml:space="preserve">iš veiklos ciklo atėmus įsiskolinimų tiekėjams likvidavimo periodą. Įsiskolinimų tiekėjams likvidavimo periodas yra laikas tarp medžiagų bei darbo pirkimo ir apmokėjimo už juos pinigais. </w:t>
      </w:r>
      <w:r>
        <w:rPr>
          <w:rFonts w:ascii="Times New Roman" w:hAnsi="Times New Roman" w:cs="Times New Roman"/>
          <w:sz w:val="24"/>
          <w:szCs w:val="24"/>
        </w:rPr>
        <w:t>Pinigų apyvartos ciklas matuoja laiką, per kurį įmonė buvo investavusi savo lėšas į apyvartinį kapitalą. Pinigų apyvartos ciklo patrumpėjimas rodo padidėjusį įmonės likvidumą.</w:t>
      </w:r>
    </w:p>
    <w:p w14:paraId="09354865"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Paprastai, kuo daugiau įmonė turi trumpalaikio turto, tuo didesni jo laikymo kaštai, bet mažesnė rizika ir didesnis likvidumas. Trumpalaikio turto laikymo kaštų analizei naudojamas trumpalaikio ir </w:t>
      </w:r>
      <w:r>
        <w:rPr>
          <w:rFonts w:ascii="Times New Roman" w:hAnsi="Times New Roman" w:cs="Times New Roman"/>
          <w:sz w:val="24"/>
          <w:szCs w:val="24"/>
        </w:rPr>
        <w:lastRenderedPageBreak/>
        <w:t>viso turto santykis (trumpalaikis turtas/visas turtas)</w:t>
      </w:r>
      <w:r w:rsidR="001055AF">
        <w:rPr>
          <w:rFonts w:ascii="Times New Roman" w:hAnsi="Times New Roman" w:cs="Times New Roman"/>
          <w:sz w:val="24"/>
          <w:szCs w:val="24"/>
        </w:rPr>
        <w:t xml:space="preserve"> (Riddiough, Wu 2009)</w:t>
      </w:r>
      <w:r>
        <w:rPr>
          <w:rFonts w:ascii="Times New Roman" w:hAnsi="Times New Roman" w:cs="Times New Roman"/>
          <w:sz w:val="24"/>
          <w:szCs w:val="24"/>
        </w:rPr>
        <w:t>. Didesnis rodiklis rodo didesnes investicijas į likvidų turtą. Šio rodiklio nustatymas apima dvi kaštų rūšis:</w:t>
      </w:r>
    </w:p>
    <w:p w14:paraId="5C270E33" w14:textId="77777777" w:rsidR="00B95079" w:rsidRDefault="00B95079" w:rsidP="00447752">
      <w:pPr>
        <w:pStyle w:val="ListParagraph"/>
        <w:numPr>
          <w:ilvl w:val="0"/>
          <w:numId w:val="5"/>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Likvidumo kaštai. Kuo didesnis </w:t>
      </w:r>
      <w:r w:rsidR="00F02BBE">
        <w:rPr>
          <w:rFonts w:ascii="Times New Roman" w:hAnsi="Times New Roman" w:cs="Times New Roman"/>
          <w:sz w:val="24"/>
          <w:szCs w:val="24"/>
        </w:rPr>
        <w:t>šis</w:t>
      </w:r>
      <w:r>
        <w:rPr>
          <w:rFonts w:ascii="Times New Roman" w:hAnsi="Times New Roman" w:cs="Times New Roman"/>
          <w:sz w:val="24"/>
          <w:szCs w:val="24"/>
        </w:rPr>
        <w:t xml:space="preserve"> rodiklis, tuo didesni likvidumo kaštai ir nuo to kenčia reikalaujamas pelningumas visam turtui;</w:t>
      </w:r>
    </w:p>
    <w:p w14:paraId="6158AD9E" w14:textId="77777777" w:rsidR="00B95079" w:rsidRDefault="00B95079" w:rsidP="00447752">
      <w:pPr>
        <w:pStyle w:val="ListParagraph"/>
        <w:numPr>
          <w:ilvl w:val="0"/>
          <w:numId w:val="5"/>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Nelikvidumo kaštai. </w:t>
      </w:r>
      <w:r w:rsidR="00F02BBE">
        <w:rPr>
          <w:rFonts w:ascii="Times New Roman" w:hAnsi="Times New Roman" w:cs="Times New Roman"/>
          <w:sz w:val="24"/>
          <w:szCs w:val="24"/>
        </w:rPr>
        <w:t>Investavus į trumpalaikį turtą, sumažėja lėšų</w:t>
      </w:r>
      <w:r>
        <w:rPr>
          <w:rFonts w:ascii="Times New Roman" w:hAnsi="Times New Roman" w:cs="Times New Roman"/>
          <w:sz w:val="24"/>
          <w:szCs w:val="24"/>
        </w:rPr>
        <w:t>,</w:t>
      </w:r>
      <w:r w:rsidR="00F02BBE">
        <w:rPr>
          <w:rFonts w:ascii="Times New Roman" w:hAnsi="Times New Roman" w:cs="Times New Roman"/>
          <w:sz w:val="24"/>
          <w:szCs w:val="24"/>
        </w:rPr>
        <w:t xml:space="preserve"> todėl</w:t>
      </w:r>
      <w:r>
        <w:rPr>
          <w:rFonts w:ascii="Times New Roman" w:hAnsi="Times New Roman" w:cs="Times New Roman"/>
          <w:sz w:val="24"/>
          <w:szCs w:val="24"/>
        </w:rPr>
        <w:t xml:space="preserve"> gali sutrikti pardavimai.</w:t>
      </w:r>
    </w:p>
    <w:p w14:paraId="2209603D"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Norint gauti optimalų trumpalaikio turto lygį, reikia atrasti balansą tarp šių dviejų kaštų. Per didelis poslinkis į vieną ar į kitą pusę nėra naudingas įmonei. Pavyzdžiui, jei minimizuojant kaštus sumažinamos investicijos į trumpalaikį turtą, tai išaugusi rizika gali viršyti kaštų sumažinimo naudą ir akcijos kaina kris arba, jei investicijos į trumpalaikį turtą per didelės, tai sumažėjusi rizika sumažina reikalaujamą pelningumą ir akcijų kaina taip pat krenta</w:t>
      </w:r>
      <w:r w:rsidR="00CF4B8C">
        <w:rPr>
          <w:rFonts w:ascii="Times New Roman" w:hAnsi="Times New Roman" w:cs="Times New Roman"/>
          <w:sz w:val="24"/>
          <w:szCs w:val="24"/>
        </w:rPr>
        <w:t xml:space="preserve"> (Alexandru, 2008)</w:t>
      </w:r>
      <w:r>
        <w:rPr>
          <w:rFonts w:ascii="Times New Roman" w:hAnsi="Times New Roman" w:cs="Times New Roman"/>
          <w:sz w:val="24"/>
          <w:szCs w:val="24"/>
        </w:rPr>
        <w:t xml:space="preserve">. Todėl praktikoje reikia išnagrinėti kiekvieną trumpalaikio turto kategoriją atskirai. Optimalaus trumpalaikio turto lygio pokyčius gali įtakoti pardavimų lygio pokyčiai, vadybos politikos pokyčiai arba technologiniai pokyčiai. </w:t>
      </w:r>
    </w:p>
    <w:p w14:paraId="5CBDD5D5" w14:textId="77777777" w:rsidR="00B95079" w:rsidRDefault="00B95079" w:rsidP="000C7ED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Svarbu suvokti, jog yra didelis skirtumas tarp investavimo į trumpalaikį turtą ir investavimo į ilgalaikį turtą. Firma gali keisti investicijas į trumpalaikį turtą arba jas atšaukti nepatirdama kaštų arba su minimaliais k</w:t>
      </w:r>
      <w:r w:rsidR="00F02BBE">
        <w:rPr>
          <w:rFonts w:ascii="Times New Roman" w:hAnsi="Times New Roman" w:cs="Times New Roman"/>
          <w:sz w:val="24"/>
          <w:szCs w:val="24"/>
        </w:rPr>
        <w:t>a</w:t>
      </w:r>
      <w:r>
        <w:rPr>
          <w:rFonts w:ascii="Times New Roman" w:hAnsi="Times New Roman" w:cs="Times New Roman"/>
          <w:sz w:val="24"/>
          <w:szCs w:val="24"/>
        </w:rPr>
        <w:t>štais. Tuo tarpu investicijų į ilgalaikį turtą likvidavimo kaštai gali būti labai dideli. Taigi, galima teigti, kad optimalus investicijų į trumpalaikį turtą dydis gali kisti, kai tuo tarpu investicijos į ilgalaikį turtą yra sąlyginai fiksuotos.</w:t>
      </w:r>
    </w:p>
    <w:p w14:paraId="79C125C4" w14:textId="77777777" w:rsidR="00B95079" w:rsidRPr="006116FB" w:rsidRDefault="00B95079" w:rsidP="00447752">
      <w:pPr>
        <w:pStyle w:val="ListParagraph"/>
        <w:numPr>
          <w:ilvl w:val="0"/>
          <w:numId w:val="3"/>
        </w:numPr>
        <w:spacing w:after="0" w:line="360" w:lineRule="auto"/>
        <w:ind w:left="851" w:hanging="284"/>
        <w:jc w:val="both"/>
        <w:rPr>
          <w:rFonts w:ascii="Times New Roman" w:hAnsi="Times New Roman" w:cs="Times New Roman"/>
          <w:b/>
          <w:sz w:val="24"/>
          <w:szCs w:val="24"/>
        </w:rPr>
      </w:pPr>
      <w:r w:rsidRPr="006116FB">
        <w:rPr>
          <w:rFonts w:ascii="Times New Roman" w:hAnsi="Times New Roman" w:cs="Times New Roman"/>
          <w:b/>
          <w:sz w:val="24"/>
          <w:szCs w:val="24"/>
        </w:rPr>
        <w:t>Finansavimo sprendimai.</w:t>
      </w:r>
    </w:p>
    <w:p w14:paraId="01D2C4CC" w14:textId="77777777" w:rsidR="00B95079" w:rsidRDefault="006B4897"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Dešinioj</w:t>
      </w:r>
      <w:r w:rsidR="00B95079">
        <w:rPr>
          <w:rFonts w:ascii="Times New Roman" w:hAnsi="Times New Roman" w:cs="Times New Roman"/>
          <w:sz w:val="24"/>
          <w:szCs w:val="24"/>
        </w:rPr>
        <w:t xml:space="preserve">i balanso pusė rodo įmonės įsipareigojimus, bendrus turto finansavimo šaltinius. </w:t>
      </w:r>
      <w:r w:rsidR="00F02BBE">
        <w:rPr>
          <w:rFonts w:ascii="Times New Roman" w:hAnsi="Times New Roman" w:cs="Times New Roman"/>
          <w:sz w:val="24"/>
          <w:szCs w:val="24"/>
        </w:rPr>
        <w:t>Paprastai</w:t>
      </w:r>
      <w:r w:rsidR="000C7201">
        <w:rPr>
          <w:rFonts w:ascii="Times New Roman" w:hAnsi="Times New Roman" w:cs="Times New Roman"/>
          <w:sz w:val="24"/>
          <w:szCs w:val="24"/>
        </w:rPr>
        <w:t xml:space="preserve"> įmonės turtas finans</w:t>
      </w:r>
      <w:r w:rsidR="00B95079">
        <w:rPr>
          <w:rFonts w:ascii="Times New Roman" w:hAnsi="Times New Roman" w:cs="Times New Roman"/>
          <w:sz w:val="24"/>
          <w:szCs w:val="24"/>
        </w:rPr>
        <w:t>uojamas tiek nuos</w:t>
      </w:r>
      <w:r w:rsidR="00F02BBE">
        <w:rPr>
          <w:rFonts w:ascii="Times New Roman" w:hAnsi="Times New Roman" w:cs="Times New Roman"/>
          <w:sz w:val="24"/>
          <w:szCs w:val="24"/>
        </w:rPr>
        <w:t>avu kapitalu, tiek ilgalaikiais bei</w:t>
      </w:r>
      <w:r w:rsidR="00B95079">
        <w:rPr>
          <w:rFonts w:ascii="Times New Roman" w:hAnsi="Times New Roman" w:cs="Times New Roman"/>
          <w:sz w:val="24"/>
          <w:szCs w:val="24"/>
        </w:rPr>
        <w:t xml:space="preserve"> trumpalaikiais finansavimo šaltiniais. Norint pasiekti gerą rezultatą, tarp šių finansavimo šaltinių turėtų būti balansas. Įmonių finansavimui analizuoti naudojamas trumpalaikių įsipareigojimų bei viso finansavimo santykis (trumpalaikiai įsipareigojimai/visas finansavimas). Visas finansavimas yra bendra suma</w:t>
      </w:r>
      <w:r w:rsidR="00F02BBE">
        <w:rPr>
          <w:rFonts w:ascii="Times New Roman" w:hAnsi="Times New Roman" w:cs="Times New Roman"/>
          <w:sz w:val="24"/>
          <w:szCs w:val="24"/>
        </w:rPr>
        <w:t>,</w:t>
      </w:r>
      <w:r w:rsidR="00B95079">
        <w:rPr>
          <w:rFonts w:ascii="Times New Roman" w:hAnsi="Times New Roman" w:cs="Times New Roman"/>
          <w:sz w:val="24"/>
          <w:szCs w:val="24"/>
        </w:rPr>
        <w:t xml:space="preserve"> reikalinga tiek trumpalaikiam, tiek ilgalaikiam turtui finansuoti. Didėjant šiam rodikliui didėja ir įmonės rizika. </w:t>
      </w:r>
    </w:p>
    <w:p w14:paraId="0DD46B81"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Skiriamos trys finansavimo rūšys:</w:t>
      </w:r>
    </w:p>
    <w:p w14:paraId="292CD97B" w14:textId="77777777" w:rsidR="00B95079" w:rsidRDefault="00F02BBE" w:rsidP="00447752">
      <w:pPr>
        <w:pStyle w:val="ListParagraph"/>
        <w:numPr>
          <w:ilvl w:val="0"/>
          <w:numId w:val="6"/>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ilgalaikis finansavimas;</w:t>
      </w:r>
    </w:p>
    <w:p w14:paraId="38A01535" w14:textId="77777777" w:rsidR="00B95079" w:rsidRDefault="00F02BBE" w:rsidP="00447752">
      <w:pPr>
        <w:pStyle w:val="ListParagraph"/>
        <w:numPr>
          <w:ilvl w:val="0"/>
          <w:numId w:val="6"/>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trumpalaikis finansavimas;</w:t>
      </w:r>
    </w:p>
    <w:p w14:paraId="705A5DB4" w14:textId="77777777" w:rsidR="00B95079" w:rsidRDefault="00F02BBE" w:rsidP="00447752">
      <w:pPr>
        <w:pStyle w:val="ListParagraph"/>
        <w:numPr>
          <w:ilvl w:val="0"/>
          <w:numId w:val="6"/>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savaiminis </w:t>
      </w:r>
      <w:r w:rsidR="00B95079">
        <w:rPr>
          <w:rFonts w:ascii="Times New Roman" w:hAnsi="Times New Roman" w:cs="Times New Roman"/>
          <w:sz w:val="24"/>
          <w:szCs w:val="24"/>
        </w:rPr>
        <w:t>trumpalaikis finansavimas (atsiranda savaime, kaip normali verslo veiklos dalis).</w:t>
      </w:r>
    </w:p>
    <w:p w14:paraId="55C9BF38"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Jei trumpalaikio ir viso turto santykis matuoja santykinį įmonės turto struktūros likvidumą, tai trumpalaikių įsipareigojimų bei viso finansavimo santykis parodo santykinį įmonės finansinės struktūros likvidumą. Abiejų šių rodiklių valdymą apima įmonės apyva</w:t>
      </w:r>
      <w:r w:rsidR="000C7201">
        <w:rPr>
          <w:rFonts w:ascii="Times New Roman" w:hAnsi="Times New Roman" w:cs="Times New Roman"/>
          <w:sz w:val="24"/>
          <w:szCs w:val="24"/>
        </w:rPr>
        <w:t>rtinio kapitalo politika. Galimos</w:t>
      </w:r>
      <w:r>
        <w:rPr>
          <w:rFonts w:ascii="Times New Roman" w:hAnsi="Times New Roman" w:cs="Times New Roman"/>
          <w:sz w:val="24"/>
          <w:szCs w:val="24"/>
        </w:rPr>
        <w:t xml:space="preserve"> trys šių koeficientų variacijos, atitinkamai įtakojančios politiką:</w:t>
      </w:r>
    </w:p>
    <w:p w14:paraId="37B9B8DC" w14:textId="77777777" w:rsidR="00B95079" w:rsidRDefault="00B95079" w:rsidP="00447752">
      <w:pPr>
        <w:pStyle w:val="ListParagraph"/>
        <w:numPr>
          <w:ilvl w:val="0"/>
          <w:numId w:val="7"/>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Dvigubai konservatyvi </w:t>
      </w:r>
      <w:r w:rsidR="00F02BBE">
        <w:rPr>
          <w:rFonts w:ascii="Times New Roman" w:hAnsi="Times New Roman" w:cs="Times New Roman"/>
          <w:sz w:val="24"/>
          <w:szCs w:val="24"/>
        </w:rPr>
        <w:t>–</w:t>
      </w:r>
      <w:r>
        <w:rPr>
          <w:rFonts w:ascii="Times New Roman" w:hAnsi="Times New Roman" w:cs="Times New Roman"/>
          <w:sz w:val="24"/>
          <w:szCs w:val="24"/>
        </w:rPr>
        <w:t xml:space="preserve"> pasireiškia</w:t>
      </w:r>
      <w:r w:rsidR="00F02BBE">
        <w:rPr>
          <w:rFonts w:ascii="Times New Roman" w:hAnsi="Times New Roman" w:cs="Times New Roman"/>
          <w:sz w:val="24"/>
          <w:szCs w:val="24"/>
        </w:rPr>
        <w:t xml:space="preserve"> tuomet, kai</w:t>
      </w:r>
      <w:r>
        <w:rPr>
          <w:rFonts w:ascii="Times New Roman" w:hAnsi="Times New Roman" w:cs="Times New Roman"/>
          <w:sz w:val="24"/>
          <w:szCs w:val="24"/>
        </w:rPr>
        <w:t xml:space="preserve"> trumpalaikio turto ir viso turto santykis didesnis, o trumpalaikių įsipareigojimų ir viso finansavimo santykis mažesnis;</w:t>
      </w:r>
    </w:p>
    <w:p w14:paraId="6AF5B0E0" w14:textId="77777777" w:rsidR="00B95079" w:rsidRDefault="00B95079" w:rsidP="00447752">
      <w:pPr>
        <w:pStyle w:val="ListParagraph"/>
        <w:numPr>
          <w:ilvl w:val="0"/>
          <w:numId w:val="7"/>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Dvigubai agresyvi – pasireiškia tuomet, kai trumpalaikio turto ir viso turto santykis mažesnis, o trumpalaikių įsipareigojimų ir viso finansavimo santykis didesnis;</w:t>
      </w:r>
    </w:p>
    <w:p w14:paraId="6E8F8339" w14:textId="77777777" w:rsidR="00B95079" w:rsidRDefault="00B95079" w:rsidP="00447752">
      <w:pPr>
        <w:pStyle w:val="ListParagraph"/>
        <w:numPr>
          <w:ilvl w:val="0"/>
          <w:numId w:val="7"/>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Vienas kitą kompensuojanti – pasireiškia tuomet, kai trumpalaikio turto ir viso turto santykis didesnis bei trumpalaikių įsipareigojimų santykis su visu finansavimu didesnis ir atvirkščiai.</w:t>
      </w:r>
    </w:p>
    <w:p w14:paraId="12AA19AC"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Taigi, turtui finansuoti įmonė renkasi finansavimo šaltinių kombinaciją. Viena iš finansavimo planų koncepcijų yra pagrįsta planuojamos turto ir planuojamos finansavimo tam turtui trukmės atitikimu</w:t>
      </w:r>
      <w:r w:rsidR="00560B2A">
        <w:rPr>
          <w:rFonts w:ascii="Times New Roman" w:hAnsi="Times New Roman" w:cs="Times New Roman"/>
          <w:sz w:val="24"/>
          <w:szCs w:val="24"/>
        </w:rPr>
        <w:t xml:space="preserve"> (Gamba, Triantis, 2005)</w:t>
      </w:r>
      <w:r>
        <w:rPr>
          <w:rFonts w:ascii="Times New Roman" w:hAnsi="Times New Roman" w:cs="Times New Roman"/>
          <w:sz w:val="24"/>
          <w:szCs w:val="24"/>
        </w:rPr>
        <w:t>. Ilgalaikio turto finansavimo atveju, jei finansavimas trunka ilgiau, negu reikia turtui, atsiranda kaštai, jei trumpiau, atsiranda kaštai ieškant likusio finansavimo. Taip pat visada egzistuoja rizika atsiradus poreikiui apskritai negauti finansav</w:t>
      </w:r>
      <w:r w:rsidR="00560B2A">
        <w:rPr>
          <w:rFonts w:ascii="Times New Roman" w:hAnsi="Times New Roman" w:cs="Times New Roman"/>
          <w:sz w:val="24"/>
          <w:szCs w:val="24"/>
        </w:rPr>
        <w:t>imo. Atitikimas sumažina riziką</w:t>
      </w:r>
      <w:r>
        <w:rPr>
          <w:rFonts w:ascii="Times New Roman" w:hAnsi="Times New Roman" w:cs="Times New Roman"/>
          <w:sz w:val="24"/>
          <w:szCs w:val="24"/>
        </w:rPr>
        <w:t xml:space="preserve">, kad firma negalės įvykdyti savo įsipareigojimų atėjus laikui. Atitikimo strategijoje aišku, jog pinigai ir jų ekvivalentai turi būti finansuojami trumpalaikiais finansavimo </w:t>
      </w:r>
      <w:r w:rsidR="00F02BBE">
        <w:rPr>
          <w:rFonts w:ascii="Times New Roman" w:hAnsi="Times New Roman" w:cs="Times New Roman"/>
          <w:sz w:val="24"/>
          <w:szCs w:val="24"/>
        </w:rPr>
        <w:t>šaltiniais, o ilgalaikis turtas –</w:t>
      </w:r>
      <w:r>
        <w:rPr>
          <w:rFonts w:ascii="Times New Roman" w:hAnsi="Times New Roman" w:cs="Times New Roman"/>
          <w:sz w:val="24"/>
          <w:szCs w:val="24"/>
        </w:rPr>
        <w:t xml:space="preserve"> ilgalaikiais. Iš pirmo žvilgsnio atrodo, kad ir apyvartinis kapitalas finansuojamas trumpalaikiais finansavimo šaltiniais, nes jis naudojam</w:t>
      </w:r>
      <w:r w:rsidR="00F02BBE">
        <w:rPr>
          <w:rFonts w:ascii="Times New Roman" w:hAnsi="Times New Roman" w:cs="Times New Roman"/>
          <w:sz w:val="24"/>
          <w:szCs w:val="24"/>
        </w:rPr>
        <w:t>a</w:t>
      </w:r>
      <w:r>
        <w:rPr>
          <w:rFonts w:ascii="Times New Roman" w:hAnsi="Times New Roman" w:cs="Times New Roman"/>
          <w:sz w:val="24"/>
          <w:szCs w:val="24"/>
        </w:rPr>
        <w:t>s trumpi</w:t>
      </w:r>
      <w:r w:rsidR="00F02BBE">
        <w:rPr>
          <w:rFonts w:ascii="Times New Roman" w:hAnsi="Times New Roman" w:cs="Times New Roman"/>
          <w:sz w:val="24"/>
          <w:szCs w:val="24"/>
        </w:rPr>
        <w:t>au nei metus. Tačiau iš tikrųjų</w:t>
      </w:r>
      <w:r>
        <w:rPr>
          <w:rFonts w:ascii="Times New Roman" w:hAnsi="Times New Roman" w:cs="Times New Roman"/>
          <w:sz w:val="24"/>
          <w:szCs w:val="24"/>
        </w:rPr>
        <w:t xml:space="preserve"> apyvartos ciklas kartojasi ir šis apyvartinis kapitalas būna daugiau mažiau pastovus ir jo pobūdis lieka panašus. Grynasis apyvartinis kapitalas turėtų būti finansuojamas ilgalaikiais finansavimo šaltiniais ir tik dalis jo turėtų būti finansuojama trumpalaikiais finansavimo šaltiniais. Remiantis šia politika, ilgalaikis ir nuolatinis trumpalaikis turtas finansuojami ilgalaikiais šaltiniais, o laikinas trumpalaikis turtas finansuojamas trumpalaikiais finansavimo šaltiniais.  Ši strategija padeda paaiškinti</w:t>
      </w:r>
      <w:r w:rsidR="005C7E4F">
        <w:rPr>
          <w:rFonts w:ascii="Times New Roman" w:hAnsi="Times New Roman" w:cs="Times New Roman"/>
          <w:sz w:val="24"/>
          <w:szCs w:val="24"/>
        </w:rPr>
        <w:t>,</w:t>
      </w:r>
      <w:r>
        <w:rPr>
          <w:rFonts w:ascii="Times New Roman" w:hAnsi="Times New Roman" w:cs="Times New Roman"/>
          <w:sz w:val="24"/>
          <w:szCs w:val="24"/>
        </w:rPr>
        <w:t xml:space="preserve"> kaip įmonės likvidumas yra išmatuojamas ir kaip jį įtakoja vadovų sprendimai (</w:t>
      </w:r>
      <w:r w:rsidR="009D1018" w:rsidRPr="009D1018">
        <w:rPr>
          <w:rFonts w:ascii="Times New Roman" w:hAnsi="Times New Roman" w:cs="Times New Roman"/>
          <w:sz w:val="24"/>
          <w:szCs w:val="24"/>
        </w:rPr>
        <w:t>Hawawini, Viallet, 2007</w:t>
      </w:r>
      <w:r>
        <w:rPr>
          <w:rFonts w:ascii="Times New Roman" w:hAnsi="Times New Roman" w:cs="Times New Roman"/>
          <w:sz w:val="24"/>
          <w:szCs w:val="24"/>
        </w:rPr>
        <w:t>).</w:t>
      </w:r>
    </w:p>
    <w:p w14:paraId="22A7879F"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Kuomet įmonė naudoja daugiau trumpalaikio finansavimo šaltinių nei remiantis atitikimo strategija, tai ji laikosi agresyvios strategijos. Ji ne visą nuolatinį trumpalaikį turtą finansuoja ilgalaikiais finansavimo šaltiniais. Pasitaiko ir taip, kad įmonės taiko labai agresyvią politiką ir dalį ilgalaikio turto finansuoja naudojantis trumpalaikiu finansavimu.</w:t>
      </w:r>
    </w:p>
    <w:p w14:paraId="100A91B7" w14:textId="77777777" w:rsidR="00B95079" w:rsidRDefault="00B95079" w:rsidP="00B950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Įmonės, naudojančios daugiau ilgalaikio fina</w:t>
      </w:r>
      <w:r w:rsidR="005C7E4F">
        <w:rPr>
          <w:rFonts w:ascii="Times New Roman" w:hAnsi="Times New Roman" w:cs="Times New Roman"/>
          <w:sz w:val="24"/>
          <w:szCs w:val="24"/>
        </w:rPr>
        <w:t>n</w:t>
      </w:r>
      <w:r>
        <w:rPr>
          <w:rFonts w:ascii="Times New Roman" w:hAnsi="Times New Roman" w:cs="Times New Roman"/>
          <w:sz w:val="24"/>
          <w:szCs w:val="24"/>
        </w:rPr>
        <w:t xml:space="preserve">savimo negu </w:t>
      </w:r>
      <w:r w:rsidR="005C7E4F">
        <w:rPr>
          <w:rFonts w:ascii="Times New Roman" w:hAnsi="Times New Roman" w:cs="Times New Roman"/>
          <w:sz w:val="24"/>
          <w:szCs w:val="24"/>
        </w:rPr>
        <w:t>reikalauja</w:t>
      </w:r>
      <w:r>
        <w:rPr>
          <w:rFonts w:ascii="Times New Roman" w:hAnsi="Times New Roman" w:cs="Times New Roman"/>
          <w:sz w:val="24"/>
          <w:szCs w:val="24"/>
        </w:rPr>
        <w:t xml:space="preserve"> atitikimo strategija</w:t>
      </w:r>
      <w:r w:rsidR="005C7E4F">
        <w:rPr>
          <w:rFonts w:ascii="Times New Roman" w:hAnsi="Times New Roman" w:cs="Times New Roman"/>
          <w:sz w:val="24"/>
          <w:szCs w:val="24"/>
        </w:rPr>
        <w:t>,</w:t>
      </w:r>
      <w:r>
        <w:rPr>
          <w:rFonts w:ascii="Times New Roman" w:hAnsi="Times New Roman" w:cs="Times New Roman"/>
          <w:sz w:val="24"/>
          <w:szCs w:val="24"/>
        </w:rPr>
        <w:t xml:space="preserve"> laikosi konservatyvios finansavimo politikos. Tai reiškia, jog dalis laikino trumpalaikio turto finansuojama iš ilgalaikių finansavimo šaltinių. Kai laikino trumpalaikio turto sumažėja, atsiradęs perteklius paverčiamas rinkos vertybiniais popieriais.</w:t>
      </w:r>
    </w:p>
    <w:p w14:paraId="35D28D60" w14:textId="4B993905" w:rsidR="008C7ACA" w:rsidRDefault="00B95079" w:rsidP="00AB04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Apibendrinant galima teigti, jog finansavimo plano pasirinkimas tiesiogiai veikia turtą. Finansų valdytojai renkasi, kuris planas įmonei geresnis, priimtinesnis. Visoms įmonėms ta pati finansavimo strategija netiks, kadangi jos pasirinkimas priklauso tiek nuo šakos, įmonės veiklos pobūdžio, tiek nuo ekonominių aplinkybių, tiek nuo įmonės savininkų ir vadovų tolerancijos rizikai, planų ir </w:t>
      </w:r>
      <w:r w:rsidR="005C7E4F">
        <w:rPr>
          <w:rFonts w:ascii="Times New Roman" w:hAnsi="Times New Roman" w:cs="Times New Roman"/>
          <w:sz w:val="24"/>
          <w:szCs w:val="24"/>
        </w:rPr>
        <w:t>pan</w:t>
      </w:r>
      <w:r>
        <w:rPr>
          <w:rFonts w:ascii="Times New Roman" w:hAnsi="Times New Roman" w:cs="Times New Roman"/>
          <w:sz w:val="24"/>
          <w:szCs w:val="24"/>
        </w:rPr>
        <w:t xml:space="preserve">. Netgi atitikimo </w:t>
      </w:r>
      <w:r w:rsidR="003140C4">
        <w:rPr>
          <w:rFonts w:ascii="Times New Roman" w:hAnsi="Times New Roman" w:cs="Times New Roman"/>
          <w:sz w:val="24"/>
          <w:szCs w:val="24"/>
        </w:rPr>
        <w:t>strategija</w:t>
      </w:r>
      <w:r>
        <w:rPr>
          <w:rFonts w:ascii="Times New Roman" w:hAnsi="Times New Roman" w:cs="Times New Roman"/>
          <w:sz w:val="24"/>
          <w:szCs w:val="24"/>
        </w:rPr>
        <w:t xml:space="preserve"> vienoms įmonėms ga</w:t>
      </w:r>
      <w:r w:rsidR="003140C4">
        <w:rPr>
          <w:rFonts w:ascii="Times New Roman" w:hAnsi="Times New Roman" w:cs="Times New Roman"/>
          <w:sz w:val="24"/>
          <w:szCs w:val="24"/>
        </w:rPr>
        <w:t>li pasirodyti per daug agresyvi, kitoms</w:t>
      </w:r>
      <w:r w:rsidR="005C7E4F">
        <w:rPr>
          <w:rFonts w:ascii="Times New Roman" w:hAnsi="Times New Roman" w:cs="Times New Roman"/>
          <w:sz w:val="24"/>
          <w:szCs w:val="24"/>
        </w:rPr>
        <w:t xml:space="preserve"> –</w:t>
      </w:r>
      <w:r w:rsidR="003140C4">
        <w:rPr>
          <w:rFonts w:ascii="Times New Roman" w:hAnsi="Times New Roman" w:cs="Times New Roman"/>
          <w:sz w:val="24"/>
          <w:szCs w:val="24"/>
        </w:rPr>
        <w:t xml:space="preserve"> per</w:t>
      </w:r>
      <w:r w:rsidR="005C7E4F">
        <w:rPr>
          <w:rFonts w:ascii="Times New Roman" w:hAnsi="Times New Roman" w:cs="Times New Roman"/>
          <w:sz w:val="24"/>
          <w:szCs w:val="24"/>
        </w:rPr>
        <w:t xml:space="preserve"> </w:t>
      </w:r>
      <w:r w:rsidR="003140C4">
        <w:rPr>
          <w:rFonts w:ascii="Times New Roman" w:hAnsi="Times New Roman" w:cs="Times New Roman"/>
          <w:sz w:val="24"/>
          <w:szCs w:val="24"/>
        </w:rPr>
        <w:t xml:space="preserve">daug </w:t>
      </w:r>
      <w:r>
        <w:rPr>
          <w:rFonts w:ascii="Times New Roman" w:hAnsi="Times New Roman" w:cs="Times New Roman"/>
          <w:sz w:val="24"/>
          <w:szCs w:val="24"/>
        </w:rPr>
        <w:lastRenderedPageBreak/>
        <w:t xml:space="preserve">konservatyvi. Netinkamai pasirinkus strategiją, rinka reaguos akcijos kainos sumažėjimu, kadangi nerealizuojamas galimas potencialas. </w:t>
      </w:r>
    </w:p>
    <w:p w14:paraId="69866569" w14:textId="77777777" w:rsidR="008C7ACA" w:rsidRDefault="008C7ACA" w:rsidP="00001403">
      <w:pPr>
        <w:spacing w:after="0" w:line="360" w:lineRule="auto"/>
        <w:jc w:val="both"/>
        <w:rPr>
          <w:rFonts w:ascii="Times New Roman" w:hAnsi="Times New Roman" w:cs="Times New Roman"/>
          <w:sz w:val="24"/>
          <w:szCs w:val="24"/>
        </w:rPr>
      </w:pPr>
    </w:p>
    <w:p w14:paraId="63ED5D4F" w14:textId="77777777" w:rsidR="00FA3E44" w:rsidRPr="009E1406" w:rsidRDefault="00FA3E44" w:rsidP="00447752">
      <w:pPr>
        <w:pStyle w:val="Heading2"/>
        <w:numPr>
          <w:ilvl w:val="1"/>
          <w:numId w:val="26"/>
        </w:numPr>
        <w:spacing w:before="0" w:beforeAutospacing="0" w:after="0" w:afterAutospacing="0"/>
        <w:ind w:left="426" w:hanging="426"/>
        <w:jc w:val="center"/>
        <w:rPr>
          <w:sz w:val="24"/>
          <w:szCs w:val="24"/>
        </w:rPr>
      </w:pPr>
      <w:bookmarkStart w:id="58" w:name="_Toc353730654"/>
      <w:r w:rsidRPr="009E1406">
        <w:rPr>
          <w:sz w:val="24"/>
          <w:szCs w:val="24"/>
        </w:rPr>
        <w:t>Pinigų srautų įtaka likvidumui</w:t>
      </w:r>
      <w:bookmarkEnd w:id="58"/>
    </w:p>
    <w:p w14:paraId="24219CAE" w14:textId="77777777" w:rsidR="00FA3E44" w:rsidRDefault="00FA3E44" w:rsidP="00FA3E44">
      <w:pPr>
        <w:spacing w:after="0" w:line="360" w:lineRule="auto"/>
        <w:ind w:firstLine="567"/>
        <w:jc w:val="both"/>
        <w:rPr>
          <w:rFonts w:ascii="Times New Roman" w:hAnsi="Times New Roman" w:cs="Times New Roman"/>
          <w:sz w:val="24"/>
          <w:szCs w:val="24"/>
        </w:rPr>
      </w:pPr>
    </w:p>
    <w:p w14:paraId="38849827" w14:textId="77777777" w:rsidR="005E23BA" w:rsidRDefault="00B13BA6" w:rsidP="00FA3E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Lietuvos mokslinėje literatūroje analizuojant likvidumą pagrindinis dėmesys skiriamas balanso analizei, ką ir atspindi ankstesni darbo poskyriai. </w:t>
      </w:r>
      <w:r w:rsidR="00001403">
        <w:rPr>
          <w:rFonts w:ascii="Times New Roman" w:hAnsi="Times New Roman" w:cs="Times New Roman"/>
          <w:sz w:val="24"/>
          <w:szCs w:val="24"/>
        </w:rPr>
        <w:t xml:space="preserve">Tačiau tiek užsienio, tiek Lietuvos autoriai pripažįsta, jog taip pat itin informatyvi ataskaita, kurios duomenis galima panaudoti įmonių likvidumo vertinimui </w:t>
      </w:r>
      <w:r>
        <w:rPr>
          <w:rFonts w:ascii="Times New Roman" w:hAnsi="Times New Roman" w:cs="Times New Roman"/>
          <w:sz w:val="24"/>
          <w:szCs w:val="24"/>
        </w:rPr>
        <w:t xml:space="preserve"> </w:t>
      </w:r>
      <w:r w:rsidR="00001403">
        <w:rPr>
          <w:rFonts w:ascii="Times New Roman" w:hAnsi="Times New Roman" w:cs="Times New Roman"/>
          <w:sz w:val="24"/>
          <w:szCs w:val="24"/>
        </w:rPr>
        <w:t>analizuoti ir interpretuoti</w:t>
      </w:r>
      <w:r w:rsidR="005C7E4F">
        <w:rPr>
          <w:rFonts w:ascii="Times New Roman" w:hAnsi="Times New Roman" w:cs="Times New Roman"/>
          <w:sz w:val="24"/>
          <w:szCs w:val="24"/>
        </w:rPr>
        <w:t>,</w:t>
      </w:r>
      <w:r w:rsidR="00001403">
        <w:rPr>
          <w:rFonts w:ascii="Times New Roman" w:hAnsi="Times New Roman" w:cs="Times New Roman"/>
          <w:sz w:val="24"/>
          <w:szCs w:val="24"/>
        </w:rPr>
        <w:t xml:space="preserve"> yra pinigų srautų ataskaita.</w:t>
      </w:r>
    </w:p>
    <w:p w14:paraId="51CDDAF2" w14:textId="77777777" w:rsidR="006C2DE9" w:rsidRDefault="00FA3E44" w:rsidP="006C2D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Pinigai </w:t>
      </w:r>
      <w:r w:rsidR="005C7E4F">
        <w:rPr>
          <w:rFonts w:ascii="Times New Roman" w:hAnsi="Times New Roman" w:cs="Times New Roman"/>
          <w:sz w:val="24"/>
          <w:szCs w:val="24"/>
        </w:rPr>
        <w:t>–</w:t>
      </w:r>
      <w:r>
        <w:rPr>
          <w:rFonts w:ascii="Times New Roman" w:hAnsi="Times New Roman" w:cs="Times New Roman"/>
          <w:sz w:val="24"/>
          <w:szCs w:val="24"/>
        </w:rPr>
        <w:t xml:space="preserve"> likvidžiausias</w:t>
      </w:r>
      <w:r w:rsidR="005C7E4F">
        <w:rPr>
          <w:rFonts w:ascii="Times New Roman" w:hAnsi="Times New Roman" w:cs="Times New Roman"/>
          <w:sz w:val="24"/>
          <w:szCs w:val="24"/>
        </w:rPr>
        <w:t xml:space="preserve"> </w:t>
      </w:r>
      <w:r>
        <w:rPr>
          <w:rFonts w:ascii="Times New Roman" w:hAnsi="Times New Roman" w:cs="Times New Roman"/>
          <w:sz w:val="24"/>
          <w:szCs w:val="24"/>
        </w:rPr>
        <w:t>turtas. Pinigus ir jų ekvivalentus įmonės laiko dėl dviejų priežasčių:</w:t>
      </w:r>
    </w:p>
    <w:p w14:paraId="61555A64" w14:textId="77777777" w:rsidR="006C2DE9" w:rsidRDefault="00FA3E44" w:rsidP="00447752">
      <w:pPr>
        <w:pStyle w:val="ListParagraph"/>
        <w:numPr>
          <w:ilvl w:val="0"/>
          <w:numId w:val="9"/>
        </w:numPr>
        <w:spacing w:after="0" w:line="360" w:lineRule="auto"/>
        <w:ind w:left="851" w:hanging="284"/>
        <w:jc w:val="both"/>
        <w:rPr>
          <w:rFonts w:ascii="Times New Roman" w:hAnsi="Times New Roman" w:cs="Times New Roman"/>
          <w:sz w:val="24"/>
          <w:szCs w:val="24"/>
        </w:rPr>
      </w:pPr>
      <w:r w:rsidRPr="006C2DE9">
        <w:rPr>
          <w:rFonts w:ascii="Times New Roman" w:hAnsi="Times New Roman" w:cs="Times New Roman"/>
          <w:sz w:val="24"/>
          <w:szCs w:val="24"/>
        </w:rPr>
        <w:t>Kaip atsa</w:t>
      </w:r>
      <w:r w:rsidR="005C7E4F">
        <w:rPr>
          <w:rFonts w:ascii="Times New Roman" w:hAnsi="Times New Roman" w:cs="Times New Roman"/>
          <w:sz w:val="24"/>
          <w:szCs w:val="24"/>
        </w:rPr>
        <w:t>rgumo priemonę. Paskutiniu metu</w:t>
      </w:r>
      <w:r w:rsidRPr="006C2DE9">
        <w:rPr>
          <w:rFonts w:ascii="Times New Roman" w:hAnsi="Times New Roman" w:cs="Times New Roman"/>
          <w:sz w:val="24"/>
          <w:szCs w:val="24"/>
        </w:rPr>
        <w:t xml:space="preserve"> didelė problema yra nemokūs klientai. Įmonėms atsiranda rizika, jog joms pačioms gali pritrūkti lėšų atsiskaityti su tiekėjais ar darbuotojais, todėl įmonės laiko šiek tiek grynųjų pinigų tam, kad netaptų nemokiomis. Konkretus kiekis, kiek įmonė turėtų turėti grynųjų pinigų nėra nustatytas, tačiau jis turėtų svyruoti tarp 0,5 ir 2 procentų nuo metinių pardavimų (Kancerevyčius</w:t>
      </w:r>
      <w:r w:rsidR="005C7E4F">
        <w:rPr>
          <w:rFonts w:ascii="Times New Roman" w:hAnsi="Times New Roman" w:cs="Times New Roman"/>
          <w:sz w:val="24"/>
          <w:szCs w:val="24"/>
        </w:rPr>
        <w:t>, 2006</w:t>
      </w:r>
      <w:r w:rsidRPr="006C2DE9">
        <w:rPr>
          <w:rFonts w:ascii="Times New Roman" w:hAnsi="Times New Roman" w:cs="Times New Roman"/>
          <w:sz w:val="24"/>
          <w:szCs w:val="24"/>
        </w:rPr>
        <w:t>).</w:t>
      </w:r>
    </w:p>
    <w:p w14:paraId="22799E6C" w14:textId="77777777" w:rsidR="00FA3E44" w:rsidRPr="006C2DE9" w:rsidRDefault="00FA3E44" w:rsidP="00447752">
      <w:pPr>
        <w:pStyle w:val="ListParagraph"/>
        <w:numPr>
          <w:ilvl w:val="0"/>
          <w:numId w:val="9"/>
        </w:numPr>
        <w:spacing w:after="0" w:line="360" w:lineRule="auto"/>
        <w:ind w:left="851" w:hanging="284"/>
        <w:jc w:val="both"/>
        <w:rPr>
          <w:rFonts w:ascii="Times New Roman" w:hAnsi="Times New Roman" w:cs="Times New Roman"/>
          <w:sz w:val="24"/>
          <w:szCs w:val="24"/>
        </w:rPr>
      </w:pPr>
      <w:r w:rsidRPr="006C2DE9">
        <w:rPr>
          <w:rFonts w:ascii="Times New Roman" w:hAnsi="Times New Roman" w:cs="Times New Roman"/>
          <w:sz w:val="24"/>
          <w:szCs w:val="24"/>
        </w:rPr>
        <w:t xml:space="preserve">Ateities naudojimui. Įmonės kartais laiko perteklinį pinigų kiekį tam, kad galėtų išmokėti dividendus, išpirkti akcijas ar investuoti į naują veiklos kryptį. </w:t>
      </w:r>
    </w:p>
    <w:p w14:paraId="2EBF64E2" w14:textId="77777777" w:rsidR="00FA3E44" w:rsidRDefault="00FA3E44" w:rsidP="00FA3E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Siekiant gauti pinigų, reikia efektyviai valdyti tas veiklas, kurios p</w:t>
      </w:r>
      <w:r w:rsidR="005C7E4F">
        <w:rPr>
          <w:rFonts w:ascii="Times New Roman" w:hAnsi="Times New Roman" w:cs="Times New Roman"/>
          <w:sz w:val="24"/>
          <w:szCs w:val="24"/>
        </w:rPr>
        <w:t>inigus generuoja: pinigų gavimą, išmokėjimus,</w:t>
      </w:r>
      <w:r>
        <w:rPr>
          <w:rFonts w:ascii="Times New Roman" w:hAnsi="Times New Roman" w:cs="Times New Roman"/>
          <w:sz w:val="24"/>
          <w:szCs w:val="24"/>
        </w:rPr>
        <w:t xml:space="preserve"> investavimą. Kadangi už einamojoje sąskaitoje arba grynaisiais laikomus pinigus palūkanos nemokamos, pinigų valdymo tikslas yra minimizuoti  laikomų pinigų kiekį, tačiau nepažeidžiant įmonės veiklos operacijų sklandumo ir nesumažinat likvidumo. Kuo didesnė pinigų apyvarta, tuo mažiau pinigų reikia laikyti. Kuo efektyvesnis pinigų valdymas, tuo mažesnis išorinio finansavimo, susijusio su rizika ir kaštais, poreikis (Niresh, 2012). </w:t>
      </w:r>
    </w:p>
    <w:p w14:paraId="7F8E0F29" w14:textId="77777777" w:rsidR="00FA3E44" w:rsidRPr="00C636F9" w:rsidRDefault="00FA3E44" w:rsidP="00FA3E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Pinigų srautus įmonėje rodo pinigų srautų ataskaita. </w:t>
      </w:r>
      <w:r w:rsidRPr="00C636F9">
        <w:rPr>
          <w:rFonts w:ascii="Times New Roman" w:hAnsi="Times New Roman" w:cs="Times New Roman"/>
          <w:sz w:val="24"/>
          <w:szCs w:val="24"/>
        </w:rPr>
        <w:t>Pinigų srautų ataskaita yra informatyvus šaltinis tiek vidaus</w:t>
      </w:r>
      <w:r w:rsidR="005C7E4F">
        <w:rPr>
          <w:rFonts w:ascii="Times New Roman" w:hAnsi="Times New Roman" w:cs="Times New Roman"/>
          <w:sz w:val="24"/>
          <w:szCs w:val="24"/>
        </w:rPr>
        <w:t>,</w:t>
      </w:r>
      <w:r w:rsidRPr="00C636F9">
        <w:rPr>
          <w:rFonts w:ascii="Times New Roman" w:hAnsi="Times New Roman" w:cs="Times New Roman"/>
          <w:sz w:val="24"/>
          <w:szCs w:val="24"/>
        </w:rPr>
        <w:t xml:space="preserve"> tiek išorės vartotojams, tačiau mokslinėje literatūroje nėra konkrečiai pateikta</w:t>
      </w:r>
      <w:r w:rsidR="005C7E4F">
        <w:rPr>
          <w:rFonts w:ascii="Times New Roman" w:hAnsi="Times New Roman" w:cs="Times New Roman"/>
          <w:sz w:val="24"/>
          <w:szCs w:val="24"/>
        </w:rPr>
        <w:t>,</w:t>
      </w:r>
      <w:r w:rsidRPr="00C636F9">
        <w:rPr>
          <w:rFonts w:ascii="Times New Roman" w:hAnsi="Times New Roman" w:cs="Times New Roman"/>
          <w:sz w:val="24"/>
          <w:szCs w:val="24"/>
        </w:rPr>
        <w:t xml:space="preserve"> kaip šią ataskaitą reikėtų analizuoti, kokius konkrečius metodus reikėtų taikyti, kaip suformuoti išvadas apie gautus rezultatus. </w:t>
      </w:r>
      <w:r w:rsidR="00AA7DFF">
        <w:rPr>
          <w:rFonts w:ascii="Times New Roman" w:hAnsi="Times New Roman" w:cs="Times New Roman"/>
          <w:sz w:val="24"/>
          <w:szCs w:val="24"/>
        </w:rPr>
        <w:t>2008 m</w:t>
      </w:r>
      <w:r w:rsidR="005C7E4F">
        <w:rPr>
          <w:rFonts w:ascii="Times New Roman" w:hAnsi="Times New Roman" w:cs="Times New Roman"/>
          <w:sz w:val="24"/>
          <w:szCs w:val="24"/>
        </w:rPr>
        <w:t>.</w:t>
      </w:r>
      <w:r w:rsidR="00AA7DFF">
        <w:rPr>
          <w:rFonts w:ascii="Times New Roman" w:hAnsi="Times New Roman" w:cs="Times New Roman"/>
          <w:sz w:val="24"/>
          <w:szCs w:val="24"/>
        </w:rPr>
        <w:t xml:space="preserve"> Alexandru atliktas tyrimas parodė, kad g</w:t>
      </w:r>
      <w:r w:rsidRPr="00C636F9">
        <w:rPr>
          <w:rFonts w:ascii="Times New Roman" w:hAnsi="Times New Roman" w:cs="Times New Roman"/>
          <w:sz w:val="24"/>
          <w:szCs w:val="24"/>
        </w:rPr>
        <w:t>alima daryti prielaidą, jog tai</w:t>
      </w:r>
      <w:r w:rsidR="00AA7DFF">
        <w:rPr>
          <w:rFonts w:ascii="Times New Roman" w:hAnsi="Times New Roman" w:cs="Times New Roman"/>
          <w:sz w:val="24"/>
          <w:szCs w:val="24"/>
        </w:rPr>
        <w:t xml:space="preserve"> lemia ataskaitos sudėtingumas</w:t>
      </w:r>
      <w:r w:rsidRPr="00C636F9">
        <w:rPr>
          <w:rFonts w:ascii="Times New Roman" w:hAnsi="Times New Roman" w:cs="Times New Roman"/>
          <w:sz w:val="24"/>
          <w:szCs w:val="24"/>
        </w:rPr>
        <w:t xml:space="preserve">. </w:t>
      </w:r>
    </w:p>
    <w:p w14:paraId="07E888AA" w14:textId="77777777" w:rsidR="00FA3E44" w:rsidRPr="00C636F9" w:rsidRDefault="00FA3E44" w:rsidP="00FA3E44">
      <w:pPr>
        <w:spacing w:after="0" w:line="360" w:lineRule="auto"/>
        <w:ind w:firstLine="567"/>
        <w:jc w:val="both"/>
        <w:rPr>
          <w:rFonts w:ascii="Times New Roman" w:hAnsi="Times New Roman" w:cs="Times New Roman"/>
          <w:sz w:val="24"/>
          <w:szCs w:val="24"/>
        </w:rPr>
      </w:pPr>
      <w:r w:rsidRPr="00C636F9">
        <w:rPr>
          <w:rFonts w:ascii="Times New Roman" w:hAnsi="Times New Roman" w:cs="Times New Roman"/>
          <w:sz w:val="24"/>
          <w:szCs w:val="24"/>
        </w:rPr>
        <w:t>Likvidumo analizė</w:t>
      </w:r>
      <w:r w:rsidR="005C7E4F">
        <w:rPr>
          <w:rFonts w:ascii="Times New Roman" w:hAnsi="Times New Roman" w:cs="Times New Roman"/>
          <w:sz w:val="24"/>
          <w:szCs w:val="24"/>
        </w:rPr>
        <w:t>,</w:t>
      </w:r>
      <w:r w:rsidRPr="00C636F9">
        <w:rPr>
          <w:rFonts w:ascii="Times New Roman" w:hAnsi="Times New Roman" w:cs="Times New Roman"/>
          <w:sz w:val="24"/>
          <w:szCs w:val="24"/>
        </w:rPr>
        <w:t xml:space="preserve"> paremta pinigų srautais</w:t>
      </w:r>
      <w:r w:rsidR="005C7E4F">
        <w:rPr>
          <w:rFonts w:ascii="Times New Roman" w:hAnsi="Times New Roman" w:cs="Times New Roman"/>
          <w:sz w:val="24"/>
          <w:szCs w:val="24"/>
        </w:rPr>
        <w:t>,</w:t>
      </w:r>
      <w:r w:rsidRPr="00C636F9">
        <w:rPr>
          <w:rFonts w:ascii="Times New Roman" w:hAnsi="Times New Roman" w:cs="Times New Roman"/>
          <w:sz w:val="24"/>
          <w:szCs w:val="24"/>
        </w:rPr>
        <w:t xml:space="preserve"> įgalina įmonės vadovus ir verslo partnerius patikrinti ir įvertinti</w:t>
      </w:r>
      <w:r w:rsidR="005C7E4F">
        <w:rPr>
          <w:rFonts w:ascii="Times New Roman" w:hAnsi="Times New Roman" w:cs="Times New Roman"/>
          <w:sz w:val="24"/>
          <w:szCs w:val="24"/>
        </w:rPr>
        <w:t>,</w:t>
      </w:r>
      <w:r w:rsidRPr="00C636F9">
        <w:rPr>
          <w:rFonts w:ascii="Times New Roman" w:hAnsi="Times New Roman" w:cs="Times New Roman"/>
          <w:sz w:val="24"/>
          <w:szCs w:val="24"/>
        </w:rPr>
        <w:t xml:space="preserve"> ar pinigų cirkuliacija įmonėje vyksta normaliai, nes šie pinigų srautai yra pagrindinis įmonės finansavimo šaltinis</w:t>
      </w:r>
      <w:r w:rsidR="005C7E4F">
        <w:rPr>
          <w:rFonts w:ascii="Times New Roman" w:hAnsi="Times New Roman" w:cs="Times New Roman"/>
          <w:sz w:val="24"/>
          <w:szCs w:val="24"/>
        </w:rPr>
        <w:t>,</w:t>
      </w:r>
      <w:r w:rsidRPr="00C636F9">
        <w:rPr>
          <w:rFonts w:ascii="Times New Roman" w:hAnsi="Times New Roman" w:cs="Times New Roman"/>
          <w:sz w:val="24"/>
          <w:szCs w:val="24"/>
        </w:rPr>
        <w:t xml:space="preserve"> leidžiantis funkcionuoti įmonei ir ją plėtoti, padengti savo įsipareigojimus bei iš naujo investuoti. </w:t>
      </w:r>
      <w:r w:rsidR="00560B2A">
        <w:rPr>
          <w:rFonts w:ascii="Times New Roman" w:hAnsi="Times New Roman" w:cs="Times New Roman"/>
          <w:sz w:val="24"/>
          <w:szCs w:val="24"/>
        </w:rPr>
        <w:t xml:space="preserve">Tuo tarpu investuotojams ir kreditoriams tai yra tinkamas įrankis įvertinti įmonės likvidumą kitu kampu. </w:t>
      </w:r>
      <w:r w:rsidRPr="00C636F9">
        <w:rPr>
          <w:rFonts w:ascii="Times New Roman" w:hAnsi="Times New Roman" w:cs="Times New Roman"/>
          <w:sz w:val="24"/>
          <w:szCs w:val="24"/>
        </w:rPr>
        <w:t>Praktikoje pinigų srautų analizė naudinga, nes ji parodo esamą įmonės padėtį ir strategiją. Pinigų srautai įmonėje skirstomi į tris kategorijas (5 VAS):</w:t>
      </w:r>
    </w:p>
    <w:p w14:paraId="7ECFA377" w14:textId="77777777" w:rsidR="00FA3E44" w:rsidRPr="00C636F9" w:rsidRDefault="00FA3E44" w:rsidP="00447752">
      <w:pPr>
        <w:pStyle w:val="ListParagraph"/>
        <w:numPr>
          <w:ilvl w:val="0"/>
          <w:numId w:val="8"/>
        </w:numPr>
        <w:spacing w:after="0" w:line="360" w:lineRule="auto"/>
        <w:ind w:left="851" w:hanging="284"/>
        <w:jc w:val="both"/>
        <w:rPr>
          <w:rFonts w:ascii="Times New Roman" w:hAnsi="Times New Roman" w:cs="Times New Roman"/>
          <w:sz w:val="24"/>
          <w:szCs w:val="24"/>
        </w:rPr>
      </w:pPr>
      <w:r w:rsidRPr="00C636F9">
        <w:rPr>
          <w:rFonts w:ascii="Times New Roman" w:hAnsi="Times New Roman" w:cs="Times New Roman"/>
          <w:sz w:val="24"/>
          <w:szCs w:val="24"/>
        </w:rPr>
        <w:t>Pinigų srautai iš pagrindinės veiklos (įplaukos ir išmokos vykdant įprastinę veiklą);</w:t>
      </w:r>
    </w:p>
    <w:p w14:paraId="7EBF17E5" w14:textId="77777777" w:rsidR="00FA3E44" w:rsidRPr="00C636F9" w:rsidRDefault="00FA3E44" w:rsidP="00447752">
      <w:pPr>
        <w:pStyle w:val="ListParagraph"/>
        <w:numPr>
          <w:ilvl w:val="0"/>
          <w:numId w:val="8"/>
        </w:numPr>
        <w:spacing w:after="0" w:line="360" w:lineRule="auto"/>
        <w:ind w:left="851" w:hanging="284"/>
        <w:jc w:val="both"/>
        <w:rPr>
          <w:rFonts w:ascii="Times New Roman" w:hAnsi="Times New Roman" w:cs="Times New Roman"/>
          <w:sz w:val="24"/>
          <w:szCs w:val="24"/>
        </w:rPr>
      </w:pPr>
      <w:r w:rsidRPr="00C636F9">
        <w:rPr>
          <w:rFonts w:ascii="Times New Roman" w:hAnsi="Times New Roman" w:cs="Times New Roman"/>
          <w:sz w:val="24"/>
          <w:szCs w:val="24"/>
        </w:rPr>
        <w:lastRenderedPageBreak/>
        <w:t>Pinigų srautai iš investicinės ve</w:t>
      </w:r>
      <w:r w:rsidR="005C7E4F">
        <w:rPr>
          <w:rFonts w:ascii="Times New Roman" w:hAnsi="Times New Roman" w:cs="Times New Roman"/>
          <w:sz w:val="24"/>
          <w:szCs w:val="24"/>
        </w:rPr>
        <w:t>iklos (įplaukos ir išmokos įsigy</w:t>
      </w:r>
      <w:r w:rsidRPr="00C636F9">
        <w:rPr>
          <w:rFonts w:ascii="Times New Roman" w:hAnsi="Times New Roman" w:cs="Times New Roman"/>
          <w:sz w:val="24"/>
          <w:szCs w:val="24"/>
        </w:rPr>
        <w:t>jant ar parduodant ilgalaikį turtą, kitų įmonių vertybinius popierius);</w:t>
      </w:r>
    </w:p>
    <w:p w14:paraId="04049C37" w14:textId="77777777" w:rsidR="00FA3E44" w:rsidRPr="00C636F9" w:rsidRDefault="00FA3E44" w:rsidP="00447752">
      <w:pPr>
        <w:pStyle w:val="ListParagraph"/>
        <w:numPr>
          <w:ilvl w:val="0"/>
          <w:numId w:val="8"/>
        </w:numPr>
        <w:spacing w:after="0" w:line="360" w:lineRule="auto"/>
        <w:ind w:left="851" w:hanging="284"/>
        <w:jc w:val="both"/>
        <w:rPr>
          <w:rFonts w:ascii="Times New Roman" w:hAnsi="Times New Roman" w:cs="Times New Roman"/>
          <w:sz w:val="24"/>
          <w:szCs w:val="24"/>
        </w:rPr>
      </w:pPr>
      <w:r w:rsidRPr="00C636F9">
        <w:rPr>
          <w:rFonts w:ascii="Times New Roman" w:hAnsi="Times New Roman" w:cs="Times New Roman"/>
          <w:sz w:val="24"/>
          <w:szCs w:val="24"/>
        </w:rPr>
        <w:t>Pinigų srautai iš finansinės veiklos (įplaukos ir išmokos iš skolų ir nuosavo kapitalo kitimo).</w:t>
      </w:r>
    </w:p>
    <w:p w14:paraId="3FE98C5F" w14:textId="77777777" w:rsidR="00FA3E44" w:rsidRDefault="00A6431B" w:rsidP="0000140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Pinigų srautų ataskaita yra sudaroma dviem metodais: tiesioginiu ir netiesioginiu. </w:t>
      </w:r>
      <w:r w:rsidR="00FA3E44" w:rsidRPr="00C636F9">
        <w:rPr>
          <w:rFonts w:ascii="Times New Roman" w:hAnsi="Times New Roman" w:cs="Times New Roman"/>
          <w:sz w:val="24"/>
          <w:szCs w:val="24"/>
        </w:rPr>
        <w:t xml:space="preserve">Analizuojant visas tris </w:t>
      </w:r>
      <w:r w:rsidR="005C7E4F">
        <w:rPr>
          <w:rFonts w:ascii="Times New Roman" w:hAnsi="Times New Roman" w:cs="Times New Roman"/>
          <w:sz w:val="24"/>
          <w:szCs w:val="24"/>
        </w:rPr>
        <w:t>minėtas</w:t>
      </w:r>
      <w:r w:rsidR="00FA3E44" w:rsidRPr="00C636F9">
        <w:rPr>
          <w:rFonts w:ascii="Times New Roman" w:hAnsi="Times New Roman" w:cs="Times New Roman"/>
          <w:sz w:val="24"/>
          <w:szCs w:val="24"/>
        </w:rPr>
        <w:t xml:space="preserve"> v</w:t>
      </w:r>
      <w:r w:rsidR="00FA3E44">
        <w:rPr>
          <w:rFonts w:ascii="Times New Roman" w:hAnsi="Times New Roman" w:cs="Times New Roman"/>
          <w:sz w:val="24"/>
          <w:szCs w:val="24"/>
        </w:rPr>
        <w:t>eiklas</w:t>
      </w:r>
      <w:r w:rsidR="005C7E4F">
        <w:rPr>
          <w:rFonts w:ascii="Times New Roman" w:hAnsi="Times New Roman" w:cs="Times New Roman"/>
          <w:sz w:val="24"/>
          <w:szCs w:val="24"/>
        </w:rPr>
        <w:t>,</w:t>
      </w:r>
      <w:r w:rsidR="00FA3E44">
        <w:rPr>
          <w:rFonts w:ascii="Times New Roman" w:hAnsi="Times New Roman" w:cs="Times New Roman"/>
          <w:sz w:val="24"/>
          <w:szCs w:val="24"/>
        </w:rPr>
        <w:t xml:space="preserve"> likvidumo analizė padeda įvertinti įmonės pajėgumą grynaisiais pinigais padengti savo įsipareigojimus bei įvertinti būsimus pinigų srautus. </w:t>
      </w:r>
      <w:r w:rsidR="00FA3E44" w:rsidRPr="00C636F9">
        <w:rPr>
          <w:rFonts w:ascii="Times New Roman" w:hAnsi="Times New Roman" w:cs="Times New Roman"/>
          <w:sz w:val="24"/>
          <w:szCs w:val="24"/>
        </w:rPr>
        <w:t>Taikant pinigų srautų analizę yra patogu nustatyti įmonės finansinę situaciją, nes daugiausia dėmesio skiriama pinigų judėjimui, o ne pelno matavimui ir tai yra tinkamas įrankis likvidumui matuot</w:t>
      </w:r>
      <w:r w:rsidR="00001403">
        <w:rPr>
          <w:rFonts w:ascii="Times New Roman" w:hAnsi="Times New Roman" w:cs="Times New Roman"/>
          <w:sz w:val="24"/>
          <w:szCs w:val="24"/>
        </w:rPr>
        <w:t>i.</w:t>
      </w:r>
      <w:r w:rsidR="005C7E4F">
        <w:rPr>
          <w:rFonts w:ascii="Times New Roman" w:hAnsi="Times New Roman" w:cs="Times New Roman"/>
          <w:sz w:val="24"/>
          <w:szCs w:val="24"/>
        </w:rPr>
        <w:t xml:space="preserve"> Taip pat</w:t>
      </w:r>
      <w:r w:rsidR="006D1850">
        <w:rPr>
          <w:rFonts w:ascii="Times New Roman" w:hAnsi="Times New Roman" w:cs="Times New Roman"/>
          <w:sz w:val="24"/>
          <w:szCs w:val="24"/>
        </w:rPr>
        <w:t xml:space="preserve"> analizuojant balansą ir pinigų srautų ataskaitą galima nustatyti ir įvertinti likvidumo riziką.</w:t>
      </w:r>
    </w:p>
    <w:p w14:paraId="7DBB00A9" w14:textId="77777777" w:rsidR="00953524" w:rsidRDefault="00953524" w:rsidP="00001403">
      <w:pPr>
        <w:spacing w:after="0" w:line="360" w:lineRule="auto"/>
        <w:ind w:firstLine="567"/>
        <w:jc w:val="both"/>
        <w:rPr>
          <w:rFonts w:ascii="Times New Roman" w:hAnsi="Times New Roman" w:cs="Times New Roman"/>
          <w:sz w:val="24"/>
          <w:szCs w:val="24"/>
        </w:rPr>
      </w:pPr>
    </w:p>
    <w:p w14:paraId="0A153FAB" w14:textId="77777777" w:rsidR="00AE2358" w:rsidRPr="009E1406" w:rsidRDefault="00217E5E" w:rsidP="00447752">
      <w:pPr>
        <w:pStyle w:val="Heading2"/>
        <w:numPr>
          <w:ilvl w:val="1"/>
          <w:numId w:val="26"/>
        </w:numPr>
        <w:spacing w:before="0" w:beforeAutospacing="0" w:after="0" w:afterAutospacing="0"/>
        <w:ind w:left="426" w:hanging="426"/>
        <w:jc w:val="center"/>
        <w:rPr>
          <w:sz w:val="24"/>
          <w:szCs w:val="24"/>
        </w:rPr>
      </w:pPr>
      <w:bookmarkStart w:id="59" w:name="_Toc353730655"/>
      <w:r w:rsidRPr="009E1406">
        <w:rPr>
          <w:sz w:val="24"/>
          <w:szCs w:val="24"/>
        </w:rPr>
        <w:t>Likvidumo rizika ir jos vertinimas</w:t>
      </w:r>
      <w:bookmarkEnd w:id="59"/>
    </w:p>
    <w:p w14:paraId="6C3848BA" w14:textId="77777777" w:rsidR="00AE2358" w:rsidRPr="006C2DE9" w:rsidRDefault="00AE2358" w:rsidP="00AE2358">
      <w:pPr>
        <w:spacing w:after="0" w:line="360" w:lineRule="auto"/>
        <w:ind w:firstLine="709"/>
        <w:jc w:val="both"/>
        <w:rPr>
          <w:rFonts w:ascii="Times New Roman" w:hAnsi="Times New Roman" w:cs="Times New Roman"/>
          <w:sz w:val="24"/>
          <w:szCs w:val="24"/>
        </w:rPr>
      </w:pPr>
    </w:p>
    <w:p w14:paraId="464AFDF5" w14:textId="77777777" w:rsidR="00AE2358" w:rsidRPr="006C2DE9" w:rsidRDefault="00AE2358" w:rsidP="00AE2358">
      <w:pPr>
        <w:tabs>
          <w:tab w:val="left" w:pos="720"/>
        </w:tabs>
        <w:spacing w:after="0" w:line="360" w:lineRule="auto"/>
        <w:ind w:firstLine="567"/>
        <w:jc w:val="both"/>
        <w:rPr>
          <w:rFonts w:ascii="Times New Roman" w:hAnsi="Times New Roman" w:cs="Times New Roman"/>
          <w:sz w:val="24"/>
          <w:szCs w:val="24"/>
        </w:rPr>
      </w:pPr>
      <w:r w:rsidRPr="006C2DE9">
        <w:rPr>
          <w:rFonts w:ascii="Times New Roman" w:eastAsia="Calibri" w:hAnsi="Times New Roman" w:cs="Times New Roman"/>
          <w:sz w:val="24"/>
          <w:szCs w:val="24"/>
        </w:rPr>
        <w:t xml:space="preserve">Rizika yra </w:t>
      </w:r>
      <w:r w:rsidR="007E1AAB" w:rsidRPr="006C2DE9">
        <w:rPr>
          <w:rFonts w:ascii="Times New Roman" w:eastAsia="Calibri" w:hAnsi="Times New Roman" w:cs="Times New Roman"/>
          <w:sz w:val="24"/>
          <w:szCs w:val="24"/>
        </w:rPr>
        <w:t>svarbi</w:t>
      </w:r>
      <w:r w:rsidRPr="006C2DE9">
        <w:rPr>
          <w:rFonts w:ascii="Times New Roman" w:eastAsia="Calibri" w:hAnsi="Times New Roman" w:cs="Times New Roman"/>
          <w:sz w:val="24"/>
          <w:szCs w:val="24"/>
        </w:rPr>
        <w:t xml:space="preserve"> sudėtingų verslo struktūrų dalis.</w:t>
      </w:r>
      <w:r w:rsidRPr="006C2DE9">
        <w:rPr>
          <w:rFonts w:ascii="Times New Roman" w:hAnsi="Times New Roman" w:cs="Times New Roman"/>
          <w:sz w:val="24"/>
          <w:szCs w:val="24"/>
        </w:rPr>
        <w:t xml:space="preserve"> </w:t>
      </w:r>
      <w:r w:rsidR="006C2DE9" w:rsidRPr="006C2DE9">
        <w:rPr>
          <w:rFonts w:ascii="Times New Roman" w:eastAsia="Calibri" w:hAnsi="Times New Roman" w:cs="Times New Roman"/>
          <w:sz w:val="24"/>
          <w:szCs w:val="24"/>
        </w:rPr>
        <w:t>Verslo rizikoje gal</w:t>
      </w:r>
      <w:r w:rsidR="006C2DE9">
        <w:rPr>
          <w:rFonts w:ascii="Times New Roman" w:eastAsia="Calibri" w:hAnsi="Times New Roman" w:cs="Times New Roman"/>
          <w:sz w:val="24"/>
          <w:szCs w:val="24"/>
        </w:rPr>
        <w:t>ima išskirti daug rizikos rūšių ir l</w:t>
      </w:r>
      <w:r w:rsidR="006C2DE9" w:rsidRPr="006C2DE9">
        <w:rPr>
          <w:rFonts w:ascii="Times New Roman" w:hAnsi="Times New Roman" w:cs="Times New Roman"/>
          <w:sz w:val="24"/>
          <w:szCs w:val="24"/>
        </w:rPr>
        <w:t xml:space="preserve">ikvidumo rizika yra viena </w:t>
      </w:r>
      <w:r w:rsidR="006C2DE9">
        <w:rPr>
          <w:rFonts w:ascii="Times New Roman" w:hAnsi="Times New Roman" w:cs="Times New Roman"/>
          <w:sz w:val="24"/>
          <w:szCs w:val="24"/>
        </w:rPr>
        <w:t>jų</w:t>
      </w:r>
      <w:r w:rsidR="006C2DE9" w:rsidRPr="006C2DE9">
        <w:rPr>
          <w:rFonts w:ascii="Times New Roman" w:hAnsi="Times New Roman" w:cs="Times New Roman"/>
          <w:sz w:val="24"/>
          <w:szCs w:val="24"/>
        </w:rPr>
        <w:t>.</w:t>
      </w:r>
      <w:r w:rsidR="006C2DE9">
        <w:rPr>
          <w:rFonts w:ascii="Times New Roman" w:hAnsi="Times New Roman" w:cs="Times New Roman"/>
          <w:sz w:val="24"/>
          <w:szCs w:val="24"/>
        </w:rPr>
        <w:t xml:space="preserve"> Ši rizika</w:t>
      </w:r>
      <w:r w:rsidRPr="006C2DE9">
        <w:rPr>
          <w:rFonts w:ascii="Times New Roman" w:eastAsia="Calibri" w:hAnsi="Times New Roman" w:cs="Times New Roman"/>
          <w:sz w:val="24"/>
          <w:szCs w:val="24"/>
        </w:rPr>
        <w:t xml:space="preserve"> pasireiškia bet kurioje subjekto veiklos funkcijoje ir jos atsiradimui įtaką daro daugelis veiksnių. </w:t>
      </w:r>
      <w:r w:rsidR="002C2AC6">
        <w:rPr>
          <w:rFonts w:ascii="Times New Roman" w:eastAsia="Calibri" w:hAnsi="Times New Roman" w:cs="Times New Roman"/>
          <w:sz w:val="24"/>
          <w:szCs w:val="24"/>
        </w:rPr>
        <w:t>Anot Urniežiaus (2004</w:t>
      </w:r>
      <w:r w:rsidR="00757D2D">
        <w:rPr>
          <w:rFonts w:ascii="Times New Roman" w:eastAsia="Calibri" w:hAnsi="Times New Roman" w:cs="Times New Roman"/>
          <w:sz w:val="24"/>
          <w:szCs w:val="24"/>
        </w:rPr>
        <w:t>), d</w:t>
      </w:r>
      <w:r w:rsidRPr="006C2DE9">
        <w:rPr>
          <w:rFonts w:ascii="Times New Roman" w:eastAsia="Calibri" w:hAnsi="Times New Roman" w:cs="Times New Roman"/>
          <w:sz w:val="24"/>
          <w:szCs w:val="24"/>
        </w:rPr>
        <w:t>ėl rizikos įvairovės klausimai, susiję su jos struktūra, tampa labai komplikuoti, nes rizikai būdingas neapibrėžtumas, prognozuojamų rezultatų neužtikrintumas.</w:t>
      </w:r>
      <w:r w:rsidRPr="006C2DE9">
        <w:rPr>
          <w:rFonts w:ascii="Times New Roman" w:hAnsi="Times New Roman" w:cs="Times New Roman"/>
          <w:sz w:val="24"/>
          <w:szCs w:val="24"/>
        </w:rPr>
        <w:t xml:space="preserve"> </w:t>
      </w:r>
    </w:p>
    <w:p w14:paraId="45FD798B" w14:textId="77777777" w:rsidR="00AE2358" w:rsidRPr="006C2DE9" w:rsidRDefault="00AE2358" w:rsidP="00AE2358">
      <w:pPr>
        <w:spacing w:after="0" w:line="360" w:lineRule="auto"/>
        <w:ind w:firstLine="567"/>
        <w:jc w:val="both"/>
        <w:rPr>
          <w:rFonts w:ascii="Times New Roman" w:hAnsi="Times New Roman"/>
          <w:sz w:val="24"/>
          <w:szCs w:val="24"/>
        </w:rPr>
      </w:pPr>
      <w:r w:rsidRPr="006C2DE9">
        <w:rPr>
          <w:rFonts w:ascii="Times New Roman" w:hAnsi="Times New Roman"/>
          <w:sz w:val="24"/>
          <w:szCs w:val="24"/>
        </w:rPr>
        <w:t xml:space="preserve">Likvidumo rizika </w:t>
      </w:r>
      <w:r w:rsidR="00545F9B">
        <w:rPr>
          <w:rFonts w:ascii="Times New Roman" w:hAnsi="Times New Roman"/>
          <w:sz w:val="24"/>
          <w:szCs w:val="24"/>
        </w:rPr>
        <w:t>–</w:t>
      </w:r>
      <w:r w:rsidRPr="006C2DE9">
        <w:rPr>
          <w:rFonts w:ascii="Times New Roman" w:hAnsi="Times New Roman"/>
          <w:sz w:val="24"/>
          <w:szCs w:val="24"/>
        </w:rPr>
        <w:t xml:space="preserve"> tai</w:t>
      </w:r>
      <w:r w:rsidR="00545F9B">
        <w:rPr>
          <w:rFonts w:ascii="Times New Roman" w:hAnsi="Times New Roman"/>
          <w:sz w:val="24"/>
          <w:szCs w:val="24"/>
        </w:rPr>
        <w:t xml:space="preserve"> </w:t>
      </w:r>
      <w:r w:rsidRPr="006C2DE9">
        <w:rPr>
          <w:rFonts w:ascii="Times New Roman" w:hAnsi="Times New Roman"/>
          <w:sz w:val="24"/>
          <w:szCs w:val="24"/>
        </w:rPr>
        <w:t xml:space="preserve">rizika, kad savo įsipareigojimams laiku įvykdyti įmonė neturės pakankamai finansinių išteklių ir nesugebės jų gauti per trumpą laikotarpį skolindamasi ar parduodama savo turtą. </w:t>
      </w:r>
      <w:r w:rsidRPr="006C2DE9">
        <w:rPr>
          <w:rFonts w:ascii="Times New Roman" w:hAnsi="Times New Roman" w:cs="Times New Roman"/>
          <w:sz w:val="24"/>
          <w:szCs w:val="24"/>
        </w:rPr>
        <w:t>G. Kancerevyčius (2006) teigia, jog likvidumo rizika būna šių tipų:</w:t>
      </w:r>
      <w:r w:rsidRPr="006C2DE9">
        <w:rPr>
          <w:rFonts w:ascii="Times New Roman" w:hAnsi="Times New Roman"/>
          <w:sz w:val="24"/>
          <w:szCs w:val="24"/>
        </w:rPr>
        <w:t xml:space="preserve"> 1) </w:t>
      </w:r>
      <w:r w:rsidRPr="006C2DE9">
        <w:rPr>
          <w:rFonts w:ascii="Times New Roman" w:hAnsi="Times New Roman" w:cs="Times New Roman"/>
          <w:sz w:val="24"/>
          <w:szCs w:val="24"/>
        </w:rPr>
        <w:t>rizika, kad kita sandorio šalis laiku neįvykdys įsipareigojimo, tačiau galų gale jį įvykdys pilnai. Laiku negavus mokėjimo, gali pritrūkti apyvartinių lėšų ir tekti skolintis rinkoje bet kokiomis ten esančiomis sąlygomis. O jų negavus gali pablogėti įmonės reputacija, kilti teisinių ginčų;</w:t>
      </w:r>
      <w:r w:rsidRPr="006C2DE9">
        <w:rPr>
          <w:rFonts w:ascii="Times New Roman" w:hAnsi="Times New Roman"/>
          <w:sz w:val="24"/>
          <w:szCs w:val="24"/>
        </w:rPr>
        <w:t xml:space="preserve"> 2) </w:t>
      </w:r>
      <w:r w:rsidRPr="006C2DE9">
        <w:rPr>
          <w:rFonts w:ascii="Times New Roman" w:hAnsi="Times New Roman" w:cs="Times New Roman"/>
          <w:sz w:val="24"/>
          <w:szCs w:val="24"/>
        </w:rPr>
        <w:t xml:space="preserve">rizika, kad įmonė negalės gauti reikiamų lėšų esant poreikiui. Paprastai, įsipareigojimų ir turto, kuris jais finansuojamas, terminai nesutampa. Likvidumo rizikos valdymo tikslas yra laikyti pakankamą kiekį likvidaus turto, kad galima būtų užtikrinti normalią veiklą tam tikram laikotarpiui, be papildomo finansavimo pritraukimo. </w:t>
      </w:r>
    </w:p>
    <w:p w14:paraId="282CA5A9" w14:textId="77777777" w:rsidR="00AE2358" w:rsidRDefault="00AE2358" w:rsidP="00AE2358">
      <w:pPr>
        <w:spacing w:after="0" w:line="360" w:lineRule="auto"/>
        <w:ind w:firstLine="567"/>
        <w:jc w:val="both"/>
        <w:rPr>
          <w:rFonts w:ascii="Times New Roman" w:hAnsi="Times New Roman"/>
          <w:sz w:val="24"/>
          <w:szCs w:val="24"/>
        </w:rPr>
      </w:pPr>
      <w:r w:rsidRPr="006C2DE9">
        <w:rPr>
          <w:rFonts w:ascii="Times New Roman" w:hAnsi="Times New Roman"/>
          <w:sz w:val="24"/>
          <w:szCs w:val="24"/>
        </w:rPr>
        <w:t xml:space="preserve">Pagal </w:t>
      </w:r>
      <w:r w:rsidR="00545F9B">
        <w:rPr>
          <w:rFonts w:ascii="Times New Roman" w:hAnsi="Times New Roman"/>
          <w:sz w:val="24"/>
          <w:szCs w:val="24"/>
        </w:rPr>
        <w:t>„</w:t>
      </w:r>
      <w:r w:rsidRPr="006C2DE9">
        <w:rPr>
          <w:rFonts w:ascii="Times New Roman" w:hAnsi="Times New Roman"/>
          <w:sz w:val="24"/>
          <w:szCs w:val="24"/>
        </w:rPr>
        <w:t>auksines</w:t>
      </w:r>
      <w:r w:rsidR="00545F9B">
        <w:rPr>
          <w:rFonts w:ascii="Times New Roman" w:hAnsi="Times New Roman"/>
          <w:sz w:val="24"/>
          <w:szCs w:val="24"/>
        </w:rPr>
        <w:t>“</w:t>
      </w:r>
      <w:r w:rsidRPr="006C2DE9">
        <w:rPr>
          <w:rFonts w:ascii="Times New Roman" w:hAnsi="Times New Roman"/>
          <w:sz w:val="24"/>
          <w:szCs w:val="24"/>
        </w:rPr>
        <w:t xml:space="preserve"> balanso taisykles įmonės likvidumas pakankamas tuomet, kai trumpalaikis turtas didesnis arba lygus trumpalaikiams įsipareigojimams</w:t>
      </w:r>
      <w:r w:rsidR="006C2DE9">
        <w:rPr>
          <w:rFonts w:ascii="Times New Roman" w:hAnsi="Times New Roman"/>
          <w:sz w:val="24"/>
          <w:szCs w:val="24"/>
        </w:rPr>
        <w:t xml:space="preserve"> (Šlekienė, Klimavičienė</w:t>
      </w:r>
      <w:r w:rsidR="00FA2BA6">
        <w:rPr>
          <w:rFonts w:ascii="Times New Roman" w:hAnsi="Times New Roman"/>
          <w:sz w:val="24"/>
          <w:szCs w:val="24"/>
        </w:rPr>
        <w:t>,</w:t>
      </w:r>
      <w:r w:rsidR="006C2DE9">
        <w:rPr>
          <w:rFonts w:ascii="Times New Roman" w:hAnsi="Times New Roman"/>
          <w:sz w:val="24"/>
          <w:szCs w:val="24"/>
        </w:rPr>
        <w:t xml:space="preserve"> 1999)</w:t>
      </w:r>
      <w:r w:rsidRPr="006C2DE9">
        <w:rPr>
          <w:rFonts w:ascii="Times New Roman" w:hAnsi="Times New Roman"/>
          <w:sz w:val="24"/>
          <w:szCs w:val="24"/>
        </w:rPr>
        <w:t>:</w:t>
      </w:r>
    </w:p>
    <w:p w14:paraId="53DC07E7" w14:textId="77777777" w:rsidR="00217E5E" w:rsidRPr="006C2DE9" w:rsidRDefault="00E612B9" w:rsidP="00AE2358">
      <w:pPr>
        <w:spacing w:after="0" w:line="360" w:lineRule="auto"/>
        <w:ind w:firstLine="567"/>
        <w:jc w:val="both"/>
        <w:rPr>
          <w:rFonts w:ascii="Times New Roman" w:hAnsi="Times New Roman"/>
          <w:sz w:val="24"/>
          <w:szCs w:val="24"/>
        </w:rPr>
      </w:pPr>
      <w:r>
        <w:rPr>
          <w:rFonts w:ascii="Times New Roman" w:hAnsi="Times New Roman"/>
          <w:noProof/>
          <w:sz w:val="24"/>
          <w:szCs w:val="24"/>
          <w:lang w:val="en-US" w:eastAsia="zh-TW"/>
        </w:rPr>
        <w:pict w14:anchorId="21965792">
          <v:shape id="_x0000_s1036" type="#_x0000_t202" style="position:absolute;left:0;text-align:left;margin-left:472.45pt;margin-top:13.2pt;width:37.8pt;height:29.5pt;z-index:251660800;mso-width-relative:margin;mso-height-relative:margin" strokecolor="white [3212]">
            <v:textbox style="mso-next-textbox:#_x0000_s1036">
              <w:txbxContent>
                <w:p w14:paraId="35F380C6" w14:textId="77777777" w:rsidR="004E51DB" w:rsidRPr="00FA2BA6" w:rsidRDefault="004E51DB">
                  <w:pPr>
                    <w:rPr>
                      <w:rFonts w:ascii="Times New Roman" w:hAnsi="Times New Roman" w:cs="Times New Roman"/>
                      <w:sz w:val="24"/>
                      <w:szCs w:val="24"/>
                    </w:rPr>
                  </w:pPr>
                  <w:r>
                    <w:t xml:space="preserve"> </w:t>
                  </w:r>
                  <w:r w:rsidRPr="00FA2BA6">
                    <w:rPr>
                      <w:rFonts w:ascii="Times New Roman" w:hAnsi="Times New Roman" w:cs="Times New Roman"/>
                      <w:sz w:val="24"/>
                      <w:szCs w:val="24"/>
                    </w:rPr>
                    <w:t>(1)</w:t>
                  </w:r>
                </w:p>
              </w:txbxContent>
            </v:textbox>
          </v:shape>
        </w:pict>
      </w:r>
    </w:p>
    <w:p w14:paraId="3B281C02" w14:textId="77777777" w:rsidR="00AE2358" w:rsidRPr="006C2DE9" w:rsidRDefault="00AE2358" w:rsidP="00AE2358">
      <w:pPr>
        <w:spacing w:after="0" w:line="360" w:lineRule="auto"/>
        <w:ind w:firstLine="567"/>
        <w:jc w:val="center"/>
        <w:rPr>
          <w:rFonts w:ascii="Times New Roman" w:hAnsi="Times New Roman"/>
          <w:sz w:val="24"/>
          <w:szCs w:val="24"/>
        </w:rPr>
      </w:pPr>
      <w:r w:rsidRPr="006C2DE9">
        <w:rPr>
          <w:rFonts w:ascii="Times New Roman" w:hAnsi="Times New Roman"/>
          <w:sz w:val="24"/>
          <w:szCs w:val="24"/>
        </w:rPr>
        <w:t xml:space="preserve">TT </w:t>
      </w:r>
      <w:r w:rsidRPr="006C2DE9">
        <w:rPr>
          <w:rFonts w:ascii="Times New Roman" w:hAnsi="Times New Roman" w:cs="Times New Roman"/>
          <w:sz w:val="24"/>
          <w:szCs w:val="24"/>
        </w:rPr>
        <w:t xml:space="preserve">≥ </w:t>
      </w:r>
      <w:r w:rsidRPr="006C2DE9">
        <w:rPr>
          <w:rFonts w:ascii="Times New Roman" w:hAnsi="Times New Roman"/>
          <w:sz w:val="24"/>
          <w:szCs w:val="24"/>
        </w:rPr>
        <w:t>TĮ</w:t>
      </w:r>
    </w:p>
    <w:p w14:paraId="0CC75292" w14:textId="77777777" w:rsidR="00545F9B" w:rsidRDefault="00545F9B" w:rsidP="00AE2358">
      <w:pPr>
        <w:spacing w:after="0" w:line="360" w:lineRule="auto"/>
        <w:ind w:firstLine="567"/>
        <w:jc w:val="both"/>
        <w:rPr>
          <w:rFonts w:ascii="Times New Roman" w:hAnsi="Times New Roman" w:cs="Times New Roman"/>
          <w:sz w:val="24"/>
          <w:szCs w:val="24"/>
        </w:rPr>
      </w:pPr>
    </w:p>
    <w:p w14:paraId="55B75659" w14:textId="77777777" w:rsidR="00AE2358" w:rsidRPr="006C2DE9" w:rsidRDefault="00217E5E" w:rsidP="00AE23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Č</w:t>
      </w:r>
      <w:r w:rsidR="00AE2358" w:rsidRPr="006C2DE9">
        <w:rPr>
          <w:rFonts w:ascii="Times New Roman" w:hAnsi="Times New Roman" w:cs="Times New Roman"/>
          <w:sz w:val="24"/>
          <w:szCs w:val="24"/>
        </w:rPr>
        <w:t xml:space="preserve">ia: </w:t>
      </w:r>
      <w:r w:rsidR="00AE2358" w:rsidRPr="00217E5E">
        <w:rPr>
          <w:rFonts w:ascii="Times New Roman" w:hAnsi="Times New Roman" w:cs="Times New Roman"/>
          <w:i/>
          <w:sz w:val="24"/>
          <w:szCs w:val="24"/>
        </w:rPr>
        <w:t>TT</w:t>
      </w:r>
      <w:r w:rsidR="00AE2358" w:rsidRPr="006C2DE9">
        <w:rPr>
          <w:rFonts w:ascii="Times New Roman" w:hAnsi="Times New Roman" w:cs="Times New Roman"/>
          <w:sz w:val="24"/>
          <w:szCs w:val="24"/>
        </w:rPr>
        <w:t xml:space="preserve"> – trumpalaikis turtas;</w:t>
      </w:r>
    </w:p>
    <w:p w14:paraId="75786DB8" w14:textId="77777777" w:rsidR="00AE2358" w:rsidRPr="006C2DE9" w:rsidRDefault="00AE2358" w:rsidP="00217E5E">
      <w:pPr>
        <w:spacing w:after="0" w:line="360" w:lineRule="auto"/>
        <w:ind w:firstLine="567"/>
        <w:jc w:val="both"/>
        <w:rPr>
          <w:rFonts w:ascii="Times New Roman" w:hAnsi="Times New Roman" w:cs="Times New Roman"/>
          <w:sz w:val="24"/>
          <w:szCs w:val="24"/>
        </w:rPr>
      </w:pPr>
      <w:r w:rsidRPr="00217E5E">
        <w:rPr>
          <w:rFonts w:ascii="Times New Roman" w:hAnsi="Times New Roman" w:cs="Times New Roman"/>
          <w:i/>
          <w:sz w:val="24"/>
          <w:szCs w:val="24"/>
        </w:rPr>
        <w:t>TĮ</w:t>
      </w:r>
      <w:r w:rsidRPr="006C2DE9">
        <w:rPr>
          <w:rFonts w:ascii="Times New Roman" w:hAnsi="Times New Roman" w:cs="Times New Roman"/>
          <w:sz w:val="24"/>
          <w:szCs w:val="24"/>
        </w:rPr>
        <w:t xml:space="preserve"> – trumpalaikiai įsipareigojimai.</w:t>
      </w:r>
    </w:p>
    <w:p w14:paraId="2816206F" w14:textId="77777777" w:rsidR="00AE2358" w:rsidRPr="006C2DE9" w:rsidRDefault="00AE2358" w:rsidP="00AE2358">
      <w:pPr>
        <w:spacing w:after="0" w:line="360" w:lineRule="auto"/>
        <w:ind w:left="1296" w:hanging="729"/>
        <w:jc w:val="both"/>
        <w:rPr>
          <w:rFonts w:ascii="Times New Roman" w:hAnsi="Times New Roman" w:cs="Times New Roman"/>
          <w:sz w:val="24"/>
          <w:szCs w:val="24"/>
        </w:rPr>
      </w:pPr>
      <w:r w:rsidRPr="006C2DE9">
        <w:rPr>
          <w:rFonts w:ascii="Times New Roman" w:hAnsi="Times New Roman" w:cs="Times New Roman"/>
          <w:sz w:val="24"/>
          <w:szCs w:val="24"/>
        </w:rPr>
        <w:lastRenderedPageBreak/>
        <w:t xml:space="preserve">Iš čia seka, kad </w:t>
      </w:r>
      <w:r w:rsidRPr="006C2DE9">
        <w:rPr>
          <w:rFonts w:ascii="Times New Roman" w:hAnsi="Times New Roman" w:cs="Times New Roman"/>
          <w:position w:val="-28"/>
          <w:sz w:val="24"/>
          <w:szCs w:val="24"/>
        </w:rPr>
        <w:object w:dxaOrig="400" w:dyaOrig="660" w14:anchorId="1FAA4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33pt" o:ole="">
            <v:imagedata r:id="rId20" o:title=""/>
          </v:shape>
          <o:OLEObject Type="Embed" ProgID="Equation.3" ShapeID="_x0000_i1025" DrawAspect="Content" ObjectID="_1430066404" r:id="rId21"/>
        </w:object>
      </w:r>
      <w:r w:rsidRPr="006C2DE9">
        <w:rPr>
          <w:rFonts w:ascii="Times New Roman" w:hAnsi="Times New Roman" w:cs="Times New Roman"/>
          <w:sz w:val="24"/>
          <w:szCs w:val="24"/>
        </w:rPr>
        <w:t>turi būti daugiau už 0.</w:t>
      </w:r>
    </w:p>
    <w:p w14:paraId="73E70E13" w14:textId="77777777" w:rsidR="00AE2358" w:rsidRPr="006C2DE9" w:rsidRDefault="00AE2358" w:rsidP="007E1AAB">
      <w:pPr>
        <w:spacing w:after="0" w:line="360" w:lineRule="auto"/>
        <w:ind w:firstLine="567"/>
        <w:jc w:val="both"/>
        <w:rPr>
          <w:rFonts w:ascii="Times New Roman" w:hAnsi="Times New Roman" w:cs="Times New Roman"/>
          <w:sz w:val="24"/>
          <w:szCs w:val="24"/>
        </w:rPr>
      </w:pPr>
      <w:r w:rsidRPr="006C2DE9">
        <w:rPr>
          <w:rFonts w:ascii="Times New Roman" w:hAnsi="Times New Roman" w:cs="Times New Roman"/>
          <w:sz w:val="24"/>
          <w:szCs w:val="24"/>
        </w:rPr>
        <w:t xml:space="preserve">Jeigu TT – TĮ = NAK, t. y. </w:t>
      </w:r>
      <w:r w:rsidR="00545F9B">
        <w:rPr>
          <w:rFonts w:ascii="Times New Roman" w:hAnsi="Times New Roman" w:cs="Times New Roman"/>
          <w:sz w:val="24"/>
          <w:szCs w:val="24"/>
        </w:rPr>
        <w:t>nuosavas kapitalas trumpalaikiam</w:t>
      </w:r>
      <w:r w:rsidRPr="006C2DE9">
        <w:rPr>
          <w:rFonts w:ascii="Times New Roman" w:hAnsi="Times New Roman" w:cs="Times New Roman"/>
          <w:sz w:val="24"/>
          <w:szCs w:val="24"/>
        </w:rPr>
        <w:t xml:space="preserve"> turtui finansuoti, tai TT – TĮ ≥ 0 arba TT – TĮ = NAK ≥ 0.</w:t>
      </w:r>
    </w:p>
    <w:p w14:paraId="0213E13F" w14:textId="77777777" w:rsidR="00AE2358" w:rsidRDefault="006D1850" w:rsidP="00AE2358">
      <w:pPr>
        <w:spacing w:after="0" w:line="360" w:lineRule="auto"/>
        <w:ind w:left="142" w:firstLine="425"/>
        <w:jc w:val="both"/>
        <w:rPr>
          <w:rFonts w:ascii="Times New Roman" w:hAnsi="Times New Roman" w:cs="Times New Roman"/>
          <w:sz w:val="24"/>
          <w:szCs w:val="24"/>
        </w:rPr>
      </w:pPr>
      <w:r>
        <w:rPr>
          <w:rFonts w:ascii="Times New Roman" w:hAnsi="Times New Roman" w:cs="Times New Roman"/>
          <w:sz w:val="24"/>
          <w:szCs w:val="24"/>
        </w:rPr>
        <w:t>Jeigu abi</w:t>
      </w:r>
      <w:r w:rsidR="00AE2358" w:rsidRPr="006C2DE9">
        <w:rPr>
          <w:rFonts w:ascii="Times New Roman" w:hAnsi="Times New Roman" w:cs="Times New Roman"/>
          <w:sz w:val="24"/>
          <w:szCs w:val="24"/>
        </w:rPr>
        <w:t xml:space="preserve"> n</w:t>
      </w:r>
      <w:r w:rsidR="00217E5E">
        <w:rPr>
          <w:rFonts w:ascii="Times New Roman" w:hAnsi="Times New Roman" w:cs="Times New Roman"/>
          <w:sz w:val="24"/>
          <w:szCs w:val="24"/>
        </w:rPr>
        <w:t>elygybės puses padalinsime iš trumpalaikių įsipareigojimų</w:t>
      </w:r>
      <w:r w:rsidR="00AE2358" w:rsidRPr="006C2DE9">
        <w:rPr>
          <w:rFonts w:ascii="Times New Roman" w:hAnsi="Times New Roman" w:cs="Times New Roman"/>
          <w:sz w:val="24"/>
          <w:szCs w:val="24"/>
        </w:rPr>
        <w:t>, tada:</w:t>
      </w:r>
    </w:p>
    <w:p w14:paraId="4FB4E88E" w14:textId="77777777" w:rsidR="00217E5E" w:rsidRPr="006C2DE9" w:rsidRDefault="00217E5E" w:rsidP="00AE2358">
      <w:pPr>
        <w:spacing w:after="0" w:line="360" w:lineRule="auto"/>
        <w:ind w:left="142" w:firstLine="425"/>
        <w:jc w:val="both"/>
        <w:rPr>
          <w:rFonts w:ascii="Times New Roman" w:hAnsi="Times New Roman" w:cs="Times New Roman"/>
          <w:sz w:val="24"/>
          <w:szCs w:val="24"/>
        </w:rPr>
      </w:pPr>
    </w:p>
    <w:p w14:paraId="6A4A720B" w14:textId="77777777" w:rsidR="00AE2358" w:rsidRPr="006C2DE9" w:rsidRDefault="00E612B9" w:rsidP="00FA2BA6">
      <w:pPr>
        <w:spacing w:after="0" w:line="360" w:lineRule="auto"/>
        <w:ind w:left="142" w:firstLine="425"/>
        <w:jc w:val="center"/>
        <w:rPr>
          <w:rFonts w:ascii="Times New Roman" w:hAnsi="Times New Roman" w:cs="Times New Roman"/>
          <w:sz w:val="24"/>
          <w:szCs w:val="24"/>
        </w:rPr>
      </w:pPr>
      <w:r>
        <w:rPr>
          <w:rFonts w:ascii="Times New Roman" w:hAnsi="Times New Roman" w:cs="Times New Roman"/>
          <w:noProof/>
          <w:sz w:val="24"/>
          <w:szCs w:val="24"/>
          <w:lang w:eastAsia="lt-LT"/>
        </w:rPr>
        <w:pict w14:anchorId="63405AD5">
          <v:shape id="_x0000_s1038" type="#_x0000_t202" style="position:absolute;left:0;text-align:left;margin-left:472.45pt;margin-top:5.75pt;width:37.8pt;height:29.5pt;z-index:251661824;mso-width-relative:margin;mso-height-relative:margin" strokecolor="white [3212]">
            <v:textbox style="mso-next-textbox:#_x0000_s1038">
              <w:txbxContent>
                <w:p w14:paraId="684FA7AA" w14:textId="77777777" w:rsidR="004E51DB" w:rsidRPr="00FA2BA6" w:rsidRDefault="004E51DB" w:rsidP="00FA2BA6">
                  <w:pPr>
                    <w:rPr>
                      <w:rFonts w:ascii="Times New Roman" w:hAnsi="Times New Roman" w:cs="Times New Roman"/>
                      <w:sz w:val="24"/>
                      <w:szCs w:val="24"/>
                    </w:rPr>
                  </w:pPr>
                  <w:r>
                    <w:t xml:space="preserve"> </w:t>
                  </w:r>
                  <w:r w:rsidRPr="00FA2BA6">
                    <w:rPr>
                      <w:rFonts w:ascii="Times New Roman" w:hAnsi="Times New Roman" w:cs="Times New Roman"/>
                      <w:sz w:val="24"/>
                      <w:szCs w:val="24"/>
                    </w:rPr>
                    <w:t>(</w:t>
                  </w:r>
                  <w:r>
                    <w:rPr>
                      <w:rFonts w:ascii="Times New Roman" w:hAnsi="Times New Roman" w:cs="Times New Roman"/>
                      <w:sz w:val="24"/>
                      <w:szCs w:val="24"/>
                    </w:rPr>
                    <w:t>2</w:t>
                  </w:r>
                  <w:r w:rsidRPr="00FA2BA6">
                    <w:rPr>
                      <w:rFonts w:ascii="Times New Roman" w:hAnsi="Times New Roman" w:cs="Times New Roman"/>
                      <w:sz w:val="24"/>
                      <w:szCs w:val="24"/>
                    </w:rPr>
                    <w:t>)</w:t>
                  </w:r>
                </w:p>
              </w:txbxContent>
            </v:textbox>
          </v:shape>
        </w:pict>
      </w:r>
      <w:r w:rsidR="00AE2358" w:rsidRPr="006C2DE9">
        <w:rPr>
          <w:rFonts w:ascii="Times New Roman" w:hAnsi="Times New Roman" w:cs="Times New Roman"/>
          <w:position w:val="-28"/>
          <w:sz w:val="24"/>
          <w:szCs w:val="24"/>
        </w:rPr>
        <w:object w:dxaOrig="3260" w:dyaOrig="660" w14:anchorId="36E98F6C">
          <v:shape id="_x0000_i1026" type="#_x0000_t75" style="width:164pt;height:33pt" o:ole="">
            <v:imagedata r:id="rId22" o:title=""/>
          </v:shape>
          <o:OLEObject Type="Embed" ProgID="Equation.3" ShapeID="_x0000_i1026" DrawAspect="Content" ObjectID="_1430066405" r:id="rId23"/>
        </w:object>
      </w:r>
    </w:p>
    <w:p w14:paraId="4505F466" w14:textId="77777777" w:rsidR="00217E5E" w:rsidRDefault="00217E5E" w:rsidP="00AE2358">
      <w:pPr>
        <w:spacing w:after="0" w:line="360" w:lineRule="auto"/>
        <w:ind w:firstLine="567"/>
        <w:jc w:val="both"/>
        <w:rPr>
          <w:rFonts w:ascii="Times New Roman" w:hAnsi="Times New Roman" w:cs="Times New Roman"/>
          <w:sz w:val="24"/>
          <w:szCs w:val="24"/>
        </w:rPr>
      </w:pPr>
    </w:p>
    <w:p w14:paraId="107DD62F" w14:textId="77777777" w:rsidR="00AE2358" w:rsidRPr="006C2DE9" w:rsidRDefault="00AE2358" w:rsidP="00AE2358">
      <w:pPr>
        <w:spacing w:after="0" w:line="360" w:lineRule="auto"/>
        <w:ind w:firstLine="567"/>
        <w:jc w:val="both"/>
        <w:rPr>
          <w:rFonts w:ascii="Times New Roman" w:hAnsi="Times New Roman" w:cs="Times New Roman"/>
          <w:sz w:val="24"/>
          <w:szCs w:val="24"/>
        </w:rPr>
      </w:pPr>
      <w:r w:rsidRPr="006C2DE9">
        <w:rPr>
          <w:rFonts w:ascii="Times New Roman" w:hAnsi="Times New Roman" w:cs="Times New Roman"/>
          <w:sz w:val="24"/>
          <w:szCs w:val="24"/>
        </w:rPr>
        <w:t xml:space="preserve">Taip buvo atrasta „vertikali“ padengimo taisyklė, </w:t>
      </w:r>
      <w:r w:rsidR="00480B43">
        <w:rPr>
          <w:rFonts w:ascii="Times New Roman" w:hAnsi="Times New Roman" w:cs="Times New Roman"/>
          <w:sz w:val="24"/>
          <w:szCs w:val="24"/>
        </w:rPr>
        <w:t>pagal kurią</w:t>
      </w:r>
      <w:r w:rsidRPr="006C2DE9">
        <w:rPr>
          <w:rFonts w:ascii="Times New Roman" w:hAnsi="Times New Roman" w:cs="Times New Roman"/>
          <w:sz w:val="24"/>
          <w:szCs w:val="24"/>
        </w:rPr>
        <w:t>, siekiant užtikr</w:t>
      </w:r>
      <w:r w:rsidR="00545F9B">
        <w:rPr>
          <w:rFonts w:ascii="Times New Roman" w:hAnsi="Times New Roman" w:cs="Times New Roman"/>
          <w:sz w:val="24"/>
          <w:szCs w:val="24"/>
        </w:rPr>
        <w:t>inti įmonės likvidumą ir sumažin</w:t>
      </w:r>
      <w:r w:rsidRPr="006C2DE9">
        <w:rPr>
          <w:rFonts w:ascii="Times New Roman" w:hAnsi="Times New Roman" w:cs="Times New Roman"/>
          <w:sz w:val="24"/>
          <w:szCs w:val="24"/>
        </w:rPr>
        <w:t>ti riziką dalis nuosavo kapitalo turi būti skiriama trumpalaikiam turtui finansuoti. Kokią dalį t</w:t>
      </w:r>
      <w:r w:rsidR="00545F9B">
        <w:rPr>
          <w:rFonts w:ascii="Times New Roman" w:hAnsi="Times New Roman" w:cs="Times New Roman"/>
          <w:sz w:val="24"/>
          <w:szCs w:val="24"/>
        </w:rPr>
        <w:t>rumpalaikio turto įmonė turi fi</w:t>
      </w:r>
      <w:r w:rsidRPr="006C2DE9">
        <w:rPr>
          <w:rFonts w:ascii="Times New Roman" w:hAnsi="Times New Roman" w:cs="Times New Roman"/>
          <w:sz w:val="24"/>
          <w:szCs w:val="24"/>
        </w:rPr>
        <w:t>nansuoti nuosavomis lėšomis, kad užtikrintų gerą finansinę būklę, atsakyti sunku. Teoriškai įrodyta, kad esant didelei nuosavo apyvartinio kapitalo apimčiai, likvidumo rizika mažėja. Praktikoje ši priklausomybė y</w:t>
      </w:r>
      <w:r w:rsidR="00545F9B">
        <w:rPr>
          <w:rFonts w:ascii="Times New Roman" w:hAnsi="Times New Roman" w:cs="Times New Roman"/>
          <w:sz w:val="24"/>
          <w:szCs w:val="24"/>
        </w:rPr>
        <w:t>ra</w:t>
      </w:r>
      <w:r w:rsidRPr="006C2DE9">
        <w:rPr>
          <w:rFonts w:ascii="Times New Roman" w:hAnsi="Times New Roman" w:cs="Times New Roman"/>
          <w:sz w:val="24"/>
          <w:szCs w:val="24"/>
        </w:rPr>
        <w:t xml:space="preserve"> sudėtingesnė, nes visos trumpalaikio turto dalys</w:t>
      </w:r>
      <w:r w:rsidR="00FA2BA6">
        <w:rPr>
          <w:rFonts w:ascii="Times New Roman" w:hAnsi="Times New Roman" w:cs="Times New Roman"/>
          <w:sz w:val="24"/>
          <w:szCs w:val="24"/>
        </w:rPr>
        <w:t xml:space="preserve"> </w:t>
      </w:r>
      <w:r w:rsidRPr="006C2DE9">
        <w:rPr>
          <w:rFonts w:ascii="Times New Roman" w:hAnsi="Times New Roman" w:cs="Times New Roman"/>
          <w:sz w:val="24"/>
          <w:szCs w:val="24"/>
        </w:rPr>
        <w:t>nevienodai likvidžios. Įmonė turi siekti didesnio nuosavo apyvartinio kapita</w:t>
      </w:r>
      <w:r w:rsidR="00480B43">
        <w:rPr>
          <w:rFonts w:ascii="Times New Roman" w:hAnsi="Times New Roman" w:cs="Times New Roman"/>
          <w:sz w:val="24"/>
          <w:szCs w:val="24"/>
        </w:rPr>
        <w:t xml:space="preserve">lo, </w:t>
      </w:r>
      <w:r w:rsidR="00545F9B">
        <w:rPr>
          <w:rFonts w:ascii="Times New Roman" w:hAnsi="Times New Roman" w:cs="Times New Roman"/>
          <w:sz w:val="24"/>
          <w:szCs w:val="24"/>
        </w:rPr>
        <w:t>t. y.</w:t>
      </w:r>
      <w:r w:rsidRPr="006C2DE9">
        <w:rPr>
          <w:rFonts w:ascii="Times New Roman" w:hAnsi="Times New Roman" w:cs="Times New Roman"/>
          <w:sz w:val="24"/>
          <w:szCs w:val="24"/>
        </w:rPr>
        <w:t xml:space="preserve"> trumpalaikio turto ir trumpalaikių įsipareigojimų skirtumo, k</w:t>
      </w:r>
      <w:r w:rsidR="00FA2BA6">
        <w:rPr>
          <w:rFonts w:ascii="Times New Roman" w:hAnsi="Times New Roman" w:cs="Times New Roman"/>
          <w:sz w:val="24"/>
          <w:szCs w:val="24"/>
        </w:rPr>
        <w:t>uriam esant NAK &gt; 0 (Šlekienė,</w:t>
      </w:r>
      <w:r w:rsidRPr="006C2DE9">
        <w:rPr>
          <w:rFonts w:ascii="Times New Roman" w:hAnsi="Times New Roman" w:cs="Times New Roman"/>
          <w:sz w:val="24"/>
          <w:szCs w:val="24"/>
        </w:rPr>
        <w:t xml:space="preserve"> Klimavičienė, 1999).</w:t>
      </w:r>
    </w:p>
    <w:p w14:paraId="468E767B" w14:textId="77777777" w:rsidR="00AE2358" w:rsidRPr="006C2DE9" w:rsidRDefault="00AE2358" w:rsidP="00AE2358">
      <w:pPr>
        <w:spacing w:after="0" w:line="360" w:lineRule="auto"/>
        <w:ind w:firstLine="567"/>
        <w:jc w:val="both"/>
        <w:rPr>
          <w:rFonts w:ascii="Times New Roman" w:hAnsi="Times New Roman" w:cs="Times New Roman"/>
          <w:sz w:val="24"/>
          <w:szCs w:val="24"/>
        </w:rPr>
      </w:pPr>
      <w:r w:rsidRPr="006C2DE9">
        <w:rPr>
          <w:rFonts w:ascii="Times New Roman" w:hAnsi="Times New Roman" w:cs="Times New Roman"/>
          <w:sz w:val="24"/>
          <w:szCs w:val="24"/>
        </w:rPr>
        <w:t>Esant mažai trumpalaikio turto apimčiai, įmonė negali normaliai funkcionuoti, todėl gali sumažėti likvidumas ir padidėti veiklos nuostoliai. Esant optimaliam trumpalaikio turto dydžiui, pelnas maksimizuojamas, o toliau didinant trumpalaikį turtą turimos lėšos panaudojamos neefektyviai. Todėl nėra absoliučiai teisingos išvados apie trumpalaikio turto didinimą, nes apyvartinių aktyvų formavimo politika yra kompromisas tarp veiklos efektyvumo ir likvidumo.</w:t>
      </w:r>
    </w:p>
    <w:p w14:paraId="6264295E" w14:textId="77777777" w:rsidR="00AE2358" w:rsidRPr="006C2DE9" w:rsidRDefault="00AE2358" w:rsidP="00AE2358">
      <w:pPr>
        <w:spacing w:after="0" w:line="360" w:lineRule="auto"/>
        <w:ind w:firstLine="567"/>
        <w:jc w:val="both"/>
        <w:rPr>
          <w:rFonts w:ascii="Times New Roman" w:hAnsi="Times New Roman" w:cs="Times New Roman"/>
          <w:sz w:val="24"/>
          <w:szCs w:val="24"/>
        </w:rPr>
      </w:pPr>
      <w:r w:rsidRPr="006C2DE9">
        <w:rPr>
          <w:rFonts w:ascii="Times New Roman" w:hAnsi="Times New Roman" w:cs="Times New Roman"/>
          <w:sz w:val="24"/>
          <w:szCs w:val="24"/>
        </w:rPr>
        <w:t xml:space="preserve">Likvidumo mažėjimo riziką gali lemti </w:t>
      </w:r>
      <w:r w:rsidR="00FA2BA6">
        <w:rPr>
          <w:rFonts w:ascii="Times New Roman" w:hAnsi="Times New Roman" w:cs="Times New Roman"/>
          <w:sz w:val="24"/>
          <w:szCs w:val="24"/>
        </w:rPr>
        <w:t>ir aktyvų, ir pasyvų pokyčiai. S</w:t>
      </w:r>
      <w:r w:rsidRPr="006C2DE9">
        <w:rPr>
          <w:rFonts w:ascii="Times New Roman" w:hAnsi="Times New Roman" w:cs="Times New Roman"/>
          <w:sz w:val="24"/>
          <w:szCs w:val="24"/>
        </w:rPr>
        <w:t>kiriamos dvi likvidumo sumažėjimo rizikos: iš kairės ir iš dešinės. Riziką iš kairės lemia aktyvų pokyčiai:</w:t>
      </w:r>
    </w:p>
    <w:p w14:paraId="3793EF70" w14:textId="77777777" w:rsidR="00FA2BA6" w:rsidRDefault="00AE2358" w:rsidP="00447752">
      <w:pPr>
        <w:pStyle w:val="ListParagraph"/>
        <w:numPr>
          <w:ilvl w:val="0"/>
          <w:numId w:val="10"/>
        </w:numPr>
        <w:spacing w:after="0" w:line="360" w:lineRule="auto"/>
        <w:ind w:left="851" w:hanging="284"/>
        <w:jc w:val="both"/>
        <w:rPr>
          <w:rFonts w:ascii="Times New Roman" w:hAnsi="Times New Roman" w:cs="Times New Roman"/>
          <w:sz w:val="24"/>
          <w:szCs w:val="24"/>
        </w:rPr>
      </w:pPr>
      <w:r w:rsidRPr="00FA2BA6">
        <w:rPr>
          <w:rFonts w:ascii="Times New Roman" w:hAnsi="Times New Roman" w:cs="Times New Roman"/>
          <w:sz w:val="24"/>
          <w:szCs w:val="24"/>
        </w:rPr>
        <w:t xml:space="preserve">nuosavų kreditinių išteklių sumažėjimas. Tai sąlygoja prekių pardavimas kreditan. Debitorinis įsiskolinimas turi </w:t>
      </w:r>
      <w:r w:rsidR="00545F9B">
        <w:rPr>
          <w:rFonts w:ascii="Times New Roman" w:hAnsi="Times New Roman" w:cs="Times New Roman"/>
          <w:sz w:val="24"/>
          <w:szCs w:val="24"/>
        </w:rPr>
        <w:t xml:space="preserve">dvejopą kilmę: viena </w:t>
      </w:r>
      <w:r w:rsidRPr="00FA2BA6">
        <w:rPr>
          <w:rFonts w:ascii="Times New Roman" w:hAnsi="Times New Roman" w:cs="Times New Roman"/>
          <w:sz w:val="24"/>
          <w:szCs w:val="24"/>
        </w:rPr>
        <w:t>vertus, normalus debitorinio įsiskolinimo padidėjimas liudija apie didėjančias būsimas pajamas, o kartu ir likvidumą; kita vertus, įmonė negali atlaikyti per didelio debitorini</w:t>
      </w:r>
      <w:r w:rsidR="006D1850">
        <w:rPr>
          <w:rFonts w:ascii="Times New Roman" w:hAnsi="Times New Roman" w:cs="Times New Roman"/>
          <w:sz w:val="24"/>
          <w:szCs w:val="24"/>
        </w:rPr>
        <w:t>o įsiskolinimo, nes tai lėšų išš</w:t>
      </w:r>
      <w:r w:rsidRPr="00FA2BA6">
        <w:rPr>
          <w:rFonts w:ascii="Times New Roman" w:hAnsi="Times New Roman" w:cs="Times New Roman"/>
          <w:sz w:val="24"/>
          <w:szCs w:val="24"/>
        </w:rPr>
        <w:t>aldymas, o kartu ir likvidumo sumažėjimas;</w:t>
      </w:r>
    </w:p>
    <w:p w14:paraId="415571EE" w14:textId="77777777" w:rsidR="00FA2BA6" w:rsidRDefault="00AE2358" w:rsidP="00447752">
      <w:pPr>
        <w:pStyle w:val="ListParagraph"/>
        <w:numPr>
          <w:ilvl w:val="0"/>
          <w:numId w:val="10"/>
        </w:numPr>
        <w:spacing w:after="0" w:line="360" w:lineRule="auto"/>
        <w:ind w:left="851" w:hanging="284"/>
        <w:jc w:val="both"/>
        <w:rPr>
          <w:rFonts w:ascii="Times New Roman" w:hAnsi="Times New Roman" w:cs="Times New Roman"/>
          <w:sz w:val="24"/>
          <w:szCs w:val="24"/>
        </w:rPr>
      </w:pPr>
      <w:r w:rsidRPr="00FA2BA6">
        <w:rPr>
          <w:rFonts w:ascii="Times New Roman" w:hAnsi="Times New Roman" w:cs="Times New Roman"/>
          <w:sz w:val="24"/>
          <w:szCs w:val="24"/>
        </w:rPr>
        <w:t>nepakankamos atsargos. Įmonė privalo apsirūpinti būtinomis žaliavų atsargomis ir turėti tam tikrą gatavos produkcijos asortimentą sandėlyje, kad galėtų laiku patenkinti visus užsakovus;</w:t>
      </w:r>
    </w:p>
    <w:p w14:paraId="060093ED" w14:textId="77777777" w:rsidR="00AE2358" w:rsidRPr="00FA2BA6" w:rsidRDefault="00AE2358" w:rsidP="00447752">
      <w:pPr>
        <w:pStyle w:val="ListParagraph"/>
        <w:numPr>
          <w:ilvl w:val="0"/>
          <w:numId w:val="10"/>
        </w:numPr>
        <w:spacing w:after="0" w:line="360" w:lineRule="auto"/>
        <w:ind w:left="851" w:hanging="284"/>
        <w:jc w:val="both"/>
        <w:rPr>
          <w:rFonts w:ascii="Times New Roman" w:hAnsi="Times New Roman" w:cs="Times New Roman"/>
          <w:sz w:val="24"/>
          <w:szCs w:val="24"/>
        </w:rPr>
      </w:pPr>
      <w:r w:rsidRPr="00FA2BA6">
        <w:rPr>
          <w:rFonts w:ascii="Times New Roman" w:hAnsi="Times New Roman" w:cs="Times New Roman"/>
          <w:sz w:val="24"/>
          <w:szCs w:val="24"/>
        </w:rPr>
        <w:t xml:space="preserve">per dideli </w:t>
      </w:r>
      <w:r w:rsidR="00480B43">
        <w:rPr>
          <w:rFonts w:ascii="Times New Roman" w:hAnsi="Times New Roman" w:cs="Times New Roman"/>
          <w:sz w:val="24"/>
          <w:szCs w:val="24"/>
        </w:rPr>
        <w:t>trumpalaikiai aktyvai. A</w:t>
      </w:r>
      <w:r w:rsidRPr="00FA2BA6">
        <w:rPr>
          <w:rFonts w:ascii="Times New Roman" w:hAnsi="Times New Roman" w:cs="Times New Roman"/>
          <w:sz w:val="24"/>
          <w:szCs w:val="24"/>
        </w:rPr>
        <w:t>ktyvų apimtis tiesio</w:t>
      </w:r>
      <w:r w:rsidR="00480B43">
        <w:rPr>
          <w:rFonts w:ascii="Times New Roman" w:hAnsi="Times New Roman" w:cs="Times New Roman"/>
          <w:sz w:val="24"/>
          <w:szCs w:val="24"/>
        </w:rPr>
        <w:t xml:space="preserve">giai susijusi su išlaidomis, todėl per didelis jų kiekis </w:t>
      </w:r>
      <w:r w:rsidRPr="00FA2BA6">
        <w:rPr>
          <w:rFonts w:ascii="Times New Roman" w:hAnsi="Times New Roman" w:cs="Times New Roman"/>
          <w:sz w:val="24"/>
          <w:szCs w:val="24"/>
        </w:rPr>
        <w:t>mažina pajamas. Aktyvų pertekliaus susidarymo priežastys – užsigulėjimas prekių sandėlyje, įprotis turėti daug atsargų.</w:t>
      </w:r>
    </w:p>
    <w:p w14:paraId="5F37A41E" w14:textId="77777777" w:rsidR="00FA2BA6" w:rsidRDefault="00AE2358" w:rsidP="00545F9B">
      <w:pPr>
        <w:spacing w:after="0" w:line="360" w:lineRule="auto"/>
        <w:ind w:left="851" w:hanging="284"/>
        <w:jc w:val="both"/>
        <w:rPr>
          <w:rFonts w:ascii="Times New Roman" w:hAnsi="Times New Roman" w:cs="Times New Roman"/>
          <w:sz w:val="24"/>
          <w:szCs w:val="24"/>
        </w:rPr>
      </w:pPr>
      <w:r w:rsidRPr="006C2DE9">
        <w:rPr>
          <w:rFonts w:ascii="Times New Roman" w:hAnsi="Times New Roman" w:cs="Times New Roman"/>
          <w:sz w:val="24"/>
          <w:szCs w:val="24"/>
        </w:rPr>
        <w:t>Riziką iš dešinės lemia pasyvų pokyčiai:</w:t>
      </w:r>
    </w:p>
    <w:p w14:paraId="749FF580" w14:textId="77777777" w:rsidR="00FA2BA6" w:rsidRDefault="00AE2358" w:rsidP="00447752">
      <w:pPr>
        <w:pStyle w:val="ListParagraph"/>
        <w:numPr>
          <w:ilvl w:val="0"/>
          <w:numId w:val="11"/>
        </w:numPr>
        <w:spacing w:after="0" w:line="360" w:lineRule="auto"/>
        <w:ind w:left="851" w:hanging="284"/>
        <w:jc w:val="both"/>
        <w:rPr>
          <w:rFonts w:ascii="Times New Roman" w:hAnsi="Times New Roman" w:cs="Times New Roman"/>
          <w:sz w:val="24"/>
          <w:szCs w:val="24"/>
        </w:rPr>
      </w:pPr>
      <w:r w:rsidRPr="00FA2BA6">
        <w:rPr>
          <w:rFonts w:ascii="Times New Roman" w:hAnsi="Times New Roman" w:cs="Times New Roman"/>
          <w:sz w:val="24"/>
          <w:szCs w:val="24"/>
        </w:rPr>
        <w:lastRenderedPageBreak/>
        <w:t xml:space="preserve">didelis kreditorinis įsiskolinimas. Galimas atvejis, kad įmonė užsakė daugiau žaliavos, negu reikėjo atitinkamu </w:t>
      </w:r>
      <w:r w:rsidR="00480B43">
        <w:rPr>
          <w:rFonts w:ascii="Times New Roman" w:hAnsi="Times New Roman" w:cs="Times New Roman"/>
          <w:sz w:val="24"/>
          <w:szCs w:val="24"/>
        </w:rPr>
        <w:t>laikotarpiu</w:t>
      </w:r>
      <w:r w:rsidRPr="00FA2BA6">
        <w:rPr>
          <w:rFonts w:ascii="Times New Roman" w:hAnsi="Times New Roman" w:cs="Times New Roman"/>
          <w:sz w:val="24"/>
          <w:szCs w:val="24"/>
        </w:rPr>
        <w:t>, o kredito terminui pasibaigus dar neturėjo pakankamai lėšų atsiskaityti su kreditoriais;</w:t>
      </w:r>
    </w:p>
    <w:p w14:paraId="379A3134" w14:textId="77777777" w:rsidR="00FA2BA6" w:rsidRDefault="00AE2358" w:rsidP="00447752">
      <w:pPr>
        <w:pStyle w:val="ListParagraph"/>
        <w:numPr>
          <w:ilvl w:val="0"/>
          <w:numId w:val="11"/>
        </w:numPr>
        <w:spacing w:after="0" w:line="360" w:lineRule="auto"/>
        <w:ind w:left="851" w:hanging="284"/>
        <w:jc w:val="both"/>
        <w:rPr>
          <w:rFonts w:ascii="Times New Roman" w:hAnsi="Times New Roman" w:cs="Times New Roman"/>
          <w:sz w:val="24"/>
          <w:szCs w:val="24"/>
        </w:rPr>
      </w:pPr>
      <w:r w:rsidRPr="00FA2BA6">
        <w:rPr>
          <w:rFonts w:ascii="Times New Roman" w:hAnsi="Times New Roman" w:cs="Times New Roman"/>
          <w:sz w:val="24"/>
          <w:szCs w:val="24"/>
        </w:rPr>
        <w:t>neoptimalus trumpalaikių ir ilgalaikių paskolų santykis. Einamieji aktyvai yra padengiami kreditoriniais įsiskolinimais ir pastoviu kapitalu. Kartais ilgalaikių finansavimo šaltinių panaudo</w:t>
      </w:r>
      <w:r w:rsidR="00545F9B">
        <w:rPr>
          <w:rFonts w:ascii="Times New Roman" w:hAnsi="Times New Roman" w:cs="Times New Roman"/>
          <w:sz w:val="24"/>
          <w:szCs w:val="24"/>
        </w:rPr>
        <w:t xml:space="preserve">jimas gali išgelbėti įmonę nuo </w:t>
      </w:r>
      <w:r w:rsidRPr="00FA2BA6">
        <w:rPr>
          <w:rFonts w:ascii="Times New Roman" w:hAnsi="Times New Roman" w:cs="Times New Roman"/>
          <w:sz w:val="24"/>
          <w:szCs w:val="24"/>
        </w:rPr>
        <w:t>likvidumo sumažėjimo.</w:t>
      </w:r>
    </w:p>
    <w:p w14:paraId="315E5B8D" w14:textId="77777777" w:rsidR="00AE2358" w:rsidRPr="00FA2BA6" w:rsidRDefault="00AE2358" w:rsidP="00447752">
      <w:pPr>
        <w:pStyle w:val="ListParagraph"/>
        <w:numPr>
          <w:ilvl w:val="0"/>
          <w:numId w:val="11"/>
        </w:numPr>
        <w:spacing w:after="0" w:line="360" w:lineRule="auto"/>
        <w:ind w:left="851" w:hanging="284"/>
        <w:jc w:val="both"/>
        <w:rPr>
          <w:rFonts w:ascii="Times New Roman" w:hAnsi="Times New Roman" w:cs="Times New Roman"/>
          <w:sz w:val="24"/>
          <w:szCs w:val="24"/>
        </w:rPr>
      </w:pPr>
      <w:r w:rsidRPr="00FA2BA6">
        <w:rPr>
          <w:rFonts w:ascii="Times New Roman" w:hAnsi="Times New Roman" w:cs="Times New Roman"/>
          <w:sz w:val="24"/>
          <w:szCs w:val="24"/>
        </w:rPr>
        <w:t>dideli ilgalaikiai įsipareigojimai. Normaliomis ekonominėmis sąlygomis šis finansavimo šaltinis yra pakankamai brangus. Didelė jo dalis reikalauja ir atitinkamai didelių finansinių išlaidų – mažėja veiklos rentabilumas. Tačiau per didelė trumpalaikių įsiskolinimų dalis didina likvidumo sumažėjimo riziką.</w:t>
      </w:r>
    </w:p>
    <w:p w14:paraId="0BEB0AE4" w14:textId="77777777" w:rsidR="00AE2358" w:rsidRPr="006C2DE9" w:rsidRDefault="00AE2358" w:rsidP="00FA2BA6">
      <w:pPr>
        <w:spacing w:after="0" w:line="360" w:lineRule="auto"/>
        <w:ind w:firstLine="567"/>
        <w:jc w:val="both"/>
        <w:rPr>
          <w:rFonts w:ascii="Times New Roman" w:hAnsi="Times New Roman" w:cs="Times New Roman"/>
          <w:sz w:val="24"/>
          <w:szCs w:val="24"/>
        </w:rPr>
      </w:pPr>
      <w:r w:rsidRPr="006C2DE9">
        <w:rPr>
          <w:rFonts w:ascii="Times New Roman" w:hAnsi="Times New Roman" w:cs="Times New Roman"/>
          <w:sz w:val="24"/>
          <w:szCs w:val="24"/>
        </w:rPr>
        <w:t>Kalbant apie įmonės likvidumo vertinimą nereiktų pa</w:t>
      </w:r>
      <w:r w:rsidR="00FA2BA6">
        <w:rPr>
          <w:rFonts w:ascii="Times New Roman" w:hAnsi="Times New Roman" w:cs="Times New Roman"/>
          <w:sz w:val="24"/>
          <w:szCs w:val="24"/>
        </w:rPr>
        <w:t>s</w:t>
      </w:r>
      <w:r w:rsidRPr="006C2DE9">
        <w:rPr>
          <w:rFonts w:ascii="Times New Roman" w:hAnsi="Times New Roman" w:cs="Times New Roman"/>
          <w:sz w:val="24"/>
          <w:szCs w:val="24"/>
        </w:rPr>
        <w:t>ikliauti vien likvidumo rodikliais. Reikėtų išanalizuoti ir atitinkamų duomenų struktūrą, kitimo tendencijas.</w:t>
      </w:r>
      <w:r w:rsidR="00FA2BA6">
        <w:rPr>
          <w:rFonts w:ascii="Times New Roman" w:hAnsi="Times New Roman" w:cs="Times New Roman"/>
          <w:sz w:val="24"/>
          <w:szCs w:val="24"/>
        </w:rPr>
        <w:t xml:space="preserve"> </w:t>
      </w:r>
      <w:r w:rsidRPr="006C2DE9">
        <w:rPr>
          <w:rFonts w:ascii="Times New Roman" w:hAnsi="Times New Roman" w:cs="Times New Roman"/>
          <w:sz w:val="24"/>
          <w:szCs w:val="24"/>
        </w:rPr>
        <w:t>Finansų vadybos teorija pateikia keletą galimybių, kaip sumažinti prieš tai minėtas rizikas:</w:t>
      </w:r>
    </w:p>
    <w:p w14:paraId="530D7810" w14:textId="77777777" w:rsidR="003260E4" w:rsidRDefault="00AE2358" w:rsidP="00447752">
      <w:pPr>
        <w:pStyle w:val="ListParagraph"/>
        <w:numPr>
          <w:ilvl w:val="0"/>
          <w:numId w:val="12"/>
        </w:numPr>
        <w:spacing w:after="0" w:line="360" w:lineRule="auto"/>
        <w:ind w:left="851" w:hanging="284"/>
        <w:jc w:val="both"/>
        <w:rPr>
          <w:rFonts w:ascii="Times New Roman" w:hAnsi="Times New Roman" w:cs="Times New Roman"/>
          <w:sz w:val="24"/>
          <w:szCs w:val="24"/>
        </w:rPr>
      </w:pPr>
      <w:r w:rsidRPr="003260E4">
        <w:rPr>
          <w:rFonts w:ascii="Times New Roman" w:hAnsi="Times New Roman" w:cs="Times New Roman"/>
          <w:sz w:val="24"/>
          <w:szCs w:val="24"/>
        </w:rPr>
        <w:t>Minimizuoti einamuosius įsiskolinimus. Tai užtikrintų likvidumą, tačiau tokiai strategijai įgyvendinti reikia didelio nuosavo kapitalo arba panaudoti ilgalaikius finansavimo šaltinius.</w:t>
      </w:r>
    </w:p>
    <w:p w14:paraId="46C3D03C" w14:textId="77777777" w:rsidR="003260E4" w:rsidRDefault="00AE2358" w:rsidP="00447752">
      <w:pPr>
        <w:pStyle w:val="ListParagraph"/>
        <w:numPr>
          <w:ilvl w:val="0"/>
          <w:numId w:val="12"/>
        </w:numPr>
        <w:spacing w:after="0" w:line="360" w:lineRule="auto"/>
        <w:ind w:left="851" w:hanging="284"/>
        <w:jc w:val="both"/>
        <w:rPr>
          <w:rFonts w:ascii="Times New Roman" w:hAnsi="Times New Roman" w:cs="Times New Roman"/>
          <w:sz w:val="24"/>
          <w:szCs w:val="24"/>
        </w:rPr>
      </w:pPr>
      <w:r w:rsidRPr="003260E4">
        <w:rPr>
          <w:rFonts w:ascii="Times New Roman" w:hAnsi="Times New Roman" w:cs="Times New Roman"/>
          <w:sz w:val="24"/>
          <w:szCs w:val="24"/>
        </w:rPr>
        <w:t>Minimizuoti finansines išlaidas. Šiuo atveju pagrindinis finansavimo šaltinis yra trumpalaikės paskolos, nes šis šaltinis pats pigiausias, tačiau čia egzistuoja didelė įsipareigojimų neįvykdymo rizika.</w:t>
      </w:r>
    </w:p>
    <w:p w14:paraId="61186024" w14:textId="77777777" w:rsidR="00AE2358" w:rsidRPr="003260E4" w:rsidRDefault="00AE2358" w:rsidP="00447752">
      <w:pPr>
        <w:pStyle w:val="ListParagraph"/>
        <w:numPr>
          <w:ilvl w:val="0"/>
          <w:numId w:val="12"/>
        </w:numPr>
        <w:spacing w:after="0" w:line="360" w:lineRule="auto"/>
        <w:ind w:left="851" w:hanging="284"/>
        <w:jc w:val="both"/>
        <w:rPr>
          <w:rFonts w:ascii="Times New Roman" w:hAnsi="Times New Roman" w:cs="Times New Roman"/>
          <w:sz w:val="24"/>
          <w:szCs w:val="24"/>
        </w:rPr>
      </w:pPr>
      <w:r w:rsidRPr="003260E4">
        <w:rPr>
          <w:rFonts w:ascii="Times New Roman" w:hAnsi="Times New Roman" w:cs="Times New Roman"/>
          <w:sz w:val="24"/>
          <w:szCs w:val="24"/>
        </w:rPr>
        <w:t>Optimizuoti įmonės kainą. Šiuo atveju apyvartinio kapitalo valdymą reikia įtraukti į bendrą įmonės finansavimo st</w:t>
      </w:r>
      <w:r w:rsidR="00435351">
        <w:rPr>
          <w:rFonts w:ascii="Times New Roman" w:hAnsi="Times New Roman" w:cs="Times New Roman"/>
          <w:sz w:val="24"/>
          <w:szCs w:val="24"/>
        </w:rPr>
        <w:t>ra</w:t>
      </w:r>
      <w:r w:rsidRPr="003260E4">
        <w:rPr>
          <w:rFonts w:ascii="Times New Roman" w:hAnsi="Times New Roman" w:cs="Times New Roman"/>
          <w:sz w:val="24"/>
          <w:szCs w:val="24"/>
        </w:rPr>
        <w:t>tegiją. Tai reiškia, kad kiekvienas sprendimas dėl apyvartinių lėšų turi būti vykdomas įmonės kainos didinimo linkme.</w:t>
      </w:r>
    </w:p>
    <w:p w14:paraId="7F2D36D1" w14:textId="77777777" w:rsidR="00EB2DFA" w:rsidRDefault="00AA7DFF" w:rsidP="00EB2DFA">
      <w:pPr>
        <w:spacing w:after="0" w:line="360" w:lineRule="auto"/>
        <w:ind w:firstLine="567"/>
        <w:jc w:val="both"/>
        <w:rPr>
          <w:rFonts w:ascii="Times New Roman" w:hAnsi="Times New Roman" w:cs="Times New Roman"/>
          <w:sz w:val="24"/>
          <w:szCs w:val="24"/>
        </w:rPr>
      </w:pPr>
      <w:r w:rsidRPr="006C2DE9">
        <w:rPr>
          <w:rFonts w:ascii="Times New Roman" w:hAnsi="Times New Roman" w:cs="Times New Roman"/>
          <w:sz w:val="24"/>
          <w:szCs w:val="24"/>
        </w:rPr>
        <w:t>Likvidumo rizika vertinama analizuojant įvairių likvidumo rodiklių dinamiką. Įmonė nuolatos vertina savo likvid</w:t>
      </w:r>
      <w:r w:rsidR="006D1850">
        <w:rPr>
          <w:rFonts w:ascii="Times New Roman" w:hAnsi="Times New Roman" w:cs="Times New Roman"/>
          <w:sz w:val="24"/>
          <w:szCs w:val="24"/>
        </w:rPr>
        <w:t xml:space="preserve">umą, tuo tikslu stebėdama savo </w:t>
      </w:r>
      <w:r w:rsidRPr="006C2DE9">
        <w:rPr>
          <w:rFonts w:ascii="Times New Roman" w:hAnsi="Times New Roman" w:cs="Times New Roman"/>
          <w:sz w:val="24"/>
          <w:szCs w:val="24"/>
        </w:rPr>
        <w:t xml:space="preserve">ateities mokėjimų įsipareigojimus ir lygindama juos su planuojamomis gauti lėšomis. </w:t>
      </w:r>
      <w:r w:rsidR="00EB2DFA" w:rsidRPr="006C2DE9">
        <w:rPr>
          <w:rFonts w:ascii="Times New Roman" w:hAnsi="Times New Roman" w:cs="Times New Roman"/>
          <w:sz w:val="24"/>
          <w:szCs w:val="24"/>
        </w:rPr>
        <w:t xml:space="preserve">Jei įmonė nesugeba padengti savo trumpalaikių įsipareigojimų, jos veiklos tęstinumas kelia abejonių. Dėl to likvidumo vertinimas yra itin svarbus atliekant finansinę analizę. </w:t>
      </w:r>
    </w:p>
    <w:p w14:paraId="049CE5CB" w14:textId="77777777" w:rsidR="00A305E2" w:rsidRDefault="00A305E2" w:rsidP="00EB2DFA">
      <w:pPr>
        <w:spacing w:after="0" w:line="360" w:lineRule="auto"/>
        <w:ind w:firstLine="567"/>
        <w:jc w:val="both"/>
        <w:rPr>
          <w:rFonts w:ascii="Times New Roman" w:hAnsi="Times New Roman" w:cs="Times New Roman"/>
          <w:sz w:val="24"/>
          <w:szCs w:val="24"/>
        </w:rPr>
      </w:pPr>
    </w:p>
    <w:p w14:paraId="12284596" w14:textId="77777777" w:rsidR="00A305E2" w:rsidRPr="00A305E2" w:rsidRDefault="00A305E2" w:rsidP="00A305E2">
      <w:pPr>
        <w:tabs>
          <w:tab w:val="left" w:pos="2715"/>
        </w:tabs>
        <w:spacing w:after="0" w:line="360" w:lineRule="auto"/>
        <w:ind w:firstLine="540"/>
        <w:jc w:val="both"/>
        <w:rPr>
          <w:rFonts w:ascii="Times New Roman" w:eastAsia="Calibri" w:hAnsi="Times New Roman" w:cs="Times New Roman"/>
          <w:i/>
          <w:sz w:val="24"/>
          <w:szCs w:val="24"/>
        </w:rPr>
      </w:pPr>
      <w:r w:rsidRPr="00A305E2">
        <w:rPr>
          <w:rFonts w:ascii="Times New Roman" w:eastAsia="Calibri" w:hAnsi="Times New Roman" w:cs="Times New Roman"/>
          <w:i/>
          <w:sz w:val="24"/>
          <w:szCs w:val="24"/>
        </w:rPr>
        <w:t>Apibendrinant pirmąjį skyrių galima padaryti šias išvadas:</w:t>
      </w:r>
    </w:p>
    <w:p w14:paraId="2E023EBF" w14:textId="77777777" w:rsidR="00A305E2" w:rsidRPr="00A305E2" w:rsidRDefault="00464CDA" w:rsidP="00447752">
      <w:pPr>
        <w:numPr>
          <w:ilvl w:val="0"/>
          <w:numId w:val="15"/>
        </w:numPr>
        <w:tabs>
          <w:tab w:val="clear" w:pos="1260"/>
          <w:tab w:val="left" w:pos="540"/>
          <w:tab w:val="left" w:pos="851"/>
        </w:tabs>
        <w:spacing w:after="0" w:line="360" w:lineRule="auto"/>
        <w:ind w:left="851" w:hanging="284"/>
        <w:jc w:val="both"/>
        <w:rPr>
          <w:rFonts w:ascii="Times New Roman" w:eastAsia="Calibri" w:hAnsi="Times New Roman" w:cs="Times New Roman"/>
          <w:i/>
          <w:sz w:val="24"/>
          <w:szCs w:val="24"/>
        </w:rPr>
      </w:pPr>
      <w:r>
        <w:rPr>
          <w:rFonts w:ascii="Times New Roman" w:eastAsia="Calibri" w:hAnsi="Times New Roman" w:cs="Times New Roman"/>
          <w:i/>
          <w:sz w:val="24"/>
          <w:szCs w:val="24"/>
        </w:rPr>
        <w:t>F</w:t>
      </w:r>
      <w:r w:rsidR="00A305E2" w:rsidRPr="00A305E2">
        <w:rPr>
          <w:rFonts w:ascii="Times New Roman" w:eastAsia="Calibri" w:hAnsi="Times New Roman" w:cs="Times New Roman"/>
          <w:i/>
          <w:sz w:val="24"/>
          <w:szCs w:val="24"/>
        </w:rPr>
        <w:t>inansų analizė</w:t>
      </w:r>
      <w:r w:rsidR="00435351">
        <w:rPr>
          <w:rFonts w:ascii="Times New Roman" w:eastAsia="Calibri" w:hAnsi="Times New Roman" w:cs="Times New Roman"/>
          <w:i/>
          <w:sz w:val="24"/>
          <w:szCs w:val="24"/>
        </w:rPr>
        <w:t xml:space="preserve"> yra procesas, kurio metu</w:t>
      </w:r>
      <w:r w:rsidR="00A305E2" w:rsidRPr="00A305E2">
        <w:rPr>
          <w:rFonts w:ascii="Times New Roman" w:eastAsia="Calibri" w:hAnsi="Times New Roman" w:cs="Times New Roman"/>
          <w:i/>
          <w:sz w:val="24"/>
          <w:szCs w:val="24"/>
        </w:rPr>
        <w:t xml:space="preserve"> įmonės duomenis siekiama paversti naudinga informacija, taikant įvairius analitinius būdus bei metodus. </w:t>
      </w:r>
      <w:r w:rsidR="000F3800">
        <w:rPr>
          <w:rFonts w:ascii="Times New Roman" w:eastAsia="Calibri" w:hAnsi="Times New Roman" w:cs="Times New Roman"/>
          <w:i/>
          <w:sz w:val="24"/>
          <w:szCs w:val="24"/>
        </w:rPr>
        <w:t xml:space="preserve">Likvidumo analizė yra viena iš svarbiausių finansinės analizės dedamųjų. </w:t>
      </w:r>
      <w:r w:rsidR="00A305E2" w:rsidRPr="00A305E2">
        <w:rPr>
          <w:rFonts w:ascii="Times New Roman" w:eastAsia="Calibri" w:hAnsi="Times New Roman" w:cs="Times New Roman"/>
          <w:i/>
          <w:sz w:val="24"/>
          <w:szCs w:val="24"/>
        </w:rPr>
        <w:t xml:space="preserve">Teisingai </w:t>
      </w:r>
      <w:r w:rsidR="000F3800">
        <w:rPr>
          <w:rFonts w:ascii="Times New Roman" w:eastAsia="Calibri" w:hAnsi="Times New Roman" w:cs="Times New Roman"/>
          <w:i/>
          <w:sz w:val="24"/>
          <w:szCs w:val="24"/>
        </w:rPr>
        <w:t>įvertinta padėtis</w:t>
      </w:r>
      <w:r w:rsidR="00A305E2" w:rsidRPr="00A305E2">
        <w:rPr>
          <w:rFonts w:ascii="Times New Roman" w:eastAsia="Calibri" w:hAnsi="Times New Roman" w:cs="Times New Roman"/>
          <w:i/>
          <w:sz w:val="24"/>
          <w:szCs w:val="24"/>
        </w:rPr>
        <w:t xml:space="preserve"> įgalina</w:t>
      </w:r>
      <w:r w:rsidR="000F3800">
        <w:rPr>
          <w:rFonts w:ascii="Times New Roman" w:eastAsia="Calibri" w:hAnsi="Times New Roman" w:cs="Times New Roman"/>
          <w:i/>
          <w:sz w:val="24"/>
          <w:szCs w:val="24"/>
        </w:rPr>
        <w:t>: 1.</w:t>
      </w:r>
      <w:r w:rsidR="00A305E2" w:rsidRPr="00A305E2">
        <w:rPr>
          <w:rFonts w:ascii="Times New Roman" w:eastAsia="Calibri" w:hAnsi="Times New Roman" w:cs="Times New Roman"/>
          <w:i/>
          <w:sz w:val="24"/>
          <w:szCs w:val="24"/>
        </w:rPr>
        <w:t xml:space="preserve"> įmones nustatyti konkrečią padėtį rinkoje, atrasti problemines sri</w:t>
      </w:r>
      <w:r w:rsidR="000F3800">
        <w:rPr>
          <w:rFonts w:ascii="Times New Roman" w:eastAsia="Calibri" w:hAnsi="Times New Roman" w:cs="Times New Roman"/>
          <w:i/>
          <w:sz w:val="24"/>
          <w:szCs w:val="24"/>
        </w:rPr>
        <w:t xml:space="preserve">tis, nustatyti perspektyvas, veiklos tęstinumo galimybes; 2. investuotojus pasirinkti tinkamą įmonę investavimui pagal toleranciją rizikai ir reikalaujamą pelningumą; 3. </w:t>
      </w:r>
      <w:r w:rsidR="00AA63B7">
        <w:rPr>
          <w:rFonts w:ascii="Times New Roman" w:eastAsia="Calibri" w:hAnsi="Times New Roman" w:cs="Times New Roman"/>
          <w:i/>
          <w:sz w:val="24"/>
          <w:szCs w:val="24"/>
        </w:rPr>
        <w:t>k</w:t>
      </w:r>
      <w:r w:rsidR="000F3800">
        <w:rPr>
          <w:rFonts w:ascii="Times New Roman" w:eastAsia="Calibri" w:hAnsi="Times New Roman" w:cs="Times New Roman"/>
          <w:i/>
          <w:sz w:val="24"/>
          <w:szCs w:val="24"/>
        </w:rPr>
        <w:t>reditorius priimti sprendimą dėl paskolos su</w:t>
      </w:r>
      <w:r w:rsidR="00AA63B7">
        <w:rPr>
          <w:rFonts w:ascii="Times New Roman" w:eastAsia="Calibri" w:hAnsi="Times New Roman" w:cs="Times New Roman"/>
          <w:i/>
          <w:sz w:val="24"/>
          <w:szCs w:val="24"/>
        </w:rPr>
        <w:t>teikimo, jos sąlygų bei terminų;</w:t>
      </w:r>
      <w:r w:rsidR="000F3800">
        <w:rPr>
          <w:rFonts w:ascii="Times New Roman" w:eastAsia="Calibri" w:hAnsi="Times New Roman" w:cs="Times New Roman"/>
          <w:i/>
          <w:sz w:val="24"/>
          <w:szCs w:val="24"/>
        </w:rPr>
        <w:t xml:space="preserve"> </w:t>
      </w:r>
      <w:r w:rsidR="00A305E2" w:rsidRPr="00A305E2">
        <w:rPr>
          <w:rFonts w:ascii="Times New Roman" w:eastAsia="Calibri" w:hAnsi="Times New Roman" w:cs="Times New Roman"/>
          <w:i/>
          <w:sz w:val="24"/>
          <w:szCs w:val="24"/>
        </w:rPr>
        <w:t xml:space="preserve"> </w:t>
      </w:r>
    </w:p>
    <w:p w14:paraId="272DE228" w14:textId="77777777" w:rsidR="00A305E2" w:rsidRPr="00A305E2" w:rsidRDefault="00A305E2" w:rsidP="00447752">
      <w:pPr>
        <w:numPr>
          <w:ilvl w:val="0"/>
          <w:numId w:val="15"/>
        </w:numPr>
        <w:tabs>
          <w:tab w:val="clear" w:pos="1260"/>
          <w:tab w:val="left" w:pos="540"/>
          <w:tab w:val="left" w:pos="851"/>
        </w:tabs>
        <w:spacing w:after="0" w:line="360" w:lineRule="auto"/>
        <w:ind w:left="851" w:hanging="284"/>
        <w:jc w:val="both"/>
        <w:rPr>
          <w:rFonts w:ascii="Times New Roman" w:eastAsia="Calibri" w:hAnsi="Times New Roman" w:cs="Times New Roman"/>
          <w:i/>
          <w:sz w:val="24"/>
          <w:szCs w:val="24"/>
        </w:rPr>
      </w:pPr>
      <w:r>
        <w:rPr>
          <w:rFonts w:ascii="Times New Roman" w:hAnsi="Times New Roman" w:cs="Times New Roman"/>
          <w:i/>
          <w:sz w:val="24"/>
          <w:szCs w:val="24"/>
        </w:rPr>
        <w:lastRenderedPageBreak/>
        <w:t xml:space="preserve">Apibendrinant įvairių autorių likvidumo apibrėžimus galima teigti, jog </w:t>
      </w:r>
      <w:r w:rsidR="007D4841">
        <w:rPr>
          <w:rFonts w:ascii="Times New Roman" w:hAnsi="Times New Roman" w:cs="Times New Roman"/>
          <w:i/>
          <w:sz w:val="24"/>
          <w:szCs w:val="24"/>
        </w:rPr>
        <w:t xml:space="preserve">įmonės </w:t>
      </w:r>
      <w:r>
        <w:rPr>
          <w:rFonts w:ascii="Times New Roman" w:hAnsi="Times New Roman" w:cs="Times New Roman"/>
          <w:i/>
          <w:sz w:val="24"/>
          <w:szCs w:val="24"/>
        </w:rPr>
        <w:t xml:space="preserve">likvidumas </w:t>
      </w:r>
      <w:r w:rsidR="007D4841">
        <w:rPr>
          <w:rFonts w:ascii="Times New Roman" w:hAnsi="Times New Roman" w:cs="Times New Roman"/>
          <w:i/>
          <w:sz w:val="24"/>
          <w:szCs w:val="24"/>
        </w:rPr>
        <w:t xml:space="preserve">yra </w:t>
      </w:r>
      <w:r>
        <w:rPr>
          <w:rFonts w:ascii="Times New Roman" w:hAnsi="Times New Roman" w:cs="Times New Roman"/>
          <w:i/>
          <w:sz w:val="24"/>
          <w:szCs w:val="24"/>
        </w:rPr>
        <w:t>galimybė turtą paversti pinigais per trumpą laiko tarpą ir su minimaliomis sąnaudomis.</w:t>
      </w:r>
      <w:r w:rsidR="000F3800">
        <w:rPr>
          <w:rFonts w:ascii="Times New Roman" w:hAnsi="Times New Roman" w:cs="Times New Roman"/>
          <w:i/>
          <w:sz w:val="24"/>
          <w:szCs w:val="24"/>
        </w:rPr>
        <w:t xml:space="preserve"> </w:t>
      </w:r>
      <w:r w:rsidR="007D4841">
        <w:rPr>
          <w:rFonts w:ascii="Times New Roman" w:hAnsi="Times New Roman" w:cs="Times New Roman"/>
          <w:i/>
          <w:sz w:val="24"/>
          <w:szCs w:val="24"/>
        </w:rPr>
        <w:t>Taigi, k</w:t>
      </w:r>
      <w:r w:rsidR="000F3800">
        <w:rPr>
          <w:rFonts w:ascii="Times New Roman" w:hAnsi="Times New Roman" w:cs="Times New Roman"/>
          <w:i/>
          <w:sz w:val="24"/>
          <w:szCs w:val="24"/>
        </w:rPr>
        <w:t>uomet kalbama apie įmonių likvidumą, dažniausiai turima omeny trumpalaik</w:t>
      </w:r>
      <w:r w:rsidR="00AA63B7">
        <w:rPr>
          <w:rFonts w:ascii="Times New Roman" w:hAnsi="Times New Roman" w:cs="Times New Roman"/>
          <w:i/>
          <w:sz w:val="24"/>
          <w:szCs w:val="24"/>
        </w:rPr>
        <w:t>io turto likvidumas;</w:t>
      </w:r>
    </w:p>
    <w:p w14:paraId="2649D7EC" w14:textId="77777777" w:rsidR="007D4841" w:rsidRDefault="007D4841" w:rsidP="00447752">
      <w:pPr>
        <w:numPr>
          <w:ilvl w:val="0"/>
          <w:numId w:val="15"/>
        </w:numPr>
        <w:tabs>
          <w:tab w:val="clear" w:pos="1260"/>
          <w:tab w:val="left" w:pos="540"/>
          <w:tab w:val="left" w:pos="851"/>
        </w:tabs>
        <w:spacing w:after="0" w:line="360" w:lineRule="auto"/>
        <w:ind w:left="851" w:hanging="284"/>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Balansas yra pagrindinis duomenų šaltinis likvidumui vertinti. Atitinkamai, pagal balanso lygybės puses, įmonių likvidumą įtakoja finansavimo ir investavimo sprendimai. </w:t>
      </w:r>
      <w:r w:rsidR="00D42E6F">
        <w:rPr>
          <w:rFonts w:ascii="Times New Roman" w:eastAsia="Calibri" w:hAnsi="Times New Roman" w:cs="Times New Roman"/>
          <w:i/>
          <w:sz w:val="24"/>
          <w:szCs w:val="24"/>
        </w:rPr>
        <w:t xml:space="preserve">Kuo didesnė trumpalaikio turto dalis bendrame įmonės turte, tuo didesnis likvidumas. </w:t>
      </w:r>
      <w:r w:rsidR="00435351">
        <w:rPr>
          <w:rFonts w:ascii="Times New Roman" w:eastAsia="Calibri" w:hAnsi="Times New Roman" w:cs="Times New Roman"/>
          <w:i/>
          <w:sz w:val="24"/>
          <w:szCs w:val="24"/>
        </w:rPr>
        <w:t>L</w:t>
      </w:r>
      <w:r w:rsidR="00AA63B7">
        <w:rPr>
          <w:rFonts w:ascii="Times New Roman" w:eastAsia="Calibri" w:hAnsi="Times New Roman" w:cs="Times New Roman"/>
          <w:i/>
          <w:sz w:val="24"/>
          <w:szCs w:val="24"/>
        </w:rPr>
        <w:t>ygiai tai</w:t>
      </w:r>
      <w:r w:rsidR="00435351">
        <w:rPr>
          <w:rFonts w:ascii="Times New Roman" w:eastAsia="Calibri" w:hAnsi="Times New Roman" w:cs="Times New Roman"/>
          <w:i/>
          <w:sz w:val="24"/>
          <w:szCs w:val="24"/>
        </w:rPr>
        <w:t>p pat su finansavimo šaltiniais:</w:t>
      </w:r>
      <w:r w:rsidR="00AA63B7">
        <w:rPr>
          <w:rFonts w:ascii="Times New Roman" w:eastAsia="Calibri" w:hAnsi="Times New Roman" w:cs="Times New Roman"/>
          <w:i/>
          <w:sz w:val="24"/>
          <w:szCs w:val="24"/>
        </w:rPr>
        <w:t xml:space="preserve"> kuo mažes</w:t>
      </w:r>
      <w:r w:rsidR="009E52D6">
        <w:rPr>
          <w:rFonts w:ascii="Times New Roman" w:eastAsia="Calibri" w:hAnsi="Times New Roman" w:cs="Times New Roman"/>
          <w:i/>
          <w:sz w:val="24"/>
          <w:szCs w:val="24"/>
        </w:rPr>
        <w:t>n</w:t>
      </w:r>
      <w:r w:rsidR="00AA63B7">
        <w:rPr>
          <w:rFonts w:ascii="Times New Roman" w:eastAsia="Calibri" w:hAnsi="Times New Roman" w:cs="Times New Roman"/>
          <w:i/>
          <w:sz w:val="24"/>
          <w:szCs w:val="24"/>
        </w:rPr>
        <w:t>is trumpalaikių įsipareigojimų ir viso turto santykis, tuo didesnis likvidumas. Šių sprendimų</w:t>
      </w:r>
      <w:r>
        <w:rPr>
          <w:rFonts w:ascii="Times New Roman" w:eastAsia="Calibri" w:hAnsi="Times New Roman" w:cs="Times New Roman"/>
          <w:i/>
          <w:sz w:val="24"/>
          <w:szCs w:val="24"/>
        </w:rPr>
        <w:t xml:space="preserve"> pasirinkimą lemia įmo</w:t>
      </w:r>
      <w:r w:rsidR="00464CDA">
        <w:rPr>
          <w:rFonts w:ascii="Times New Roman" w:eastAsia="Calibri" w:hAnsi="Times New Roman" w:cs="Times New Roman"/>
          <w:i/>
          <w:sz w:val="24"/>
          <w:szCs w:val="24"/>
        </w:rPr>
        <w:t>nės veiklos pobūdis ir politika;</w:t>
      </w:r>
    </w:p>
    <w:p w14:paraId="79ED45D5" w14:textId="77777777" w:rsidR="00A305E2" w:rsidRDefault="007D4841" w:rsidP="00447752">
      <w:pPr>
        <w:numPr>
          <w:ilvl w:val="0"/>
          <w:numId w:val="15"/>
        </w:numPr>
        <w:tabs>
          <w:tab w:val="clear" w:pos="1260"/>
          <w:tab w:val="left" w:pos="540"/>
          <w:tab w:val="left" w:pos="851"/>
        </w:tabs>
        <w:spacing w:after="0" w:line="360" w:lineRule="auto"/>
        <w:ind w:left="851" w:hanging="284"/>
        <w:jc w:val="both"/>
        <w:rPr>
          <w:rFonts w:ascii="Times New Roman" w:eastAsia="Calibri" w:hAnsi="Times New Roman" w:cs="Times New Roman"/>
          <w:i/>
          <w:sz w:val="24"/>
          <w:szCs w:val="24"/>
        </w:rPr>
      </w:pPr>
      <w:r>
        <w:rPr>
          <w:rFonts w:ascii="Times New Roman" w:eastAsia="Calibri" w:hAnsi="Times New Roman" w:cs="Times New Roman"/>
          <w:i/>
          <w:sz w:val="24"/>
          <w:szCs w:val="24"/>
        </w:rPr>
        <w:t>Pinigų srautų ataskait</w:t>
      </w:r>
      <w:r w:rsidR="00AA63B7">
        <w:rPr>
          <w:rFonts w:ascii="Times New Roman" w:eastAsia="Calibri" w:hAnsi="Times New Roman" w:cs="Times New Roman"/>
          <w:i/>
          <w:sz w:val="24"/>
          <w:szCs w:val="24"/>
        </w:rPr>
        <w:t>a yra svarbus informacijos ir duomenų šaltinis likvidumui vertinti, tačiau</w:t>
      </w:r>
      <w:r w:rsidR="00464CDA">
        <w:rPr>
          <w:rFonts w:ascii="Times New Roman" w:eastAsia="Calibri" w:hAnsi="Times New Roman" w:cs="Times New Roman"/>
          <w:i/>
          <w:sz w:val="24"/>
          <w:szCs w:val="24"/>
        </w:rPr>
        <w:t xml:space="preserve"> tiek Lietuvos, tiek užsienio autorių moksliniuose darbuose pagrindinis dėmesys skiriamas balanso analizei;</w:t>
      </w:r>
      <w:r>
        <w:rPr>
          <w:rFonts w:ascii="Times New Roman" w:eastAsia="Calibri" w:hAnsi="Times New Roman" w:cs="Times New Roman"/>
          <w:i/>
          <w:sz w:val="24"/>
          <w:szCs w:val="24"/>
        </w:rPr>
        <w:t xml:space="preserve"> </w:t>
      </w:r>
    </w:p>
    <w:p w14:paraId="1E9CF910" w14:textId="77777777" w:rsidR="00D42E6F" w:rsidRDefault="00D42E6F" w:rsidP="00447752">
      <w:pPr>
        <w:numPr>
          <w:ilvl w:val="0"/>
          <w:numId w:val="15"/>
        </w:numPr>
        <w:tabs>
          <w:tab w:val="clear" w:pos="1260"/>
          <w:tab w:val="left" w:pos="540"/>
          <w:tab w:val="left" w:pos="851"/>
        </w:tabs>
        <w:spacing w:after="0" w:line="360" w:lineRule="auto"/>
        <w:ind w:left="851" w:hanging="284"/>
        <w:jc w:val="both"/>
        <w:rPr>
          <w:rFonts w:ascii="Times New Roman" w:eastAsia="Calibri" w:hAnsi="Times New Roman" w:cs="Times New Roman"/>
          <w:i/>
          <w:sz w:val="24"/>
          <w:szCs w:val="24"/>
        </w:rPr>
      </w:pPr>
      <w:r>
        <w:rPr>
          <w:rFonts w:ascii="Times New Roman" w:eastAsia="Calibri" w:hAnsi="Times New Roman" w:cs="Times New Roman"/>
          <w:i/>
          <w:sz w:val="24"/>
          <w:szCs w:val="24"/>
        </w:rPr>
        <w:t>Likvidumo rizika suvokiama kaip tikimybė, jog įmonė artimiausiu metu taps nemoki dėl galimybės</w:t>
      </w:r>
      <w:r w:rsidR="00C17639">
        <w:rPr>
          <w:rFonts w:ascii="Times New Roman" w:eastAsia="Calibri" w:hAnsi="Times New Roman" w:cs="Times New Roman"/>
          <w:i/>
          <w:sz w:val="24"/>
          <w:szCs w:val="24"/>
        </w:rPr>
        <w:t xml:space="preserve"> nebuvimo</w:t>
      </w:r>
      <w:r>
        <w:rPr>
          <w:rFonts w:ascii="Times New Roman" w:eastAsia="Calibri" w:hAnsi="Times New Roman" w:cs="Times New Roman"/>
          <w:i/>
          <w:sz w:val="24"/>
          <w:szCs w:val="24"/>
        </w:rPr>
        <w:t xml:space="preserve"> turtą paversti grynais</w:t>
      </w:r>
      <w:r w:rsidR="00435351">
        <w:rPr>
          <w:rFonts w:ascii="Times New Roman" w:eastAsia="Calibri" w:hAnsi="Times New Roman" w:cs="Times New Roman"/>
          <w:i/>
          <w:sz w:val="24"/>
          <w:szCs w:val="24"/>
        </w:rPr>
        <w:t>iais</w:t>
      </w:r>
      <w:r>
        <w:rPr>
          <w:rFonts w:ascii="Times New Roman" w:eastAsia="Calibri" w:hAnsi="Times New Roman" w:cs="Times New Roman"/>
          <w:i/>
          <w:sz w:val="24"/>
          <w:szCs w:val="24"/>
        </w:rPr>
        <w:t xml:space="preserve"> pinigais. Ši rizika siejama su įmonės prestižu, konkurencingumu, finansiniais sunkumais ir veiklos tęstin</w:t>
      </w:r>
      <w:r w:rsidR="00AA63B7">
        <w:rPr>
          <w:rFonts w:ascii="Times New Roman" w:eastAsia="Calibri" w:hAnsi="Times New Roman" w:cs="Times New Roman"/>
          <w:i/>
          <w:sz w:val="24"/>
          <w:szCs w:val="24"/>
        </w:rPr>
        <w:t>umo galimybe.</w:t>
      </w:r>
    </w:p>
    <w:p w14:paraId="070B97E2" w14:textId="77777777" w:rsidR="00AA63B7" w:rsidRPr="00AA63B7" w:rsidRDefault="00AA63B7" w:rsidP="00435351">
      <w:pPr>
        <w:tabs>
          <w:tab w:val="left" w:pos="540"/>
          <w:tab w:val="left" w:pos="720"/>
        </w:tabs>
        <w:spacing w:after="0" w:line="360" w:lineRule="auto"/>
        <w:ind w:firstLine="567"/>
        <w:jc w:val="both"/>
        <w:rPr>
          <w:rFonts w:ascii="Times New Roman" w:eastAsia="Calibri" w:hAnsi="Times New Roman" w:cs="Times New Roman"/>
          <w:i/>
          <w:sz w:val="24"/>
          <w:szCs w:val="24"/>
        </w:rPr>
      </w:pPr>
      <w:r w:rsidRPr="00AA63B7">
        <w:rPr>
          <w:rFonts w:ascii="Times New Roman" w:hAnsi="Times New Roman" w:cs="Times New Roman"/>
          <w:i/>
          <w:sz w:val="24"/>
          <w:szCs w:val="24"/>
        </w:rPr>
        <w:t xml:space="preserve">Toliau darbe pateikiami likvidumo rodikliai įvertinant jų objektyvumą, ribotumą bei tobulinimo galimybes, kurie formuojami remiantis ankstesniuose </w:t>
      </w:r>
      <w:r>
        <w:rPr>
          <w:rFonts w:ascii="Times New Roman" w:hAnsi="Times New Roman" w:cs="Times New Roman"/>
          <w:i/>
          <w:sz w:val="24"/>
          <w:szCs w:val="24"/>
        </w:rPr>
        <w:t>poskyriuose išanalizuota moksline literatūra.</w:t>
      </w:r>
    </w:p>
    <w:p w14:paraId="62CE6E00" w14:textId="77777777" w:rsidR="00A305E2" w:rsidRPr="00A305E2" w:rsidRDefault="00A305E2" w:rsidP="00EB2DFA">
      <w:pPr>
        <w:spacing w:after="0" w:line="360" w:lineRule="auto"/>
        <w:ind w:firstLine="567"/>
        <w:jc w:val="both"/>
        <w:rPr>
          <w:rFonts w:ascii="Times New Roman" w:hAnsi="Times New Roman" w:cs="Times New Roman"/>
          <w:i/>
          <w:sz w:val="24"/>
          <w:szCs w:val="24"/>
        </w:rPr>
      </w:pPr>
    </w:p>
    <w:p w14:paraId="245ED8FB" w14:textId="77777777" w:rsidR="00AA7DFF" w:rsidRPr="00AA7DFF" w:rsidRDefault="00AA7DFF" w:rsidP="00FB256F">
      <w:pPr>
        <w:spacing w:after="0" w:line="360" w:lineRule="auto"/>
        <w:ind w:firstLine="567"/>
        <w:jc w:val="both"/>
        <w:rPr>
          <w:rFonts w:ascii="Times New Roman" w:hAnsi="Times New Roman"/>
          <w:sz w:val="24"/>
          <w:szCs w:val="24"/>
        </w:rPr>
      </w:pPr>
    </w:p>
    <w:p w14:paraId="65B6ECFF" w14:textId="77777777" w:rsidR="00AA7DFF" w:rsidRPr="00AA7DFF" w:rsidRDefault="00AA7DFF" w:rsidP="00AA7DFF">
      <w:pPr>
        <w:spacing w:after="0" w:line="360" w:lineRule="auto"/>
        <w:jc w:val="both"/>
        <w:rPr>
          <w:rFonts w:ascii="Times New Roman" w:hAnsi="Times New Roman" w:cs="Times New Roman"/>
          <w:color w:val="FF0000"/>
          <w:sz w:val="24"/>
          <w:szCs w:val="24"/>
        </w:rPr>
      </w:pPr>
    </w:p>
    <w:p w14:paraId="35AEEE58" w14:textId="77777777" w:rsidR="00C17639" w:rsidRDefault="00C17639" w:rsidP="00F95601">
      <w:pPr>
        <w:spacing w:after="0"/>
        <w:jc w:val="both"/>
        <w:rPr>
          <w:rFonts w:ascii="Times New Roman" w:hAnsi="Times New Roman" w:cs="Times New Roman"/>
          <w:sz w:val="24"/>
          <w:szCs w:val="24"/>
        </w:rPr>
      </w:pPr>
    </w:p>
    <w:p w14:paraId="12FA7B8A" w14:textId="77777777" w:rsidR="00217E5E" w:rsidRDefault="00217E5E" w:rsidP="00F95601">
      <w:pPr>
        <w:spacing w:after="0"/>
        <w:jc w:val="both"/>
        <w:rPr>
          <w:rFonts w:ascii="Times New Roman" w:hAnsi="Times New Roman" w:cs="Times New Roman"/>
          <w:sz w:val="24"/>
          <w:szCs w:val="24"/>
        </w:rPr>
      </w:pPr>
    </w:p>
    <w:p w14:paraId="2E62213E" w14:textId="77777777" w:rsidR="00217E5E" w:rsidRDefault="00217E5E" w:rsidP="00F95601">
      <w:pPr>
        <w:spacing w:after="0"/>
        <w:jc w:val="both"/>
        <w:rPr>
          <w:rFonts w:ascii="Times New Roman" w:hAnsi="Times New Roman" w:cs="Times New Roman"/>
          <w:sz w:val="24"/>
          <w:szCs w:val="24"/>
        </w:rPr>
      </w:pPr>
    </w:p>
    <w:p w14:paraId="05A225A3" w14:textId="77777777" w:rsidR="00435351" w:rsidRDefault="00435351" w:rsidP="00F95601">
      <w:pPr>
        <w:spacing w:after="0"/>
        <w:jc w:val="both"/>
        <w:rPr>
          <w:rFonts w:ascii="Times New Roman" w:hAnsi="Times New Roman" w:cs="Times New Roman"/>
          <w:sz w:val="24"/>
          <w:szCs w:val="24"/>
        </w:rPr>
      </w:pPr>
    </w:p>
    <w:p w14:paraId="388A9716" w14:textId="77777777" w:rsidR="00435351" w:rsidRDefault="00435351" w:rsidP="00F95601">
      <w:pPr>
        <w:spacing w:after="0"/>
        <w:jc w:val="both"/>
        <w:rPr>
          <w:rFonts w:ascii="Times New Roman" w:hAnsi="Times New Roman" w:cs="Times New Roman"/>
          <w:sz w:val="24"/>
          <w:szCs w:val="24"/>
        </w:rPr>
      </w:pPr>
    </w:p>
    <w:p w14:paraId="37D2FBA9" w14:textId="77777777" w:rsidR="00435351" w:rsidRDefault="00435351" w:rsidP="00F95601">
      <w:pPr>
        <w:spacing w:after="0"/>
        <w:jc w:val="both"/>
        <w:rPr>
          <w:rFonts w:ascii="Times New Roman" w:hAnsi="Times New Roman" w:cs="Times New Roman"/>
          <w:sz w:val="24"/>
          <w:szCs w:val="24"/>
        </w:rPr>
      </w:pPr>
    </w:p>
    <w:p w14:paraId="340D65FA" w14:textId="77777777" w:rsidR="00435351" w:rsidRDefault="00435351" w:rsidP="00F95601">
      <w:pPr>
        <w:spacing w:after="0"/>
        <w:jc w:val="both"/>
        <w:rPr>
          <w:rFonts w:ascii="Times New Roman" w:hAnsi="Times New Roman" w:cs="Times New Roman"/>
          <w:sz w:val="24"/>
          <w:szCs w:val="24"/>
        </w:rPr>
      </w:pPr>
    </w:p>
    <w:p w14:paraId="010DEAA9" w14:textId="77777777" w:rsidR="00435351" w:rsidRDefault="00435351" w:rsidP="00F95601">
      <w:pPr>
        <w:spacing w:after="0"/>
        <w:jc w:val="both"/>
        <w:rPr>
          <w:rFonts w:ascii="Times New Roman" w:hAnsi="Times New Roman" w:cs="Times New Roman"/>
          <w:sz w:val="24"/>
          <w:szCs w:val="24"/>
        </w:rPr>
      </w:pPr>
    </w:p>
    <w:p w14:paraId="0DF009C6" w14:textId="77777777" w:rsidR="00435351" w:rsidRDefault="00435351" w:rsidP="00F95601">
      <w:pPr>
        <w:spacing w:after="0"/>
        <w:jc w:val="both"/>
        <w:rPr>
          <w:rFonts w:ascii="Times New Roman" w:hAnsi="Times New Roman" w:cs="Times New Roman"/>
          <w:sz w:val="24"/>
          <w:szCs w:val="24"/>
        </w:rPr>
      </w:pPr>
    </w:p>
    <w:p w14:paraId="4CB3A322" w14:textId="77777777" w:rsidR="00435351" w:rsidRDefault="00435351" w:rsidP="00F95601">
      <w:pPr>
        <w:spacing w:after="0"/>
        <w:jc w:val="both"/>
        <w:rPr>
          <w:rFonts w:ascii="Times New Roman" w:hAnsi="Times New Roman" w:cs="Times New Roman"/>
          <w:sz w:val="24"/>
          <w:szCs w:val="24"/>
        </w:rPr>
      </w:pPr>
    </w:p>
    <w:p w14:paraId="22862928" w14:textId="77777777" w:rsidR="00435351" w:rsidRDefault="00435351" w:rsidP="00F95601">
      <w:pPr>
        <w:spacing w:after="0"/>
        <w:jc w:val="both"/>
        <w:rPr>
          <w:rFonts w:ascii="Times New Roman" w:hAnsi="Times New Roman" w:cs="Times New Roman"/>
          <w:sz w:val="24"/>
          <w:szCs w:val="24"/>
        </w:rPr>
      </w:pPr>
    </w:p>
    <w:p w14:paraId="0FE59E94" w14:textId="77777777" w:rsidR="00435351" w:rsidRDefault="00435351" w:rsidP="00F95601">
      <w:pPr>
        <w:spacing w:after="0"/>
        <w:jc w:val="both"/>
        <w:rPr>
          <w:rFonts w:ascii="Times New Roman" w:hAnsi="Times New Roman" w:cs="Times New Roman"/>
          <w:sz w:val="24"/>
          <w:szCs w:val="24"/>
        </w:rPr>
      </w:pPr>
    </w:p>
    <w:p w14:paraId="77014C55" w14:textId="77777777" w:rsidR="00435351" w:rsidRDefault="00435351" w:rsidP="00F95601">
      <w:pPr>
        <w:spacing w:after="0"/>
        <w:jc w:val="both"/>
        <w:rPr>
          <w:rFonts w:ascii="Times New Roman" w:hAnsi="Times New Roman" w:cs="Times New Roman"/>
          <w:sz w:val="24"/>
          <w:szCs w:val="24"/>
        </w:rPr>
      </w:pPr>
    </w:p>
    <w:p w14:paraId="07DA5E68" w14:textId="77777777" w:rsidR="00435351" w:rsidRDefault="00435351" w:rsidP="00F95601">
      <w:pPr>
        <w:spacing w:after="0"/>
        <w:jc w:val="both"/>
        <w:rPr>
          <w:rFonts w:ascii="Times New Roman" w:hAnsi="Times New Roman" w:cs="Times New Roman"/>
          <w:sz w:val="24"/>
          <w:szCs w:val="24"/>
        </w:rPr>
      </w:pPr>
    </w:p>
    <w:p w14:paraId="5F646344" w14:textId="77777777" w:rsidR="00435351" w:rsidRDefault="00435351" w:rsidP="00F95601">
      <w:pPr>
        <w:spacing w:after="0"/>
        <w:jc w:val="both"/>
        <w:rPr>
          <w:rFonts w:ascii="Times New Roman" w:hAnsi="Times New Roman" w:cs="Times New Roman"/>
          <w:sz w:val="24"/>
          <w:szCs w:val="24"/>
        </w:rPr>
      </w:pPr>
    </w:p>
    <w:p w14:paraId="29411D58" w14:textId="77777777" w:rsidR="00435351" w:rsidRDefault="00435351" w:rsidP="00F95601">
      <w:pPr>
        <w:spacing w:after="0"/>
        <w:jc w:val="both"/>
        <w:rPr>
          <w:rFonts w:ascii="Times New Roman" w:hAnsi="Times New Roman" w:cs="Times New Roman"/>
          <w:sz w:val="24"/>
          <w:szCs w:val="24"/>
        </w:rPr>
      </w:pPr>
    </w:p>
    <w:p w14:paraId="420F7330" w14:textId="77777777" w:rsidR="00435351" w:rsidRDefault="00435351" w:rsidP="00F95601">
      <w:pPr>
        <w:spacing w:after="0"/>
        <w:jc w:val="both"/>
        <w:rPr>
          <w:rFonts w:ascii="Times New Roman" w:hAnsi="Times New Roman" w:cs="Times New Roman"/>
          <w:sz w:val="24"/>
          <w:szCs w:val="24"/>
        </w:rPr>
      </w:pPr>
    </w:p>
    <w:p w14:paraId="65C2D772" w14:textId="77777777" w:rsidR="00435351" w:rsidRDefault="00435351" w:rsidP="00F95601">
      <w:pPr>
        <w:spacing w:after="0"/>
        <w:jc w:val="both"/>
        <w:rPr>
          <w:rFonts w:ascii="Times New Roman" w:hAnsi="Times New Roman" w:cs="Times New Roman"/>
          <w:sz w:val="24"/>
          <w:szCs w:val="24"/>
        </w:rPr>
      </w:pPr>
    </w:p>
    <w:p w14:paraId="7ED0168A" w14:textId="77777777" w:rsidR="00435351" w:rsidRDefault="00435351" w:rsidP="00F95601">
      <w:pPr>
        <w:spacing w:after="0"/>
        <w:jc w:val="both"/>
        <w:rPr>
          <w:rFonts w:ascii="Times New Roman" w:hAnsi="Times New Roman" w:cs="Times New Roman"/>
          <w:sz w:val="24"/>
          <w:szCs w:val="24"/>
        </w:rPr>
      </w:pPr>
    </w:p>
    <w:p w14:paraId="74BC57DD" w14:textId="77777777" w:rsidR="00217E5E" w:rsidRPr="00AB0430" w:rsidRDefault="00217E5E" w:rsidP="00AB0430">
      <w:pPr>
        <w:spacing w:after="0"/>
        <w:rPr>
          <w:rFonts w:ascii="Times New Roman" w:hAnsi="Times New Roman" w:cs="Times New Roman"/>
          <w:b/>
          <w:sz w:val="28"/>
          <w:szCs w:val="28"/>
        </w:rPr>
      </w:pPr>
    </w:p>
    <w:p w14:paraId="7883A10F" w14:textId="77777777" w:rsidR="00884805" w:rsidRPr="007742F5" w:rsidRDefault="00554BA3" w:rsidP="00447752">
      <w:pPr>
        <w:pStyle w:val="Heading1"/>
        <w:numPr>
          <w:ilvl w:val="0"/>
          <w:numId w:val="26"/>
        </w:numPr>
        <w:spacing w:before="0" w:line="360" w:lineRule="auto"/>
        <w:ind w:left="284" w:hanging="284"/>
        <w:jc w:val="center"/>
        <w:rPr>
          <w:b w:val="0"/>
        </w:rPr>
      </w:pPr>
      <w:bookmarkStart w:id="60" w:name="_Toc353730656"/>
      <w:r w:rsidRPr="007742F5">
        <w:rPr>
          <w:rStyle w:val="1antChar"/>
          <w:rFonts w:eastAsiaTheme="majorEastAsia"/>
          <w:b/>
          <w:color w:val="auto"/>
        </w:rPr>
        <w:t>RODIKLIAI ĮMONIŲ LIKVIDUMUI VERTINTI</w:t>
      </w:r>
      <w:bookmarkEnd w:id="60"/>
    </w:p>
    <w:p w14:paraId="6CC6AC51" w14:textId="77777777" w:rsidR="005D0E13" w:rsidRDefault="005D0E13" w:rsidP="005D0E13">
      <w:pPr>
        <w:spacing w:after="0" w:line="360" w:lineRule="auto"/>
        <w:jc w:val="both"/>
        <w:rPr>
          <w:rFonts w:ascii="Times New Roman" w:hAnsi="Times New Roman" w:cs="Times New Roman"/>
          <w:sz w:val="24"/>
          <w:szCs w:val="24"/>
        </w:rPr>
      </w:pPr>
    </w:p>
    <w:p w14:paraId="1CCD809C" w14:textId="77777777" w:rsidR="00992746" w:rsidRPr="005D0E13" w:rsidRDefault="00CB2C9F" w:rsidP="0099274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Iš įvairių metodų likvidumui </w:t>
      </w:r>
      <w:r w:rsidR="005D0E13">
        <w:rPr>
          <w:rFonts w:ascii="Times New Roman" w:hAnsi="Times New Roman" w:cs="Times New Roman"/>
          <w:sz w:val="24"/>
          <w:szCs w:val="24"/>
        </w:rPr>
        <w:t>analizuoti</w:t>
      </w:r>
      <w:r>
        <w:rPr>
          <w:rFonts w:ascii="Times New Roman" w:hAnsi="Times New Roman" w:cs="Times New Roman"/>
          <w:sz w:val="24"/>
          <w:szCs w:val="24"/>
        </w:rPr>
        <w:t xml:space="preserve"> dažniausiai naudojami finansiniai rodikliai. </w:t>
      </w:r>
      <w:r w:rsidR="00992746" w:rsidRPr="005D0E13">
        <w:rPr>
          <w:rFonts w:ascii="Times New Roman" w:hAnsi="Times New Roman" w:cs="Times New Roman"/>
          <w:sz w:val="24"/>
          <w:szCs w:val="24"/>
        </w:rPr>
        <w:t>Likvidumas matuojamas ir vertinamas naudojant finansinių ro</w:t>
      </w:r>
      <w:r w:rsidR="00433618">
        <w:rPr>
          <w:rFonts w:ascii="Times New Roman" w:hAnsi="Times New Roman" w:cs="Times New Roman"/>
          <w:sz w:val="24"/>
          <w:szCs w:val="24"/>
        </w:rPr>
        <w:t>diklių sistemą. Šie rodikliai ap</w:t>
      </w:r>
      <w:r w:rsidR="00992746" w:rsidRPr="005D0E13">
        <w:rPr>
          <w:rFonts w:ascii="Times New Roman" w:hAnsi="Times New Roman" w:cs="Times New Roman"/>
          <w:sz w:val="24"/>
          <w:szCs w:val="24"/>
        </w:rPr>
        <w:t>ibūdina įmonės finansinę padėtį, jos galimybę generuoti pakankamą kiekį pinigų tam, kad padeng</w:t>
      </w:r>
      <w:r w:rsidR="00A00EA6">
        <w:rPr>
          <w:rFonts w:ascii="Times New Roman" w:hAnsi="Times New Roman" w:cs="Times New Roman"/>
          <w:sz w:val="24"/>
          <w:szCs w:val="24"/>
        </w:rPr>
        <w:t>tų</w:t>
      </w:r>
      <w:r w:rsidR="00992746" w:rsidRPr="005D0E13">
        <w:rPr>
          <w:rFonts w:ascii="Times New Roman" w:hAnsi="Times New Roman" w:cs="Times New Roman"/>
          <w:sz w:val="24"/>
          <w:szCs w:val="24"/>
        </w:rPr>
        <w:t xml:space="preserve"> einamus mokėjimus</w:t>
      </w:r>
      <w:r w:rsidR="00A00EA6">
        <w:rPr>
          <w:rFonts w:ascii="Times New Roman" w:hAnsi="Times New Roman" w:cs="Times New Roman"/>
          <w:sz w:val="24"/>
          <w:szCs w:val="24"/>
        </w:rPr>
        <w:t>,</w:t>
      </w:r>
      <w:r w:rsidR="00992746">
        <w:rPr>
          <w:rFonts w:ascii="Times New Roman" w:hAnsi="Times New Roman" w:cs="Times New Roman"/>
          <w:sz w:val="24"/>
          <w:szCs w:val="24"/>
        </w:rPr>
        <w:t xml:space="preserve"> ir yra</w:t>
      </w:r>
      <w:r w:rsidR="00992746" w:rsidRPr="000B78FA">
        <w:rPr>
          <w:rFonts w:ascii="Times New Roman" w:hAnsi="Times New Roman" w:cs="Times New Roman"/>
          <w:sz w:val="24"/>
          <w:szCs w:val="24"/>
        </w:rPr>
        <w:t xml:space="preserve"> svarbūs visoms įmonėms, neprikla</w:t>
      </w:r>
      <w:r w:rsidR="00A00EA6">
        <w:rPr>
          <w:rFonts w:ascii="Times New Roman" w:hAnsi="Times New Roman" w:cs="Times New Roman"/>
          <w:sz w:val="24"/>
          <w:szCs w:val="24"/>
        </w:rPr>
        <w:t>usomai nuo jų dydžio ar veiklos</w:t>
      </w:r>
      <w:r w:rsidR="00992746" w:rsidRPr="000B78FA">
        <w:rPr>
          <w:rFonts w:ascii="Times New Roman" w:hAnsi="Times New Roman" w:cs="Times New Roman"/>
          <w:sz w:val="24"/>
          <w:szCs w:val="24"/>
        </w:rPr>
        <w:t xml:space="preserve"> pobūdžio (Berman, Knight, 2006). </w:t>
      </w:r>
      <w:r w:rsidR="00992746" w:rsidRPr="005D0E13">
        <w:rPr>
          <w:rFonts w:ascii="Times New Roman" w:hAnsi="Times New Roman" w:cs="Times New Roman"/>
          <w:sz w:val="24"/>
          <w:szCs w:val="24"/>
        </w:rPr>
        <w:t xml:space="preserve">Duomenys </w:t>
      </w:r>
      <w:r w:rsidR="00992746">
        <w:rPr>
          <w:rFonts w:ascii="Times New Roman" w:hAnsi="Times New Roman" w:cs="Times New Roman"/>
          <w:sz w:val="24"/>
          <w:szCs w:val="24"/>
        </w:rPr>
        <w:t>jiems</w:t>
      </w:r>
      <w:r w:rsidR="00992746" w:rsidRPr="005D0E13">
        <w:rPr>
          <w:rFonts w:ascii="Times New Roman" w:hAnsi="Times New Roman" w:cs="Times New Roman"/>
          <w:sz w:val="24"/>
          <w:szCs w:val="24"/>
        </w:rPr>
        <w:t xml:space="preserve"> skaičiuoti imami iš finansinių ataskaitų, </w:t>
      </w:r>
      <w:r w:rsidR="00A00EA6">
        <w:rPr>
          <w:rFonts w:ascii="Times New Roman" w:hAnsi="Times New Roman" w:cs="Times New Roman"/>
          <w:sz w:val="24"/>
          <w:szCs w:val="24"/>
        </w:rPr>
        <w:t>paprastai,</w:t>
      </w:r>
      <w:r w:rsidR="00992746" w:rsidRPr="005D0E13">
        <w:rPr>
          <w:rFonts w:ascii="Times New Roman" w:hAnsi="Times New Roman" w:cs="Times New Roman"/>
          <w:sz w:val="24"/>
          <w:szCs w:val="24"/>
        </w:rPr>
        <w:t xml:space="preserve"> iš balanso ir pinigų srautų ataskaitos. </w:t>
      </w:r>
      <w:r w:rsidR="004D7803">
        <w:rPr>
          <w:rFonts w:ascii="Times New Roman" w:hAnsi="Times New Roman" w:cs="Times New Roman"/>
          <w:sz w:val="24"/>
          <w:szCs w:val="24"/>
        </w:rPr>
        <w:t>Šiame skyriuje autorius analizuoja likvidumo rodiklius, kurie vėliau bus pritaikyti empirinėje dalyje.</w:t>
      </w:r>
    </w:p>
    <w:p w14:paraId="12CBAAC7" w14:textId="77777777" w:rsidR="005D0E13" w:rsidRDefault="005D0E13" w:rsidP="00992746">
      <w:pPr>
        <w:spacing w:after="0" w:line="360" w:lineRule="auto"/>
        <w:ind w:firstLine="567"/>
        <w:jc w:val="both"/>
        <w:rPr>
          <w:rFonts w:ascii="Times New Roman" w:hAnsi="Times New Roman" w:cs="Times New Roman"/>
          <w:sz w:val="24"/>
          <w:szCs w:val="24"/>
        </w:rPr>
      </w:pPr>
      <w:r w:rsidRPr="005D0E13">
        <w:rPr>
          <w:rFonts w:ascii="Times New Roman" w:hAnsi="Times New Roman" w:cs="Times New Roman"/>
          <w:sz w:val="24"/>
          <w:szCs w:val="24"/>
        </w:rPr>
        <w:t>Likvidumo rodikliai, kaip ir kiti finansinėje analizėje naudojami rodikliai</w:t>
      </w:r>
      <w:r w:rsidR="00A00EA6">
        <w:rPr>
          <w:rFonts w:ascii="Times New Roman" w:hAnsi="Times New Roman" w:cs="Times New Roman"/>
          <w:sz w:val="24"/>
          <w:szCs w:val="24"/>
        </w:rPr>
        <w:t>,</w:t>
      </w:r>
      <w:r w:rsidRPr="005D0E13">
        <w:rPr>
          <w:rFonts w:ascii="Times New Roman" w:hAnsi="Times New Roman" w:cs="Times New Roman"/>
          <w:sz w:val="24"/>
          <w:szCs w:val="24"/>
        </w:rPr>
        <w:t xml:space="preserve"> informatyviausi ne tuomet, kai jie išreiškiami absoliutine išraiška, bet tuomet, kai skaičiuojamas santykis ir tas santykis skaičiuojamas ne vienkartinis, o tam tikro laikotarpio</w:t>
      </w:r>
      <w:r w:rsidR="00A00EA6">
        <w:rPr>
          <w:rFonts w:ascii="Times New Roman" w:hAnsi="Times New Roman" w:cs="Times New Roman"/>
          <w:sz w:val="24"/>
          <w:szCs w:val="24"/>
        </w:rPr>
        <w:t>,</w:t>
      </w:r>
      <w:r w:rsidRPr="005D0E13">
        <w:rPr>
          <w:rFonts w:ascii="Times New Roman" w:hAnsi="Times New Roman" w:cs="Times New Roman"/>
          <w:sz w:val="24"/>
          <w:szCs w:val="24"/>
        </w:rPr>
        <w:t xml:space="preserve"> norint nustatyti tendenciją. Tai reikalinga, kad gautus duomenis būtų galima palyginti tiek su praėjusių laikotarpių duomenimis, tiek su kitų įmonių ar sektoriaus duomenimis. </w:t>
      </w:r>
    </w:p>
    <w:p w14:paraId="2A63606C" w14:textId="77777777" w:rsidR="00CB2C9F" w:rsidRDefault="00CB2C9F" w:rsidP="00CB2C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Praktikoje nuoseklus ir išsamus likvidumo įvertinimas yra sudėtinga užduotis. Visų pirma, didelė painiava ir neaiškumas atsiranda dėl trumpalaikio mokumo ir likvidumo rodiklių tapatinimo. Antra, įvairūs autoriai</w:t>
      </w:r>
      <w:r w:rsidR="00A00EA6">
        <w:rPr>
          <w:rFonts w:ascii="Times New Roman" w:hAnsi="Times New Roman" w:cs="Times New Roman"/>
          <w:sz w:val="24"/>
          <w:szCs w:val="24"/>
        </w:rPr>
        <w:t>,</w:t>
      </w:r>
      <w:r>
        <w:rPr>
          <w:rFonts w:ascii="Times New Roman" w:hAnsi="Times New Roman" w:cs="Times New Roman"/>
          <w:sz w:val="24"/>
          <w:szCs w:val="24"/>
        </w:rPr>
        <w:t xml:space="preserve"> nagrinėjantys finansinę analizę</w:t>
      </w:r>
      <w:r w:rsidR="00A00EA6">
        <w:rPr>
          <w:rFonts w:ascii="Times New Roman" w:hAnsi="Times New Roman" w:cs="Times New Roman"/>
          <w:sz w:val="24"/>
          <w:szCs w:val="24"/>
        </w:rPr>
        <w:t>,</w:t>
      </w:r>
      <w:r>
        <w:rPr>
          <w:rFonts w:ascii="Times New Roman" w:hAnsi="Times New Roman" w:cs="Times New Roman"/>
          <w:sz w:val="24"/>
          <w:szCs w:val="24"/>
        </w:rPr>
        <w:t xml:space="preserve"> pateikia daugelio likvidumo rodiklių skaičiavimus ir tų skaičiavimų interpretacijas, tačiau finansinėje literatūroje nėra nuoseklios ir aiškios vertinimo sistemos, kurioje būtų aiškiai suformuoti ir įvardyti svarbiausi įmonės likvidumą nusakantys rodikliai. Trečia, dažniausiai likvidumo rodikliai skaičiuojami naudojant tik balanso ataskaitos duomenis, nors pažymima, kad vis didesnę svarbą likvidumui turi pinigų srautai. Atsižvelgiant į minėtus veiksnius bei mokslinės literatūros analizės rezultatus</w:t>
      </w:r>
      <w:r w:rsidR="00A00EA6">
        <w:rPr>
          <w:rFonts w:ascii="Times New Roman" w:hAnsi="Times New Roman" w:cs="Times New Roman"/>
          <w:sz w:val="24"/>
          <w:szCs w:val="24"/>
        </w:rPr>
        <w:t>,</w:t>
      </w:r>
      <w:r>
        <w:rPr>
          <w:rFonts w:ascii="Times New Roman" w:hAnsi="Times New Roman" w:cs="Times New Roman"/>
          <w:sz w:val="24"/>
          <w:szCs w:val="24"/>
        </w:rPr>
        <w:t xml:space="preserve"> darbe likvidumo rodikliai skirstomi į: tradicinius – tuos, kurie dažniausiai sutapatinami su trumpalaikiu mokumu ir kurių supratimas, interpretacija bei svarba įvairiuose moksliniuose darbuose, straipsniuose, knygose interpretuojami ir aiškinami panašiai; netradicinius – tuos, kurių nuoseklios aiškinimo sistemos nėra ir skirtingi autoriai šiuos rodiklius priskiria skirtingoms rodiklių grupėms bei skirtingai traktuoja ir interpretuoja juos.</w:t>
      </w:r>
    </w:p>
    <w:p w14:paraId="4176D7B1" w14:textId="77777777" w:rsidR="00CB2C9F" w:rsidRPr="00C72312" w:rsidRDefault="00CB2C9F" w:rsidP="00CB2C9F">
      <w:pPr>
        <w:spacing w:after="0" w:line="360" w:lineRule="auto"/>
        <w:ind w:firstLine="567"/>
        <w:jc w:val="both"/>
        <w:rPr>
          <w:rFonts w:ascii="Times New Roman" w:hAnsi="Times New Roman" w:cs="Times New Roman"/>
          <w:sz w:val="24"/>
          <w:szCs w:val="24"/>
        </w:rPr>
      </w:pPr>
    </w:p>
    <w:p w14:paraId="073D6D95" w14:textId="77777777" w:rsidR="00CB2C9F" w:rsidRPr="00CB2C9F" w:rsidRDefault="00CB2C9F" w:rsidP="00447752">
      <w:pPr>
        <w:pStyle w:val="Heading2"/>
        <w:numPr>
          <w:ilvl w:val="1"/>
          <w:numId w:val="26"/>
        </w:numPr>
        <w:spacing w:before="0" w:beforeAutospacing="0" w:after="0" w:afterAutospacing="0"/>
        <w:ind w:left="426" w:hanging="426"/>
        <w:jc w:val="center"/>
      </w:pPr>
      <w:bookmarkStart w:id="61" w:name="_Toc353730657"/>
      <w:r w:rsidRPr="00E2302E">
        <w:rPr>
          <w:sz w:val="24"/>
          <w:szCs w:val="24"/>
        </w:rPr>
        <w:t>Tradiciniai likvidumo rodikliai</w:t>
      </w:r>
      <w:bookmarkEnd w:id="61"/>
    </w:p>
    <w:p w14:paraId="5AA19D28" w14:textId="77777777" w:rsidR="00CB2C9F" w:rsidRPr="00BA0872" w:rsidRDefault="00CB2C9F" w:rsidP="00CB2C9F">
      <w:pPr>
        <w:spacing w:after="0" w:line="360" w:lineRule="auto"/>
        <w:jc w:val="center"/>
        <w:rPr>
          <w:rFonts w:ascii="Times New Roman" w:hAnsi="Times New Roman" w:cs="Times New Roman"/>
          <w:b/>
          <w:sz w:val="28"/>
          <w:szCs w:val="28"/>
        </w:rPr>
      </w:pPr>
    </w:p>
    <w:p w14:paraId="0516F1EF" w14:textId="77777777" w:rsidR="00CB2C9F" w:rsidRDefault="00CB2C9F" w:rsidP="00757D2D">
      <w:pPr>
        <w:tabs>
          <w:tab w:val="left" w:pos="709"/>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Pažymėtina, jog dauguma analitikų dažniausiai naudoja tradicinius įmonių likvidumo rodiklius dėl jų nesudėtingo skaičiavimo ir aiškaus interpretavimo. </w:t>
      </w:r>
      <w:r w:rsidR="00757D2D">
        <w:rPr>
          <w:rFonts w:ascii="Times New Roman" w:hAnsi="Times New Roman" w:cs="Times New Roman"/>
          <w:sz w:val="24"/>
          <w:szCs w:val="24"/>
        </w:rPr>
        <w:t xml:space="preserve">Netgi Vilniaus vertybinių popierių biržos rodiklių skaičiavimo metodikoje įvardijami tik tradiciniai likvidumo rodikliai. </w:t>
      </w:r>
      <w:r>
        <w:rPr>
          <w:rFonts w:ascii="Times New Roman" w:hAnsi="Times New Roman" w:cs="Times New Roman"/>
          <w:sz w:val="24"/>
          <w:szCs w:val="24"/>
        </w:rPr>
        <w:t>Šie rodikliai remiasi vertėmis</w:t>
      </w:r>
      <w:r w:rsidR="00A00EA6">
        <w:rPr>
          <w:rFonts w:ascii="Times New Roman" w:hAnsi="Times New Roman" w:cs="Times New Roman"/>
          <w:sz w:val="24"/>
          <w:szCs w:val="24"/>
        </w:rPr>
        <w:t>,</w:t>
      </w:r>
      <w:r>
        <w:rPr>
          <w:rFonts w:ascii="Times New Roman" w:hAnsi="Times New Roman" w:cs="Times New Roman"/>
          <w:sz w:val="24"/>
          <w:szCs w:val="24"/>
        </w:rPr>
        <w:t xml:space="preserve"> kurios gautos naudojant balanso ataskaitos duomenis. </w:t>
      </w:r>
    </w:p>
    <w:p w14:paraId="5C4C0E9A" w14:textId="77777777" w:rsidR="009E7921" w:rsidRDefault="009E7921" w:rsidP="00F95601">
      <w:pPr>
        <w:spacing w:after="0"/>
        <w:jc w:val="both"/>
        <w:rPr>
          <w:rFonts w:ascii="Times New Roman" w:hAnsi="Times New Roman" w:cs="Times New Roman"/>
          <w:sz w:val="24"/>
          <w:szCs w:val="24"/>
        </w:rPr>
      </w:pPr>
    </w:p>
    <w:p w14:paraId="6CD90D4C" w14:textId="77777777" w:rsidR="007965D3" w:rsidRPr="006A374F" w:rsidRDefault="007965D3" w:rsidP="007965D3">
      <w:pPr>
        <w:spacing w:after="0" w:line="360" w:lineRule="auto"/>
        <w:ind w:firstLine="567"/>
        <w:jc w:val="both"/>
        <w:rPr>
          <w:rFonts w:ascii="Times New Roman" w:hAnsi="Times New Roman" w:cs="Times New Roman"/>
          <w:sz w:val="24"/>
          <w:szCs w:val="24"/>
        </w:rPr>
      </w:pPr>
      <w:r w:rsidRPr="006A374F">
        <w:rPr>
          <w:rFonts w:ascii="Times New Roman" w:hAnsi="Times New Roman" w:cs="Times New Roman"/>
          <w:b/>
          <w:sz w:val="24"/>
          <w:szCs w:val="24"/>
        </w:rPr>
        <w:lastRenderedPageBreak/>
        <w:t xml:space="preserve">Apyvartinis kapitalas. </w:t>
      </w:r>
      <w:r w:rsidR="002862A3" w:rsidRPr="006A374F">
        <w:rPr>
          <w:rFonts w:ascii="Times New Roman" w:hAnsi="Times New Roman" w:cs="Times New Roman"/>
          <w:sz w:val="24"/>
          <w:szCs w:val="24"/>
        </w:rPr>
        <w:t xml:space="preserve">Tai yra absoliutinis rodiklis, kuris </w:t>
      </w:r>
      <w:r w:rsidRPr="006A374F">
        <w:rPr>
          <w:rFonts w:ascii="Times New Roman" w:hAnsi="Times New Roman" w:cs="Times New Roman"/>
          <w:sz w:val="24"/>
          <w:szCs w:val="24"/>
        </w:rPr>
        <w:t xml:space="preserve">parodo, kokia suma trumpalaikis turtas viršija trumpalaikius įsipareigojimus. Apyvartinis kapitalas turi tiesioginės įtakos įmonės likvidumo lygiui, didesnė jo reikšmė rodo aukštesnį įmonės </w:t>
      </w:r>
      <w:r w:rsidR="003260E4">
        <w:rPr>
          <w:rFonts w:ascii="Times New Roman" w:hAnsi="Times New Roman" w:cs="Times New Roman"/>
          <w:sz w:val="24"/>
          <w:szCs w:val="24"/>
        </w:rPr>
        <w:t>likvidumą</w:t>
      </w:r>
      <w:r w:rsidRPr="006A374F">
        <w:rPr>
          <w:rFonts w:ascii="Times New Roman" w:hAnsi="Times New Roman" w:cs="Times New Roman"/>
          <w:sz w:val="24"/>
          <w:szCs w:val="24"/>
        </w:rPr>
        <w:t>. Apyvartinis kapitalas funkcionuoja kaip likvidumo rezervas, apsidraudžiant nenumatytais ir neplanuotais atvejais. Didesnis apyvartinis kapitalas reikalingas, jeigu įmonė negali skubiai pasiskolinti lėšų veiklai vykdyti. Tradiciniu likvidu</w:t>
      </w:r>
      <w:r w:rsidR="00A00EA6">
        <w:rPr>
          <w:rFonts w:ascii="Times New Roman" w:hAnsi="Times New Roman" w:cs="Times New Roman"/>
          <w:sz w:val="24"/>
          <w:szCs w:val="24"/>
        </w:rPr>
        <w:t>mo analizės atveju laikoma</w:t>
      </w:r>
      <w:r w:rsidR="0014654B">
        <w:rPr>
          <w:rFonts w:ascii="Times New Roman" w:hAnsi="Times New Roman" w:cs="Times New Roman"/>
          <w:sz w:val="24"/>
          <w:szCs w:val="24"/>
        </w:rPr>
        <w:t>s atvejis</w:t>
      </w:r>
      <w:r w:rsidR="00A00EA6">
        <w:rPr>
          <w:rFonts w:ascii="Times New Roman" w:hAnsi="Times New Roman" w:cs="Times New Roman"/>
          <w:sz w:val="24"/>
          <w:szCs w:val="24"/>
        </w:rPr>
        <w:t>, jog</w:t>
      </w:r>
      <w:r w:rsidRPr="006A374F">
        <w:rPr>
          <w:rFonts w:ascii="Times New Roman" w:hAnsi="Times New Roman" w:cs="Times New Roman"/>
          <w:sz w:val="24"/>
          <w:szCs w:val="24"/>
        </w:rPr>
        <w:t xml:space="preserve"> esant neigiamai apyvartinio kapitalo reikšmei, įmonė gali neįvykdyti savo trumpalaikių įsipareigojimų. Kita vertus, apyvartinis kapitalas atskleidžia likvidaus turto finansavimo trumpal</w:t>
      </w:r>
      <w:r w:rsidR="003260E4">
        <w:rPr>
          <w:rFonts w:ascii="Times New Roman" w:hAnsi="Times New Roman" w:cs="Times New Roman"/>
          <w:sz w:val="24"/>
          <w:szCs w:val="24"/>
        </w:rPr>
        <w:t xml:space="preserve">aikiais įsipareigojimais mastą. </w:t>
      </w:r>
      <w:r w:rsidRPr="006A374F">
        <w:rPr>
          <w:rFonts w:ascii="Times New Roman" w:hAnsi="Times New Roman" w:cs="Times New Roman"/>
          <w:sz w:val="24"/>
          <w:szCs w:val="24"/>
        </w:rPr>
        <w:t>Apyvartinis kapitalas apskaičiuojamas pagal formulę:</w:t>
      </w:r>
    </w:p>
    <w:p w14:paraId="5DE01744" w14:textId="77777777" w:rsidR="002862A3" w:rsidRPr="006A374F" w:rsidRDefault="00E612B9" w:rsidP="007965D3">
      <w:pPr>
        <w:spacing w:after="0" w:line="360" w:lineRule="auto"/>
        <w:ind w:firstLine="567"/>
        <w:jc w:val="both"/>
        <w:rPr>
          <w:rFonts w:ascii="Times New Roman" w:hAnsi="Times New Roman" w:cs="Times New Roman"/>
          <w:sz w:val="24"/>
          <w:szCs w:val="24"/>
        </w:rPr>
      </w:pPr>
      <w:r>
        <w:rPr>
          <w:rFonts w:ascii="Times New Roman" w:eastAsiaTheme="minorEastAsia" w:hAnsi="Times New Roman" w:cs="Times New Roman"/>
          <w:i/>
          <w:noProof/>
          <w:sz w:val="24"/>
          <w:szCs w:val="24"/>
          <w:lang w:val="en-US" w:eastAsia="zh-TW"/>
        </w:rPr>
        <w:pict w14:anchorId="392FE73E">
          <v:shape id="_x0000_s1039" type="#_x0000_t202" style="position:absolute;left:0;text-align:left;margin-left:476.1pt;margin-top:17.85pt;width:40.45pt;height:28.85pt;z-index:251663872;mso-width-relative:margin;mso-height-relative:margin" strokecolor="white [3212]">
            <v:textbox style="mso-next-textbox:#_x0000_s1039">
              <w:txbxContent>
                <w:p w14:paraId="76BE1F2C" w14:textId="77777777" w:rsidR="004E51DB" w:rsidRPr="003260E4" w:rsidRDefault="004E51DB">
                  <w:pPr>
                    <w:rPr>
                      <w:rFonts w:ascii="Times New Roman" w:hAnsi="Times New Roman" w:cs="Times New Roman"/>
                      <w:sz w:val="24"/>
                      <w:szCs w:val="24"/>
                    </w:rPr>
                  </w:pPr>
                  <w:r w:rsidRPr="003260E4">
                    <w:rPr>
                      <w:rFonts w:ascii="Times New Roman" w:hAnsi="Times New Roman" w:cs="Times New Roman"/>
                      <w:sz w:val="24"/>
                      <w:szCs w:val="24"/>
                    </w:rPr>
                    <w:t>(3)</w:t>
                  </w:r>
                </w:p>
              </w:txbxContent>
            </v:textbox>
          </v:shape>
        </w:pict>
      </w:r>
    </w:p>
    <w:p w14:paraId="78E972E0" w14:textId="77777777" w:rsidR="007965D3" w:rsidRDefault="007965D3" w:rsidP="003260E4">
      <w:pPr>
        <w:autoSpaceDE w:val="0"/>
        <w:autoSpaceDN w:val="0"/>
        <w:adjustRightInd w:val="0"/>
        <w:spacing w:after="0" w:line="360" w:lineRule="auto"/>
        <w:ind w:left="284" w:hanging="284"/>
        <w:jc w:val="center"/>
        <w:rPr>
          <w:rFonts w:ascii="Times New Roman" w:hAnsi="Times New Roman" w:cs="Times New Roman"/>
          <w:i/>
          <w:sz w:val="24"/>
          <w:szCs w:val="24"/>
        </w:rPr>
      </w:pPr>
      <m:oMathPara>
        <m:oMath>
          <m:r>
            <w:rPr>
              <w:rFonts w:ascii="Cambria Math" w:hAnsi="Cambria Math" w:cs="Times New Roman"/>
              <w:sz w:val="24"/>
              <w:szCs w:val="24"/>
            </w:rPr>
            <m:t>Apyvartinis kapitalas=Trumpalaikis turtas-Trumpalaikiai įsipareigojimai</m:t>
          </m:r>
        </m:oMath>
      </m:oMathPara>
    </w:p>
    <w:p w14:paraId="2EE90026" w14:textId="77777777" w:rsidR="003260E4" w:rsidRPr="003260E4" w:rsidRDefault="003260E4" w:rsidP="003260E4">
      <w:pPr>
        <w:autoSpaceDE w:val="0"/>
        <w:autoSpaceDN w:val="0"/>
        <w:adjustRightInd w:val="0"/>
        <w:spacing w:after="0" w:line="360" w:lineRule="auto"/>
        <w:ind w:left="284" w:hanging="284"/>
        <w:jc w:val="center"/>
        <w:rPr>
          <w:rFonts w:ascii="Times New Roman" w:hAnsi="Times New Roman" w:cs="Times New Roman"/>
          <w:i/>
          <w:sz w:val="24"/>
          <w:szCs w:val="24"/>
        </w:rPr>
      </w:pPr>
    </w:p>
    <w:p w14:paraId="3BB7868D" w14:textId="77777777" w:rsidR="00BC29D9" w:rsidRPr="006A374F" w:rsidRDefault="007965D3" w:rsidP="00CB2C9F">
      <w:pPr>
        <w:spacing w:after="0" w:line="360" w:lineRule="auto"/>
        <w:ind w:firstLine="567"/>
        <w:jc w:val="both"/>
        <w:rPr>
          <w:rFonts w:ascii="Times New Roman" w:hAnsi="Times New Roman" w:cs="Times New Roman"/>
          <w:sz w:val="24"/>
          <w:szCs w:val="24"/>
        </w:rPr>
      </w:pPr>
      <w:r w:rsidRPr="006A374F">
        <w:rPr>
          <w:rFonts w:ascii="Times New Roman" w:hAnsi="Times New Roman" w:cs="Times New Roman"/>
          <w:sz w:val="24"/>
          <w:szCs w:val="24"/>
        </w:rPr>
        <w:t xml:space="preserve">Gamybinių </w:t>
      </w:r>
      <w:r w:rsidR="00597AC9" w:rsidRPr="006A374F">
        <w:rPr>
          <w:rFonts w:ascii="Times New Roman" w:hAnsi="Times New Roman" w:cs="Times New Roman"/>
          <w:sz w:val="24"/>
          <w:szCs w:val="24"/>
        </w:rPr>
        <w:t>įmonių, pasižyminčių</w:t>
      </w:r>
      <w:r w:rsidRPr="006A374F">
        <w:rPr>
          <w:rFonts w:ascii="Times New Roman" w:hAnsi="Times New Roman" w:cs="Times New Roman"/>
          <w:sz w:val="24"/>
          <w:szCs w:val="24"/>
        </w:rPr>
        <w:t xml:space="preserve"> ilgu veiklos ciklu bei didesniais mokėjimų atidėjimais, apyvartinis kapitalas yra didesnis. Tuo tarpu įmonės, kurios iš anksto atsiskaito už paslaugas bei prekes, dažniausiai turi žemą apyvartinį kapitalą. Kai kuriuose ekonomikos sektoriuose įmonių veiklai yra būdingas neigiamas apyvartinis kapitalas. Jis rodo, jog įmonė sugeba savo trumpalaikiais įsipareigojimais finansuoti ne tik investicijas į atsargas, pirkėjų įsiskolinimus ir kitas per vienerius metus gautinas sumas, bet ir dalį investicijų į ilgalaikį turtą</w:t>
      </w:r>
      <w:r w:rsidR="003260E4">
        <w:rPr>
          <w:rFonts w:ascii="Times New Roman" w:hAnsi="Times New Roman" w:cs="Times New Roman"/>
          <w:sz w:val="24"/>
          <w:szCs w:val="24"/>
        </w:rPr>
        <w:t xml:space="preserve"> (Vernimmen at al, </w:t>
      </w:r>
      <w:r w:rsidR="009C3184">
        <w:rPr>
          <w:rFonts w:ascii="Times New Roman" w:hAnsi="Times New Roman" w:cs="Times New Roman"/>
          <w:sz w:val="24"/>
          <w:szCs w:val="24"/>
        </w:rPr>
        <w:t>2009)</w:t>
      </w:r>
      <w:r w:rsidRPr="006A374F">
        <w:rPr>
          <w:rFonts w:ascii="Times New Roman" w:hAnsi="Times New Roman" w:cs="Times New Roman"/>
          <w:sz w:val="24"/>
          <w:szCs w:val="24"/>
        </w:rPr>
        <w:t>.</w:t>
      </w:r>
      <w:r w:rsidR="00CB2C9F" w:rsidRPr="006A374F">
        <w:rPr>
          <w:rFonts w:ascii="Times New Roman" w:hAnsi="Times New Roman" w:cs="Times New Roman"/>
          <w:sz w:val="24"/>
          <w:szCs w:val="24"/>
        </w:rPr>
        <w:t xml:space="preserve"> </w:t>
      </w:r>
      <w:r w:rsidR="00BC29D9" w:rsidRPr="006A374F">
        <w:rPr>
          <w:rFonts w:ascii="Times New Roman" w:hAnsi="Times New Roman" w:cs="Times New Roman"/>
          <w:sz w:val="24"/>
          <w:szCs w:val="24"/>
        </w:rPr>
        <w:t>Paprastai kasmet didėjantis apyvartinio kapitalo dydis rodo įmonės potencialą ir galimybes plėstis, stabilią finansinę padėtį, konkurencingumą.</w:t>
      </w:r>
    </w:p>
    <w:p w14:paraId="0AB19369" w14:textId="77777777" w:rsidR="007965D3" w:rsidRPr="006A374F" w:rsidRDefault="007965D3" w:rsidP="007965D3">
      <w:pPr>
        <w:spacing w:after="0" w:line="360" w:lineRule="auto"/>
        <w:ind w:firstLine="567"/>
        <w:jc w:val="both"/>
        <w:rPr>
          <w:rFonts w:ascii="Times New Roman" w:hAnsi="Times New Roman" w:cs="Times New Roman"/>
          <w:sz w:val="24"/>
          <w:szCs w:val="24"/>
        </w:rPr>
      </w:pPr>
      <w:r w:rsidRPr="006A374F">
        <w:rPr>
          <w:rFonts w:ascii="Times New Roman" w:hAnsi="Times New Roman" w:cs="Times New Roman"/>
          <w:sz w:val="24"/>
          <w:szCs w:val="24"/>
        </w:rPr>
        <w:t>Įmonės likvidumo valdymas yra susijęs su apyvartinio kapitalo valdymu ir trumpalaikio turto struktūra. Galima daryti prielaidą,</w:t>
      </w:r>
      <w:r w:rsidR="0014654B">
        <w:rPr>
          <w:rFonts w:ascii="Times New Roman" w:hAnsi="Times New Roman" w:cs="Times New Roman"/>
          <w:sz w:val="24"/>
          <w:szCs w:val="24"/>
        </w:rPr>
        <w:t xml:space="preserve"> kad</w:t>
      </w:r>
      <w:r w:rsidRPr="006A374F">
        <w:rPr>
          <w:rFonts w:ascii="Times New Roman" w:hAnsi="Times New Roman" w:cs="Times New Roman"/>
          <w:sz w:val="24"/>
          <w:szCs w:val="24"/>
        </w:rPr>
        <w:t xml:space="preserve"> kuo didesnis įmonės likvidumas, tuo didesnis apyvartinis kapitalas ir tuo didesni kaštai. Investuotojai į aukštą įmonės likvidumo lygį gali reaguoti neigiamai, nes didelis likvidumas signalizuoja apie akcijų kainų kritimą. Iš kitos pusės, didesnis likvidumas padaro įmonę lankstesne žaliavų pirkime ir prekių pardavime, kas generuoja didesnes pajamas</w:t>
      </w:r>
      <w:r w:rsidR="006A374F">
        <w:rPr>
          <w:rFonts w:ascii="Times New Roman" w:hAnsi="Times New Roman" w:cs="Times New Roman"/>
          <w:sz w:val="24"/>
          <w:szCs w:val="24"/>
        </w:rPr>
        <w:t xml:space="preserve"> (Bolek, Wolski, 2012)</w:t>
      </w:r>
      <w:r w:rsidRPr="006A374F">
        <w:rPr>
          <w:rFonts w:ascii="Times New Roman" w:hAnsi="Times New Roman" w:cs="Times New Roman"/>
          <w:sz w:val="24"/>
          <w:szCs w:val="24"/>
        </w:rPr>
        <w:t>. Vadinasi, investuotojai aukštą įmonės likvidumą gali traktuoti ir kaip teigiamą veiksnį, kurio pas</w:t>
      </w:r>
      <w:r w:rsidR="0014654B">
        <w:rPr>
          <w:rFonts w:ascii="Times New Roman" w:hAnsi="Times New Roman" w:cs="Times New Roman"/>
          <w:sz w:val="24"/>
          <w:szCs w:val="24"/>
        </w:rPr>
        <w:t>ė</w:t>
      </w:r>
      <w:r w:rsidRPr="006A374F">
        <w:rPr>
          <w:rFonts w:ascii="Times New Roman" w:hAnsi="Times New Roman" w:cs="Times New Roman"/>
          <w:sz w:val="24"/>
          <w:szCs w:val="24"/>
        </w:rPr>
        <w:t>koje ateityje padidės akcijų kainos. Naudojant konservatyvią strategiją, apyvartinis kapitalas finansuojamas ilgalaikiais finansavimo šaltiniais. Neigiamas apyvartinis kapitalas rodo agresyvią finansavimo strategiją, ko pas</w:t>
      </w:r>
      <w:r w:rsidR="0014654B">
        <w:rPr>
          <w:rFonts w:ascii="Times New Roman" w:hAnsi="Times New Roman" w:cs="Times New Roman"/>
          <w:sz w:val="24"/>
          <w:szCs w:val="24"/>
        </w:rPr>
        <w:t>ė</w:t>
      </w:r>
      <w:r w:rsidRPr="006A374F">
        <w:rPr>
          <w:rFonts w:ascii="Times New Roman" w:hAnsi="Times New Roman" w:cs="Times New Roman"/>
          <w:sz w:val="24"/>
          <w:szCs w:val="24"/>
        </w:rPr>
        <w:t xml:space="preserve">koje apyvartinis kapitalas finansuojamas trumpalaikiais finansavimo šaltiniais. </w:t>
      </w:r>
    </w:p>
    <w:p w14:paraId="5970E1DC" w14:textId="77777777" w:rsidR="007965D3" w:rsidRPr="006A374F" w:rsidRDefault="007965D3" w:rsidP="005C3628">
      <w:pPr>
        <w:spacing w:after="0" w:line="360" w:lineRule="auto"/>
        <w:ind w:firstLine="567"/>
        <w:jc w:val="both"/>
        <w:rPr>
          <w:rFonts w:ascii="Times New Roman" w:hAnsi="Times New Roman" w:cs="Times New Roman"/>
          <w:sz w:val="24"/>
          <w:szCs w:val="24"/>
        </w:rPr>
      </w:pPr>
      <w:r w:rsidRPr="006A374F">
        <w:rPr>
          <w:rFonts w:ascii="Times New Roman" w:hAnsi="Times New Roman" w:cs="Times New Roman"/>
          <w:sz w:val="24"/>
          <w:szCs w:val="24"/>
        </w:rPr>
        <w:t xml:space="preserve">Jei įmonė yra likvidi, ji yra ir lanksti – gali laiku įvykdyti savo įsipareigojimus bei suteikti ilgesnį atsiskaitymo periodą savo klientams. Tokia įmonė tampa daug konkurencingesnė rinkoje. Tačiau tokia įmonė susiduria su finansavimo </w:t>
      </w:r>
      <w:r w:rsidR="006A374F" w:rsidRPr="006A374F">
        <w:rPr>
          <w:rFonts w:ascii="Times New Roman" w:hAnsi="Times New Roman" w:cs="Times New Roman"/>
          <w:sz w:val="24"/>
          <w:szCs w:val="24"/>
        </w:rPr>
        <w:t xml:space="preserve">kaštų </w:t>
      </w:r>
      <w:r w:rsidRPr="006A374F">
        <w:rPr>
          <w:rFonts w:ascii="Times New Roman" w:hAnsi="Times New Roman" w:cs="Times New Roman"/>
          <w:sz w:val="24"/>
          <w:szCs w:val="24"/>
        </w:rPr>
        <w:t xml:space="preserve">problemomis, nes jos ilgalaikio finansavimo šaltiniai didesni, o tuo pačiu didesni ir kaštai. Ypatingai svarbu pabrėžti apyvartinio kapitalo ir trumpalaikio turto valdymo svarbą likvidumui išvengiant papildomų kaštų. Svarbiausias įmonės </w:t>
      </w:r>
      <w:r w:rsidRPr="006A374F">
        <w:rPr>
          <w:rFonts w:ascii="Times New Roman" w:hAnsi="Times New Roman" w:cs="Times New Roman"/>
          <w:sz w:val="24"/>
          <w:szCs w:val="24"/>
        </w:rPr>
        <w:lastRenderedPageBreak/>
        <w:t xml:space="preserve">veiksnys yra kapitalo struktūra ir </w:t>
      </w:r>
      <w:r w:rsidR="005C3628">
        <w:rPr>
          <w:rFonts w:ascii="Times New Roman" w:hAnsi="Times New Roman" w:cs="Times New Roman"/>
          <w:sz w:val="24"/>
          <w:szCs w:val="24"/>
        </w:rPr>
        <w:t xml:space="preserve">galimybė </w:t>
      </w:r>
      <w:r w:rsidRPr="006A374F">
        <w:rPr>
          <w:rFonts w:ascii="Times New Roman" w:hAnsi="Times New Roman" w:cs="Times New Roman"/>
          <w:sz w:val="24"/>
          <w:szCs w:val="24"/>
        </w:rPr>
        <w:t xml:space="preserve">išlaikyti finansinį lankstumą, </w:t>
      </w:r>
      <w:r w:rsidR="005C3628">
        <w:rPr>
          <w:rFonts w:ascii="Times New Roman" w:hAnsi="Times New Roman" w:cs="Times New Roman"/>
          <w:sz w:val="24"/>
          <w:szCs w:val="24"/>
        </w:rPr>
        <w:t>potencialas</w:t>
      </w:r>
      <w:r w:rsidRPr="006A374F">
        <w:rPr>
          <w:rFonts w:ascii="Times New Roman" w:hAnsi="Times New Roman" w:cs="Times New Roman"/>
          <w:sz w:val="24"/>
          <w:szCs w:val="24"/>
        </w:rPr>
        <w:t xml:space="preserve"> pertvarkyti savo finansus minimaliais kaštais.</w:t>
      </w:r>
    </w:p>
    <w:p w14:paraId="5A959009" w14:textId="77777777" w:rsidR="007965D3" w:rsidRPr="006A374F" w:rsidRDefault="009C3184" w:rsidP="006A37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Galima teigti, kad </w:t>
      </w:r>
      <w:r w:rsidR="005C3628">
        <w:rPr>
          <w:rFonts w:ascii="Times New Roman" w:hAnsi="Times New Roman" w:cs="Times New Roman"/>
          <w:sz w:val="24"/>
          <w:szCs w:val="24"/>
        </w:rPr>
        <w:t>p</w:t>
      </w:r>
      <w:r w:rsidR="005761E2">
        <w:rPr>
          <w:rFonts w:ascii="Times New Roman" w:hAnsi="Times New Roman" w:cs="Times New Roman"/>
          <w:sz w:val="24"/>
          <w:szCs w:val="24"/>
        </w:rPr>
        <w:t>ožiūris į likvidumą</w:t>
      </w:r>
      <w:r>
        <w:rPr>
          <w:rFonts w:ascii="Times New Roman" w:hAnsi="Times New Roman" w:cs="Times New Roman"/>
          <w:sz w:val="24"/>
          <w:szCs w:val="24"/>
        </w:rPr>
        <w:t xml:space="preserve"> </w:t>
      </w:r>
      <w:r w:rsidR="007965D3" w:rsidRPr="006A374F">
        <w:rPr>
          <w:rFonts w:ascii="Times New Roman" w:hAnsi="Times New Roman" w:cs="Times New Roman"/>
          <w:sz w:val="24"/>
          <w:szCs w:val="24"/>
        </w:rPr>
        <w:t>yra individualus sprendimas</w:t>
      </w:r>
      <w:r w:rsidR="0014654B">
        <w:rPr>
          <w:rFonts w:ascii="Times New Roman" w:hAnsi="Times New Roman" w:cs="Times New Roman"/>
          <w:sz w:val="24"/>
          <w:szCs w:val="24"/>
        </w:rPr>
        <w:t>,</w:t>
      </w:r>
      <w:r w:rsidR="007965D3" w:rsidRPr="006A374F">
        <w:rPr>
          <w:rFonts w:ascii="Times New Roman" w:hAnsi="Times New Roman" w:cs="Times New Roman"/>
          <w:sz w:val="24"/>
          <w:szCs w:val="24"/>
        </w:rPr>
        <w:t xml:space="preserve"> susijęs su įmonės strategija. Pirmiaus</w:t>
      </w:r>
      <w:r w:rsidR="0014654B">
        <w:rPr>
          <w:rFonts w:ascii="Times New Roman" w:hAnsi="Times New Roman" w:cs="Times New Roman"/>
          <w:sz w:val="24"/>
          <w:szCs w:val="24"/>
        </w:rPr>
        <w:t>iai</w:t>
      </w:r>
      <w:r w:rsidR="007965D3" w:rsidRPr="006A374F">
        <w:rPr>
          <w:rFonts w:ascii="Times New Roman" w:hAnsi="Times New Roman" w:cs="Times New Roman"/>
          <w:sz w:val="24"/>
          <w:szCs w:val="24"/>
        </w:rPr>
        <w:t xml:space="preserve"> tai susiję su atsargų, gautinų sumų, grynųjų pinigų bei mokėtinų sumų valdymu. Šių dedamųjų valdymas ir nulemia grynojo apyvartinio kapitalo kiekį. Iš kitos pusės</w:t>
      </w:r>
      <w:r w:rsidR="0014654B">
        <w:rPr>
          <w:rFonts w:ascii="Times New Roman" w:hAnsi="Times New Roman" w:cs="Times New Roman"/>
          <w:sz w:val="24"/>
          <w:szCs w:val="24"/>
        </w:rPr>
        <w:t>,</w:t>
      </w:r>
      <w:r w:rsidR="007965D3" w:rsidRPr="006A374F">
        <w:rPr>
          <w:rFonts w:ascii="Times New Roman" w:hAnsi="Times New Roman" w:cs="Times New Roman"/>
          <w:sz w:val="24"/>
          <w:szCs w:val="24"/>
        </w:rPr>
        <w:t xml:space="preserve"> apyvartinio kapitalo kiekį gali lemti ir finansavimo šaltinių parinkimas. </w:t>
      </w:r>
    </w:p>
    <w:p w14:paraId="36C37E50" w14:textId="77777777" w:rsidR="006A374F" w:rsidRPr="006A374F" w:rsidRDefault="006A374F" w:rsidP="006A374F">
      <w:pPr>
        <w:spacing w:after="0" w:line="360" w:lineRule="auto"/>
        <w:ind w:firstLine="567"/>
        <w:jc w:val="both"/>
        <w:rPr>
          <w:rFonts w:ascii="Times New Roman" w:hAnsi="Times New Roman" w:cs="Times New Roman"/>
          <w:color w:val="FF0000"/>
          <w:sz w:val="24"/>
          <w:szCs w:val="24"/>
        </w:rPr>
      </w:pPr>
    </w:p>
    <w:p w14:paraId="04D1A320" w14:textId="77777777" w:rsidR="000C192E" w:rsidRDefault="000C192E" w:rsidP="000C192E">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Einamojo likvidumo koeficientas. </w:t>
      </w:r>
      <w:r>
        <w:rPr>
          <w:rFonts w:ascii="Times New Roman" w:hAnsi="Times New Roman" w:cs="Times New Roman"/>
          <w:sz w:val="24"/>
          <w:szCs w:val="24"/>
        </w:rPr>
        <w:t xml:space="preserve">Šis koeficientas parodo įmonės gebėjimą įvykdyti trumpalaikius įsipareigojimus, panaudojus turimą trumpalaikį turtą. </w:t>
      </w:r>
      <w:r w:rsidR="007C660F">
        <w:rPr>
          <w:rFonts w:ascii="Times New Roman" w:hAnsi="Times New Roman" w:cs="Times New Roman"/>
          <w:sz w:val="24"/>
          <w:szCs w:val="24"/>
        </w:rPr>
        <w:t xml:space="preserve">Einamojo likvidumo koeficientas yra populiariausias praktikoje naudojamas likvidumo koeficientas. </w:t>
      </w:r>
      <w:r>
        <w:rPr>
          <w:rFonts w:ascii="Times New Roman" w:hAnsi="Times New Roman" w:cs="Times New Roman"/>
          <w:sz w:val="24"/>
          <w:szCs w:val="24"/>
        </w:rPr>
        <w:t>Skaičiuojamas pagal formulę:</w:t>
      </w:r>
    </w:p>
    <w:p w14:paraId="796BB0DA" w14:textId="77777777" w:rsidR="0014654B" w:rsidRDefault="00E612B9" w:rsidP="0014654B">
      <w:pPr>
        <w:spacing w:after="0" w:line="360" w:lineRule="auto"/>
        <w:jc w:val="right"/>
        <w:rPr>
          <w:rFonts w:ascii="Times New Roman" w:hAnsi="Times New Roman" w:cs="Times New Roman"/>
          <w:sz w:val="24"/>
          <w:szCs w:val="24"/>
        </w:rPr>
      </w:pPr>
      <w:r>
        <w:rPr>
          <w:rFonts w:ascii="Times New Roman" w:hAnsi="Times New Roman" w:cs="Times New Roman"/>
          <w:noProof/>
          <w:sz w:val="24"/>
          <w:szCs w:val="24"/>
          <w:lang w:eastAsia="lt-LT"/>
        </w:rPr>
        <w:pict w14:anchorId="7DC71A86">
          <v:shape id="_x0000_s1065" type="#_x0000_t202" style="position:absolute;left:0;text-align:left;margin-left:473.9pt;margin-top:18.45pt;width:40.45pt;height:28.85pt;z-index:251666944;mso-width-relative:margin;mso-height-relative:margin" strokecolor="white [3212]">
            <v:textbox style="mso-next-textbox:#_x0000_s1065">
              <w:txbxContent>
                <w:p w14:paraId="1292761F" w14:textId="77777777" w:rsidR="004E51DB" w:rsidRPr="003260E4" w:rsidRDefault="004E51DB" w:rsidP="0014654B">
                  <w:pPr>
                    <w:rPr>
                      <w:rFonts w:ascii="Times New Roman" w:hAnsi="Times New Roman" w:cs="Times New Roman"/>
                      <w:sz w:val="24"/>
                      <w:szCs w:val="24"/>
                    </w:rPr>
                  </w:pPr>
                  <w:r w:rsidRPr="003260E4">
                    <w:rPr>
                      <w:rFonts w:ascii="Times New Roman" w:hAnsi="Times New Roman" w:cs="Times New Roman"/>
                      <w:sz w:val="24"/>
                      <w:szCs w:val="24"/>
                    </w:rPr>
                    <w:t>(</w:t>
                  </w:r>
                  <w:r>
                    <w:rPr>
                      <w:rFonts w:ascii="Times New Roman" w:hAnsi="Times New Roman" w:cs="Times New Roman"/>
                      <w:sz w:val="24"/>
                      <w:szCs w:val="24"/>
                    </w:rPr>
                    <w:t>4</w:t>
                  </w:r>
                  <w:r w:rsidRPr="003260E4">
                    <w:rPr>
                      <w:rFonts w:ascii="Times New Roman" w:hAnsi="Times New Roman" w:cs="Times New Roman"/>
                      <w:sz w:val="24"/>
                      <w:szCs w:val="24"/>
                    </w:rPr>
                    <w:t>)</w:t>
                  </w:r>
                </w:p>
              </w:txbxContent>
            </v:textbox>
          </v:shape>
        </w:pict>
      </w:r>
    </w:p>
    <w:p w14:paraId="336C9E2C" w14:textId="77777777" w:rsidR="000C192E" w:rsidRPr="00296834" w:rsidRDefault="000C192E" w:rsidP="000C192E">
      <w:pPr>
        <w:spacing w:after="0" w:line="360" w:lineRule="auto"/>
        <w:ind w:firstLine="567"/>
        <w:jc w:val="both"/>
        <w:rPr>
          <w:rFonts w:ascii="Times New Roman" w:hAnsi="Times New Roman" w:cs="Times New Roman"/>
          <w:i/>
          <w:sz w:val="24"/>
          <w:szCs w:val="24"/>
        </w:rPr>
      </w:pPr>
      <m:oMathPara>
        <m:oMathParaPr>
          <m:jc m:val="center"/>
        </m:oMathParaPr>
        <m:oMath>
          <m:r>
            <w:rPr>
              <w:rFonts w:ascii="Cambria Math" w:hAnsi="Cambria Math" w:cs="Times New Roman"/>
              <w:sz w:val="24"/>
              <w:szCs w:val="24"/>
            </w:rPr>
            <m:t>Einamojo likvidumo koeficientas=</m:t>
          </m:r>
          <m:f>
            <m:fPr>
              <m:ctrlPr>
                <w:rPr>
                  <w:rFonts w:ascii="Cambria Math" w:hAnsi="Cambria Math" w:cs="Times New Roman"/>
                  <w:i/>
                  <w:sz w:val="24"/>
                  <w:szCs w:val="24"/>
                </w:rPr>
              </m:ctrlPr>
            </m:fPr>
            <m:num>
              <m:r>
                <w:rPr>
                  <w:rFonts w:ascii="Cambria Math" w:hAnsi="Cambria Math" w:cs="Times New Roman"/>
                  <w:sz w:val="24"/>
                  <w:szCs w:val="24"/>
                </w:rPr>
                <m:t>Trumpalaikis turtas</m:t>
              </m:r>
            </m:num>
            <m:den>
              <m:r>
                <w:rPr>
                  <w:rFonts w:ascii="Cambria Math" w:hAnsi="Cambria Math" w:cs="Times New Roman"/>
                  <w:sz w:val="24"/>
                  <w:szCs w:val="24"/>
                </w:rPr>
                <m:t>Trumpalaikiai įsipareigojimai</m:t>
              </m:r>
            </m:den>
          </m:f>
        </m:oMath>
      </m:oMathPara>
    </w:p>
    <w:p w14:paraId="68FCC4F0" w14:textId="77777777" w:rsidR="0014654B" w:rsidRDefault="0014654B" w:rsidP="000C192E">
      <w:pPr>
        <w:spacing w:after="0" w:line="360" w:lineRule="auto"/>
        <w:ind w:firstLine="567"/>
        <w:jc w:val="both"/>
        <w:rPr>
          <w:rFonts w:ascii="Times New Roman" w:hAnsi="Times New Roman" w:cs="Times New Roman"/>
          <w:sz w:val="24"/>
          <w:szCs w:val="24"/>
        </w:rPr>
      </w:pPr>
    </w:p>
    <w:p w14:paraId="441C2BEA" w14:textId="77777777" w:rsidR="000C192E" w:rsidRDefault="000C192E" w:rsidP="000C19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Koeficiento vertė parodo</w:t>
      </w:r>
      <w:r w:rsidR="0014654B">
        <w:rPr>
          <w:rFonts w:ascii="Times New Roman" w:hAnsi="Times New Roman" w:cs="Times New Roman"/>
          <w:sz w:val="24"/>
          <w:szCs w:val="24"/>
        </w:rPr>
        <w:t>,</w:t>
      </w:r>
      <w:r>
        <w:rPr>
          <w:rFonts w:ascii="Times New Roman" w:hAnsi="Times New Roman" w:cs="Times New Roman"/>
          <w:sz w:val="24"/>
          <w:szCs w:val="24"/>
        </w:rPr>
        <w:t xml:space="preserve"> kiek vienas trumpalaikių įsipareigojimų litas dengiamas trumpalaikiu turtu, todėl labai svarbu įvertinti trumpalaikio turto kokybę. Vilniaus vertybinių popierių biržos rodiklių skaičiavimo metodikoje nurodoma, jog rodiklio reikšmė turėtų svyruoti tarp 1,2 ir 2. Reikšmė</w:t>
      </w:r>
      <w:r w:rsidR="00BC1606">
        <w:rPr>
          <w:rFonts w:ascii="Times New Roman" w:hAnsi="Times New Roman" w:cs="Times New Roman"/>
          <w:sz w:val="24"/>
          <w:szCs w:val="24"/>
        </w:rPr>
        <w:t>,</w:t>
      </w:r>
      <w:r>
        <w:rPr>
          <w:rFonts w:ascii="Times New Roman" w:hAnsi="Times New Roman" w:cs="Times New Roman"/>
          <w:sz w:val="24"/>
          <w:szCs w:val="24"/>
        </w:rPr>
        <w:t xml:space="preserve"> mažesnė už vienetą</w:t>
      </w:r>
      <w:r w:rsidR="00BC1606">
        <w:rPr>
          <w:rFonts w:ascii="Times New Roman" w:hAnsi="Times New Roman" w:cs="Times New Roman"/>
          <w:sz w:val="24"/>
          <w:szCs w:val="24"/>
        </w:rPr>
        <w:t>,</w:t>
      </w:r>
      <w:r>
        <w:rPr>
          <w:rFonts w:ascii="Times New Roman" w:hAnsi="Times New Roman" w:cs="Times New Roman"/>
          <w:sz w:val="24"/>
          <w:szCs w:val="24"/>
        </w:rPr>
        <w:t xml:space="preserve"> rodo potencialias įmonės finansines problemas, nepajėgumą iškart apmokėti savo skolų. Pasitaiko ir taip, jog rodiklio reikšmei esant didesnei už vienetą, kai trumpalaikis turtas nelikvidus, įmonė gali susidurti su trumpalaikio likvidumo problemomis. Tuo tarpu rodiklio reikšmė</w:t>
      </w:r>
      <w:r w:rsidR="00BC1606">
        <w:rPr>
          <w:rFonts w:ascii="Times New Roman" w:hAnsi="Times New Roman" w:cs="Times New Roman"/>
          <w:sz w:val="24"/>
          <w:szCs w:val="24"/>
        </w:rPr>
        <w:t>,</w:t>
      </w:r>
      <w:r>
        <w:rPr>
          <w:rFonts w:ascii="Times New Roman" w:hAnsi="Times New Roman" w:cs="Times New Roman"/>
          <w:sz w:val="24"/>
          <w:szCs w:val="24"/>
        </w:rPr>
        <w:t xml:space="preserve"> ženkliai aukštesnė už 2</w:t>
      </w:r>
      <w:r w:rsidR="00BC1606">
        <w:rPr>
          <w:rFonts w:ascii="Times New Roman" w:hAnsi="Times New Roman" w:cs="Times New Roman"/>
          <w:sz w:val="24"/>
          <w:szCs w:val="24"/>
        </w:rPr>
        <w:t>,</w:t>
      </w:r>
      <w:r>
        <w:rPr>
          <w:rFonts w:ascii="Times New Roman" w:hAnsi="Times New Roman" w:cs="Times New Roman"/>
          <w:sz w:val="24"/>
          <w:szCs w:val="24"/>
        </w:rPr>
        <w:t xml:space="preserve"> gali rodyti įmonės nesugebėjimą efektyviai panaudoti turimo turto. Įmonės, kurios didžiąją dalį pinigų iššaldę į atsargas, o jų apyvartumas ilgas, gali turėti proble</w:t>
      </w:r>
      <w:r w:rsidR="00ED2731">
        <w:rPr>
          <w:rFonts w:ascii="Times New Roman" w:hAnsi="Times New Roman" w:cs="Times New Roman"/>
          <w:sz w:val="24"/>
          <w:szCs w:val="24"/>
        </w:rPr>
        <w:t>mų vykdant savo įsipareigojimus.</w:t>
      </w:r>
    </w:p>
    <w:p w14:paraId="07CD8C19" w14:textId="77777777" w:rsidR="0094543C" w:rsidRDefault="007C660F" w:rsidP="000C19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Kreditoriams šis rodiklis padeda nustatyti</w:t>
      </w:r>
      <w:r w:rsidR="00BC1606">
        <w:rPr>
          <w:rFonts w:ascii="Times New Roman" w:hAnsi="Times New Roman" w:cs="Times New Roman"/>
          <w:sz w:val="24"/>
          <w:szCs w:val="24"/>
        </w:rPr>
        <w:t>,</w:t>
      </w:r>
      <w:r>
        <w:rPr>
          <w:rFonts w:ascii="Times New Roman" w:hAnsi="Times New Roman" w:cs="Times New Roman"/>
          <w:sz w:val="24"/>
          <w:szCs w:val="24"/>
        </w:rPr>
        <w:t xml:space="preserve"> ar įmonės likvidumo lygis yra pakankamas</w:t>
      </w:r>
      <w:r w:rsidR="00F16917">
        <w:rPr>
          <w:rFonts w:ascii="Times New Roman" w:hAnsi="Times New Roman" w:cs="Times New Roman"/>
          <w:sz w:val="24"/>
          <w:szCs w:val="24"/>
        </w:rPr>
        <w:t>, kad padeng</w:t>
      </w:r>
      <w:r>
        <w:rPr>
          <w:rFonts w:ascii="Times New Roman" w:hAnsi="Times New Roman" w:cs="Times New Roman"/>
          <w:sz w:val="24"/>
          <w:szCs w:val="24"/>
        </w:rPr>
        <w:t>tų įsipareigojimus</w:t>
      </w:r>
      <w:r w:rsidR="00BC1606">
        <w:rPr>
          <w:rFonts w:ascii="Times New Roman" w:hAnsi="Times New Roman" w:cs="Times New Roman"/>
          <w:sz w:val="24"/>
          <w:szCs w:val="24"/>
        </w:rPr>
        <w:t>,</w:t>
      </w:r>
      <w:r>
        <w:rPr>
          <w:rFonts w:ascii="Times New Roman" w:hAnsi="Times New Roman" w:cs="Times New Roman"/>
          <w:sz w:val="24"/>
          <w:szCs w:val="24"/>
        </w:rPr>
        <w:t xml:space="preserve"> ir jie teikia pirmenybę aukštesnei koeficiento reikšmei</w:t>
      </w:r>
      <w:r w:rsidR="00CB2C9F">
        <w:rPr>
          <w:rFonts w:ascii="Times New Roman" w:hAnsi="Times New Roman" w:cs="Times New Roman"/>
          <w:sz w:val="24"/>
          <w:szCs w:val="24"/>
        </w:rPr>
        <w:t xml:space="preserve"> (Gamba, Triantis, 2005)</w:t>
      </w:r>
      <w:r>
        <w:rPr>
          <w:rFonts w:ascii="Times New Roman" w:hAnsi="Times New Roman" w:cs="Times New Roman"/>
          <w:sz w:val="24"/>
          <w:szCs w:val="24"/>
        </w:rPr>
        <w:t xml:space="preserve">. </w:t>
      </w:r>
      <w:r w:rsidR="00856FC3">
        <w:rPr>
          <w:rFonts w:ascii="Times New Roman" w:hAnsi="Times New Roman" w:cs="Times New Roman"/>
          <w:sz w:val="24"/>
          <w:szCs w:val="24"/>
        </w:rPr>
        <w:t xml:space="preserve">Akcininkams šis rodiklis taip pat naudingas, nes padeda nustatyti </w:t>
      </w:r>
      <w:r w:rsidR="0094543C">
        <w:rPr>
          <w:rFonts w:ascii="Times New Roman" w:hAnsi="Times New Roman" w:cs="Times New Roman"/>
          <w:sz w:val="24"/>
          <w:szCs w:val="24"/>
        </w:rPr>
        <w:t>silpn</w:t>
      </w:r>
      <w:r w:rsidR="00BC1606">
        <w:rPr>
          <w:rFonts w:ascii="Times New Roman" w:hAnsi="Times New Roman" w:cs="Times New Roman"/>
          <w:sz w:val="24"/>
          <w:szCs w:val="24"/>
        </w:rPr>
        <w:t>ą</w:t>
      </w:r>
      <w:r w:rsidR="0094543C">
        <w:rPr>
          <w:rFonts w:ascii="Times New Roman" w:hAnsi="Times New Roman" w:cs="Times New Roman"/>
          <w:sz w:val="24"/>
          <w:szCs w:val="24"/>
        </w:rPr>
        <w:t xml:space="preserve">sias </w:t>
      </w:r>
      <w:r w:rsidR="00856FC3">
        <w:rPr>
          <w:rFonts w:ascii="Times New Roman" w:hAnsi="Times New Roman" w:cs="Times New Roman"/>
          <w:sz w:val="24"/>
          <w:szCs w:val="24"/>
        </w:rPr>
        <w:t>verslo puses</w:t>
      </w:r>
      <w:r w:rsidR="0094543C">
        <w:rPr>
          <w:rFonts w:ascii="Times New Roman" w:hAnsi="Times New Roman" w:cs="Times New Roman"/>
          <w:sz w:val="24"/>
          <w:szCs w:val="24"/>
        </w:rPr>
        <w:t>, tačiau jie suinteresuoti žemesne rodiklio reikšme ir tuo, kad įmonės turtas būtų naudojamas įmonės augimui.</w:t>
      </w:r>
    </w:p>
    <w:p w14:paraId="7384579F" w14:textId="77777777" w:rsidR="000C192E" w:rsidRDefault="000C192E" w:rsidP="000C19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Paprastai įvairiuose ekonomikos sektoriuose šis rodiklis būna skirtingas, priklausomai nuo tipiškos įmonės veiklos ciklo trukmės, gaminamų produktų ar teikiamų paslaugų vertės, atsiskaitymų atidėjimų terminų, todėl analizuojant reikėtų atkreipti dėmesį į šio rodiklio dinamikos tendencijas bei ekonomikos sektoriaus ypatumus</w:t>
      </w:r>
      <w:r w:rsidR="00CB2C9F">
        <w:rPr>
          <w:rFonts w:ascii="Times New Roman" w:hAnsi="Times New Roman" w:cs="Times New Roman"/>
          <w:sz w:val="24"/>
          <w:szCs w:val="24"/>
        </w:rPr>
        <w:t xml:space="preserve"> (</w:t>
      </w:r>
      <w:r w:rsidR="00C11DB9">
        <w:rPr>
          <w:rFonts w:ascii="Times New Roman" w:hAnsi="Times New Roman" w:cs="Times New Roman"/>
          <w:sz w:val="24"/>
          <w:szCs w:val="24"/>
        </w:rPr>
        <w:t>Gallinger, 1997)</w:t>
      </w:r>
      <w:r>
        <w:rPr>
          <w:rFonts w:ascii="Times New Roman" w:hAnsi="Times New Roman" w:cs="Times New Roman"/>
          <w:sz w:val="24"/>
          <w:szCs w:val="24"/>
        </w:rPr>
        <w:t xml:space="preserve">. </w:t>
      </w:r>
      <w:r w:rsidR="00543E99" w:rsidRPr="00F16917">
        <w:rPr>
          <w:rFonts w:ascii="Times New Roman" w:hAnsi="Times New Roman" w:cs="Times New Roman"/>
          <w:sz w:val="24"/>
          <w:szCs w:val="24"/>
        </w:rPr>
        <w:t>Pagrindinis</w:t>
      </w:r>
      <w:r w:rsidR="00543E99">
        <w:rPr>
          <w:rFonts w:ascii="Times New Roman" w:hAnsi="Times New Roman" w:cs="Times New Roman"/>
          <w:sz w:val="24"/>
          <w:szCs w:val="24"/>
        </w:rPr>
        <w:t xml:space="preserve"> šio rodiklio minusas yra tas, kad neatsižvelgiama į trumpalaikio turto sudėtį. Gali būti, kad didelę trumpalaikio turto dalį įmonėje sudaro</w:t>
      </w:r>
      <w:r w:rsidR="00ED2731">
        <w:rPr>
          <w:rFonts w:ascii="Times New Roman" w:hAnsi="Times New Roman" w:cs="Times New Roman"/>
          <w:sz w:val="24"/>
          <w:szCs w:val="24"/>
        </w:rPr>
        <w:t xml:space="preserve"> </w:t>
      </w:r>
      <w:r w:rsidR="00543E99">
        <w:rPr>
          <w:rFonts w:ascii="Times New Roman" w:hAnsi="Times New Roman" w:cs="Times New Roman"/>
          <w:sz w:val="24"/>
          <w:szCs w:val="24"/>
        </w:rPr>
        <w:t>mažo likvidumo atsargos</w:t>
      </w:r>
      <w:r w:rsidR="00ED2731">
        <w:rPr>
          <w:rFonts w:ascii="Times New Roman" w:hAnsi="Times New Roman" w:cs="Times New Roman"/>
          <w:sz w:val="24"/>
          <w:szCs w:val="24"/>
        </w:rPr>
        <w:t xml:space="preserve"> arba gautinos sumos</w:t>
      </w:r>
      <w:r w:rsidR="00543E99">
        <w:rPr>
          <w:rFonts w:ascii="Times New Roman" w:hAnsi="Times New Roman" w:cs="Times New Roman"/>
          <w:sz w:val="24"/>
          <w:szCs w:val="24"/>
        </w:rPr>
        <w:t xml:space="preserve"> ir tada aukštas einamojo likvidumo koeficientas neatspi</w:t>
      </w:r>
      <w:r w:rsidR="00EE7119">
        <w:rPr>
          <w:rFonts w:ascii="Times New Roman" w:hAnsi="Times New Roman" w:cs="Times New Roman"/>
          <w:sz w:val="24"/>
          <w:szCs w:val="24"/>
        </w:rPr>
        <w:t>ndės realios situacijos. Dėl to</w:t>
      </w:r>
      <w:r w:rsidR="00543E99">
        <w:rPr>
          <w:rFonts w:ascii="Times New Roman" w:hAnsi="Times New Roman" w:cs="Times New Roman"/>
          <w:sz w:val="24"/>
          <w:szCs w:val="24"/>
        </w:rPr>
        <w:t xml:space="preserve"> šis rodiklis rodo apytikrį įmonės likvidumą.</w:t>
      </w:r>
    </w:p>
    <w:p w14:paraId="372265F9" w14:textId="77777777" w:rsidR="00543E99" w:rsidRPr="0071060F" w:rsidRDefault="00543E99" w:rsidP="000C19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Norint sužinoti optimalų įmonės einamojo likvidumo koeficientą, reikia nagrinėti ir įvairius kitus veiksnius: trumpalaikio turto sudėtį, atsiskaitymus su tiekėjais, pirkėjų įsiskolinimą.</w:t>
      </w:r>
    </w:p>
    <w:p w14:paraId="3DAEDAFF" w14:textId="77777777" w:rsidR="000C192E" w:rsidRPr="00E912D8" w:rsidRDefault="000C192E" w:rsidP="000C192E">
      <w:pPr>
        <w:autoSpaceDE w:val="0"/>
        <w:autoSpaceDN w:val="0"/>
        <w:adjustRightInd w:val="0"/>
        <w:spacing w:after="0" w:line="240" w:lineRule="auto"/>
        <w:rPr>
          <w:rFonts w:ascii="KlavikaQX-Light" w:hAnsi="KlavikaQX-Light" w:cs="KlavikaQX-Light"/>
          <w:sz w:val="26"/>
          <w:szCs w:val="26"/>
        </w:rPr>
      </w:pPr>
    </w:p>
    <w:p w14:paraId="781444CC" w14:textId="77777777" w:rsidR="000C192E" w:rsidRDefault="00E612B9" w:rsidP="000C192E">
      <w:pPr>
        <w:spacing w:after="0" w:line="360" w:lineRule="auto"/>
        <w:ind w:firstLine="567"/>
        <w:jc w:val="both"/>
        <w:rPr>
          <w:rFonts w:ascii="Times New Roman" w:hAnsi="Times New Roman" w:cs="Times New Roman"/>
          <w:sz w:val="24"/>
          <w:szCs w:val="24"/>
        </w:rPr>
      </w:pPr>
      <w:r>
        <w:rPr>
          <w:rFonts w:ascii="Times New Roman" w:hAnsi="Times New Roman" w:cs="Times New Roman"/>
          <w:b/>
          <w:noProof/>
          <w:sz w:val="24"/>
          <w:szCs w:val="24"/>
          <w:lang w:eastAsia="lt-LT"/>
        </w:rPr>
        <w:pict w14:anchorId="5A518130">
          <v:shape id="_x0000_s1066" type="#_x0000_t202" style="position:absolute;left:0;text-align:left;margin-left:474.2pt;margin-top:185.85pt;width:33.4pt;height:28.85pt;z-index:251667968;mso-width-relative:margin;mso-height-relative:margin" filled="f" stroked="f" strokecolor="white [3212]">
            <v:textbox style="mso-next-textbox:#_x0000_s1066">
              <w:txbxContent>
                <w:p w14:paraId="457A2D1F" w14:textId="77777777" w:rsidR="004E51DB" w:rsidRPr="003260E4" w:rsidRDefault="004E51DB" w:rsidP="00EE7119">
                  <w:pPr>
                    <w:rPr>
                      <w:rFonts w:ascii="Times New Roman" w:hAnsi="Times New Roman" w:cs="Times New Roman"/>
                      <w:sz w:val="24"/>
                      <w:szCs w:val="24"/>
                    </w:rPr>
                  </w:pPr>
                  <w:r w:rsidRPr="003260E4">
                    <w:rPr>
                      <w:rFonts w:ascii="Times New Roman" w:hAnsi="Times New Roman" w:cs="Times New Roman"/>
                      <w:sz w:val="24"/>
                      <w:szCs w:val="24"/>
                    </w:rPr>
                    <w:t>(</w:t>
                  </w:r>
                  <w:r>
                    <w:rPr>
                      <w:rFonts w:ascii="Times New Roman" w:hAnsi="Times New Roman" w:cs="Times New Roman"/>
                      <w:sz w:val="24"/>
                      <w:szCs w:val="24"/>
                    </w:rPr>
                    <w:t>5</w:t>
                  </w:r>
                  <w:r w:rsidRPr="003260E4">
                    <w:rPr>
                      <w:rFonts w:ascii="Times New Roman" w:hAnsi="Times New Roman" w:cs="Times New Roman"/>
                      <w:sz w:val="24"/>
                      <w:szCs w:val="24"/>
                    </w:rPr>
                    <w:t>)</w:t>
                  </w:r>
                </w:p>
              </w:txbxContent>
            </v:textbox>
          </v:shape>
        </w:pict>
      </w:r>
      <w:r w:rsidR="005761E2">
        <w:rPr>
          <w:rFonts w:ascii="Times New Roman" w:hAnsi="Times New Roman" w:cs="Times New Roman"/>
          <w:b/>
          <w:sz w:val="24"/>
          <w:szCs w:val="24"/>
        </w:rPr>
        <w:t>Greitojo</w:t>
      </w:r>
      <w:r w:rsidR="000C192E">
        <w:rPr>
          <w:rFonts w:ascii="Times New Roman" w:hAnsi="Times New Roman" w:cs="Times New Roman"/>
          <w:b/>
          <w:sz w:val="24"/>
          <w:szCs w:val="24"/>
        </w:rPr>
        <w:t xml:space="preserve"> likvidumo koeficientas. </w:t>
      </w:r>
      <w:r w:rsidR="000C192E" w:rsidRPr="00D77249">
        <w:rPr>
          <w:rFonts w:ascii="Times New Roman" w:hAnsi="Times New Roman" w:cs="Times New Roman"/>
          <w:sz w:val="24"/>
          <w:szCs w:val="24"/>
        </w:rPr>
        <w:t>Šis</w:t>
      </w:r>
      <w:r w:rsidR="000C192E">
        <w:rPr>
          <w:rFonts w:ascii="Times New Roman" w:hAnsi="Times New Roman" w:cs="Times New Roman"/>
          <w:b/>
          <w:sz w:val="24"/>
          <w:szCs w:val="24"/>
        </w:rPr>
        <w:t xml:space="preserve"> </w:t>
      </w:r>
      <w:r w:rsidR="000C192E">
        <w:rPr>
          <w:rFonts w:ascii="Times New Roman" w:hAnsi="Times New Roman" w:cs="Times New Roman"/>
          <w:sz w:val="24"/>
          <w:szCs w:val="24"/>
        </w:rPr>
        <w:t>koeficientas yra griežtesnis įmonės likvidumo lygio įvertinimas</w:t>
      </w:r>
      <w:r w:rsidR="00D67182">
        <w:rPr>
          <w:rFonts w:ascii="Times New Roman" w:hAnsi="Times New Roman" w:cs="Times New Roman"/>
          <w:sz w:val="24"/>
          <w:szCs w:val="24"/>
        </w:rPr>
        <w:t xml:space="preserve">. </w:t>
      </w:r>
      <w:r w:rsidR="000C192E">
        <w:rPr>
          <w:rFonts w:ascii="Times New Roman" w:hAnsi="Times New Roman" w:cs="Times New Roman"/>
          <w:sz w:val="24"/>
          <w:szCs w:val="24"/>
        </w:rPr>
        <w:t xml:space="preserve">Jis parodo įmonės sugebėjimą greitai realizuojamu trumpalaikiu turtu padengti trumpalaikius įsipareigojimus, todėl iš trumpalaikio turto atimamos atsargos kaip mažai likvidus turtas. </w:t>
      </w:r>
      <w:r w:rsidR="000C192E" w:rsidRPr="00C12A74">
        <w:rPr>
          <w:rFonts w:ascii="Times New Roman" w:hAnsi="Times New Roman" w:cs="Times New Roman"/>
          <w:sz w:val="24"/>
          <w:szCs w:val="24"/>
        </w:rPr>
        <w:t>Tuo</w:t>
      </w:r>
      <w:r w:rsidR="000C192E">
        <w:rPr>
          <w:rFonts w:ascii="Times New Roman" w:hAnsi="Times New Roman" w:cs="Times New Roman"/>
          <w:sz w:val="24"/>
          <w:szCs w:val="24"/>
        </w:rPr>
        <w:t xml:space="preserve"> </w:t>
      </w:r>
      <w:r w:rsidR="000C192E" w:rsidRPr="00C12A74">
        <w:rPr>
          <w:rFonts w:ascii="Times New Roman" w:hAnsi="Times New Roman" w:cs="Times New Roman"/>
          <w:sz w:val="24"/>
          <w:szCs w:val="24"/>
        </w:rPr>
        <w:t>tarpu pirkėjų įsiskolinimas laikomas likvidžiu. Tačiau taip yra tik tuose ekonomikos sektoriuose, kuriuose pirkėjai atsiskaito per labai trumpą laiką arba klientams būdingas aukštas kreditingumas</w:t>
      </w:r>
      <w:r w:rsidR="00C11DB9">
        <w:rPr>
          <w:rFonts w:ascii="Times New Roman" w:hAnsi="Times New Roman" w:cs="Times New Roman"/>
          <w:sz w:val="24"/>
          <w:szCs w:val="24"/>
        </w:rPr>
        <w:t xml:space="preserve"> (Vernimmen at al., 2009)</w:t>
      </w:r>
      <w:r w:rsidR="000C192E" w:rsidRPr="00C12A74">
        <w:rPr>
          <w:rFonts w:ascii="Times New Roman" w:hAnsi="Times New Roman" w:cs="Times New Roman"/>
          <w:sz w:val="24"/>
          <w:szCs w:val="24"/>
        </w:rPr>
        <w:t>.</w:t>
      </w:r>
      <w:r w:rsidR="000C192E">
        <w:rPr>
          <w:rFonts w:ascii="Times New Roman" w:hAnsi="Times New Roman" w:cs="Times New Roman"/>
          <w:sz w:val="24"/>
          <w:szCs w:val="24"/>
        </w:rPr>
        <w:t xml:space="preserve"> </w:t>
      </w:r>
      <w:r w:rsidR="00D67182">
        <w:rPr>
          <w:rFonts w:ascii="Times New Roman" w:hAnsi="Times New Roman" w:cs="Times New Roman"/>
          <w:sz w:val="24"/>
          <w:szCs w:val="24"/>
        </w:rPr>
        <w:t xml:space="preserve">Be to, ne visada atsargos yra mažiau likvidus turtas nei pirkėjų įsiskolinimas. </w:t>
      </w:r>
      <w:r w:rsidR="007965D3">
        <w:rPr>
          <w:rFonts w:ascii="Times New Roman" w:hAnsi="Times New Roman" w:cs="Times New Roman"/>
          <w:sz w:val="24"/>
          <w:szCs w:val="24"/>
        </w:rPr>
        <w:t xml:space="preserve">Vėluojantys atsiskaitymai sumažina grynųjų pinigų kiekį įmonėje ir sukelia likvidumo riziką, sukeliančią grėsmę bankrutuoti net pelningai dirbančioms įmonėms. </w:t>
      </w:r>
      <w:r w:rsidR="000C192E">
        <w:rPr>
          <w:rFonts w:ascii="Times New Roman" w:hAnsi="Times New Roman" w:cs="Times New Roman"/>
          <w:sz w:val="24"/>
          <w:szCs w:val="24"/>
        </w:rPr>
        <w:t>Kritinis likvidumas apskaičiuojamas:</w:t>
      </w:r>
    </w:p>
    <w:p w14:paraId="3CA02FFC" w14:textId="77777777" w:rsidR="000C192E" w:rsidRPr="000A2A34" w:rsidRDefault="005761E2" w:rsidP="000C192E">
      <w:pPr>
        <w:spacing w:after="0" w:line="360" w:lineRule="auto"/>
        <w:ind w:firstLine="567"/>
        <w:jc w:val="both"/>
        <w:rPr>
          <w:rFonts w:ascii="Times New Roman" w:hAnsi="Times New Roman" w:cs="Times New Roman"/>
          <w:i/>
          <w:sz w:val="24"/>
          <w:szCs w:val="24"/>
        </w:rPr>
      </w:pPr>
      <m:oMathPara>
        <m:oMathParaPr>
          <m:jc m:val="center"/>
        </m:oMathParaPr>
        <m:oMath>
          <m:r>
            <w:rPr>
              <w:rFonts w:ascii="Cambria Math" w:hAnsi="Cambria Math" w:cs="Times New Roman"/>
              <w:sz w:val="24"/>
              <w:szCs w:val="24"/>
            </w:rPr>
            <m:t>Greitojo likvidumo koeficientas=</m:t>
          </m:r>
          <m:f>
            <m:fPr>
              <m:ctrlPr>
                <w:rPr>
                  <w:rFonts w:ascii="Cambria Math" w:hAnsi="Cambria Math" w:cs="Times New Roman"/>
                  <w:i/>
                  <w:sz w:val="24"/>
                  <w:szCs w:val="24"/>
                </w:rPr>
              </m:ctrlPr>
            </m:fPr>
            <m:num>
              <m:r>
                <w:rPr>
                  <w:rFonts w:ascii="Cambria Math" w:hAnsi="Cambria Math" w:cs="Times New Roman"/>
                  <w:sz w:val="24"/>
                  <w:szCs w:val="24"/>
                </w:rPr>
                <m:t>Trumpalaikis turtas-Atsargos</m:t>
              </m:r>
            </m:num>
            <m:den>
              <m:r>
                <w:rPr>
                  <w:rFonts w:ascii="Cambria Math" w:hAnsi="Cambria Math" w:cs="Times New Roman"/>
                  <w:sz w:val="24"/>
                  <w:szCs w:val="24"/>
                </w:rPr>
                <m:t>Trumpalaikiai įsipareigojimai</m:t>
              </m:r>
            </m:den>
          </m:f>
        </m:oMath>
      </m:oMathPara>
    </w:p>
    <w:p w14:paraId="685DA359" w14:textId="77777777" w:rsidR="00EE7119" w:rsidRDefault="00EE7119" w:rsidP="007965D3">
      <w:pPr>
        <w:autoSpaceDE w:val="0"/>
        <w:autoSpaceDN w:val="0"/>
        <w:adjustRightInd w:val="0"/>
        <w:spacing w:after="0" w:line="360" w:lineRule="auto"/>
        <w:ind w:firstLine="567"/>
        <w:jc w:val="both"/>
        <w:rPr>
          <w:rFonts w:ascii="Times New Roman" w:hAnsi="Times New Roman" w:cs="Times New Roman"/>
          <w:sz w:val="24"/>
          <w:szCs w:val="24"/>
        </w:rPr>
      </w:pPr>
    </w:p>
    <w:p w14:paraId="6B506E23" w14:textId="77777777" w:rsidR="000C192E" w:rsidRDefault="000C192E" w:rsidP="007965D3">
      <w:pPr>
        <w:autoSpaceDE w:val="0"/>
        <w:autoSpaceDN w:val="0"/>
        <w:adjustRightInd w:val="0"/>
        <w:spacing w:after="0" w:line="360" w:lineRule="auto"/>
        <w:ind w:firstLine="567"/>
        <w:jc w:val="both"/>
        <w:rPr>
          <w:rFonts w:ascii="Times New Roman" w:hAnsi="Times New Roman" w:cs="Times New Roman"/>
          <w:sz w:val="24"/>
          <w:szCs w:val="24"/>
        </w:rPr>
      </w:pPr>
      <w:r w:rsidRPr="00C12A74">
        <w:rPr>
          <w:rFonts w:ascii="Times New Roman" w:hAnsi="Times New Roman" w:cs="Times New Roman"/>
          <w:sz w:val="24"/>
          <w:szCs w:val="24"/>
        </w:rPr>
        <w:t>Jeigu likvidus turtas viršija trumpalaikius įsipareigojimus, laikoma, kad tokia įmonė yra saugi ir neturėtų susidurti su trumpalaikio likvidumo problemomis. Praktikoje kritinio likvidumo koeficientas svyruoja apie 1, tačiau atitinkamos</w:t>
      </w:r>
      <w:r>
        <w:rPr>
          <w:rFonts w:ascii="Times New Roman" w:hAnsi="Times New Roman" w:cs="Times New Roman"/>
          <w:sz w:val="24"/>
          <w:szCs w:val="24"/>
        </w:rPr>
        <w:t xml:space="preserve"> </w:t>
      </w:r>
      <w:r w:rsidRPr="00C12A74">
        <w:rPr>
          <w:rFonts w:ascii="Times New Roman" w:hAnsi="Times New Roman" w:cs="Times New Roman"/>
          <w:sz w:val="24"/>
          <w:szCs w:val="24"/>
        </w:rPr>
        <w:t>normos nustatymas priklauso nuo konkretaus nagrinėjamo ekonomikos sektoriaus ypatumų.</w:t>
      </w:r>
      <w:r w:rsidR="00D67182">
        <w:rPr>
          <w:rFonts w:ascii="Times New Roman" w:hAnsi="Times New Roman" w:cs="Times New Roman"/>
          <w:sz w:val="24"/>
          <w:szCs w:val="24"/>
        </w:rPr>
        <w:t xml:space="preserve"> Kritinio likvidumo koeficientas daugiau rodo įmonės likvidavimo vaizdą, o ne likvidumą tęstinumo požiūriu. </w:t>
      </w:r>
    </w:p>
    <w:p w14:paraId="079E28A2" w14:textId="77777777" w:rsidR="007965D3" w:rsidRPr="007965D3" w:rsidRDefault="007965D3" w:rsidP="007965D3">
      <w:pPr>
        <w:autoSpaceDE w:val="0"/>
        <w:autoSpaceDN w:val="0"/>
        <w:adjustRightInd w:val="0"/>
        <w:spacing w:after="0" w:line="360" w:lineRule="auto"/>
        <w:ind w:firstLine="567"/>
        <w:jc w:val="both"/>
        <w:rPr>
          <w:rFonts w:ascii="Times New Roman" w:hAnsi="Times New Roman" w:cs="Times New Roman"/>
          <w:sz w:val="24"/>
          <w:szCs w:val="24"/>
        </w:rPr>
      </w:pPr>
    </w:p>
    <w:p w14:paraId="59898253" w14:textId="77777777" w:rsidR="000C192E" w:rsidRDefault="00E612B9" w:rsidP="000C192E">
      <w:pPr>
        <w:spacing w:after="0" w:line="360" w:lineRule="auto"/>
        <w:ind w:firstLine="567"/>
        <w:jc w:val="both"/>
        <w:rPr>
          <w:rFonts w:ascii="Times New Roman" w:hAnsi="Times New Roman" w:cs="Times New Roman"/>
          <w:sz w:val="24"/>
          <w:szCs w:val="24"/>
        </w:rPr>
      </w:pPr>
      <w:r>
        <w:rPr>
          <w:rFonts w:ascii="Times New Roman" w:hAnsi="Times New Roman" w:cs="Times New Roman"/>
          <w:b/>
          <w:noProof/>
          <w:sz w:val="24"/>
          <w:szCs w:val="24"/>
          <w:lang w:eastAsia="lt-LT"/>
        </w:rPr>
        <w:pict w14:anchorId="03D5E7AE">
          <v:shape id="_x0000_s1067" type="#_x0000_t202" style="position:absolute;left:0;text-align:left;margin-left:474.2pt;margin-top:121.15pt;width:34pt;height:23.15pt;z-index:251668992;mso-width-relative:margin;mso-height-relative:margin" filled="f" stroked="f" strokecolor="white [3212]">
            <v:textbox style="mso-next-textbox:#_x0000_s1067">
              <w:txbxContent>
                <w:p w14:paraId="5E8E568B" w14:textId="77777777" w:rsidR="004E51DB" w:rsidRPr="003260E4" w:rsidRDefault="004E51DB" w:rsidP="00EE7119">
                  <w:pPr>
                    <w:ind w:right="-41"/>
                    <w:rPr>
                      <w:rFonts w:ascii="Times New Roman" w:hAnsi="Times New Roman" w:cs="Times New Roman"/>
                      <w:sz w:val="24"/>
                      <w:szCs w:val="24"/>
                    </w:rPr>
                  </w:pPr>
                  <w:r w:rsidRPr="003260E4">
                    <w:rPr>
                      <w:rFonts w:ascii="Times New Roman" w:hAnsi="Times New Roman" w:cs="Times New Roman"/>
                      <w:sz w:val="24"/>
                      <w:szCs w:val="24"/>
                    </w:rPr>
                    <w:t>(</w:t>
                  </w:r>
                  <w:r>
                    <w:rPr>
                      <w:rFonts w:ascii="Times New Roman" w:hAnsi="Times New Roman" w:cs="Times New Roman"/>
                      <w:sz w:val="24"/>
                      <w:szCs w:val="24"/>
                    </w:rPr>
                    <w:t>6</w:t>
                  </w:r>
                  <w:r w:rsidRPr="003260E4">
                    <w:rPr>
                      <w:rFonts w:ascii="Times New Roman" w:hAnsi="Times New Roman" w:cs="Times New Roman"/>
                      <w:sz w:val="24"/>
                      <w:szCs w:val="24"/>
                    </w:rPr>
                    <w:t>)</w:t>
                  </w:r>
                </w:p>
              </w:txbxContent>
            </v:textbox>
          </v:shape>
        </w:pict>
      </w:r>
      <w:r w:rsidR="00D00859">
        <w:rPr>
          <w:rFonts w:ascii="Times New Roman" w:hAnsi="Times New Roman" w:cs="Times New Roman"/>
          <w:b/>
          <w:sz w:val="24"/>
          <w:szCs w:val="24"/>
        </w:rPr>
        <w:t>Kritinio</w:t>
      </w:r>
      <w:r w:rsidR="000C192E">
        <w:rPr>
          <w:rFonts w:ascii="Times New Roman" w:hAnsi="Times New Roman" w:cs="Times New Roman"/>
          <w:b/>
          <w:sz w:val="24"/>
          <w:szCs w:val="24"/>
        </w:rPr>
        <w:t xml:space="preserve"> likvidumo rodiklis. </w:t>
      </w:r>
      <w:r w:rsidR="000C192E">
        <w:rPr>
          <w:rFonts w:ascii="Times New Roman" w:hAnsi="Times New Roman" w:cs="Times New Roman"/>
          <w:sz w:val="24"/>
          <w:szCs w:val="24"/>
        </w:rPr>
        <w:t xml:space="preserve">Šis rodiklis </w:t>
      </w:r>
      <w:r w:rsidR="000C192E" w:rsidRPr="00DF7F24">
        <w:rPr>
          <w:rFonts w:ascii="Times New Roman" w:hAnsi="Times New Roman" w:cs="Times New Roman"/>
          <w:sz w:val="24"/>
          <w:szCs w:val="24"/>
        </w:rPr>
        <w:t>parodo įmonės sugebėjimą piniginėmis ar joms prilyginamomis lėšomis padengti trumpalaikius įsipareigojimus,</w:t>
      </w:r>
      <w:r w:rsidR="000C192E">
        <w:rPr>
          <w:rFonts w:ascii="Times New Roman" w:hAnsi="Times New Roman" w:cs="Times New Roman"/>
          <w:sz w:val="24"/>
          <w:szCs w:val="24"/>
        </w:rPr>
        <w:t xml:space="preserve"> </w:t>
      </w:r>
      <w:r w:rsidR="00EE7119">
        <w:rPr>
          <w:rFonts w:ascii="Times New Roman" w:hAnsi="Times New Roman" w:cs="Times New Roman"/>
          <w:sz w:val="24"/>
          <w:szCs w:val="24"/>
        </w:rPr>
        <w:t xml:space="preserve">t. y., </w:t>
      </w:r>
      <w:r w:rsidR="000C192E" w:rsidRPr="00DF7F24">
        <w:rPr>
          <w:rFonts w:ascii="Times New Roman" w:hAnsi="Times New Roman" w:cs="Times New Roman"/>
          <w:sz w:val="24"/>
          <w:szCs w:val="24"/>
        </w:rPr>
        <w:t xml:space="preserve">kaip įmonė šiuo metu galėtų padengti visus trumpalaikius įsipareigojimus. </w:t>
      </w:r>
      <w:r w:rsidR="000C192E">
        <w:rPr>
          <w:rFonts w:ascii="Times New Roman" w:hAnsi="Times New Roman" w:cs="Times New Roman"/>
          <w:sz w:val="24"/>
          <w:szCs w:val="24"/>
        </w:rPr>
        <w:t>Absoliutaus likvidumo pinigais rodiklis yra pats konservatyviausias iš visų likvidumo rodiklių</w:t>
      </w:r>
      <w:r w:rsidR="000C192E" w:rsidRPr="0071060F">
        <w:rPr>
          <w:rFonts w:ascii="Times New Roman" w:hAnsi="Times New Roman" w:cs="Times New Roman"/>
          <w:sz w:val="24"/>
          <w:szCs w:val="24"/>
        </w:rPr>
        <w:t>, nes jį</w:t>
      </w:r>
      <w:r w:rsidR="000C192E">
        <w:rPr>
          <w:rFonts w:ascii="Times New Roman" w:hAnsi="Times New Roman" w:cs="Times New Roman"/>
          <w:sz w:val="24"/>
          <w:szCs w:val="24"/>
        </w:rPr>
        <w:t xml:space="preserve"> </w:t>
      </w:r>
      <w:r w:rsidR="000C192E" w:rsidRPr="0071060F">
        <w:rPr>
          <w:rFonts w:ascii="Times New Roman" w:hAnsi="Times New Roman" w:cs="Times New Roman"/>
          <w:sz w:val="24"/>
          <w:szCs w:val="24"/>
        </w:rPr>
        <w:t>apskaičiuojant daroma prielaida, kad pirkėjų įsiskolinimas ir kitos per vienerius metus gautinos sumos irgi gali būti nelikvidžios.</w:t>
      </w:r>
      <w:r w:rsidR="000C192E">
        <w:rPr>
          <w:rFonts w:ascii="Times New Roman" w:hAnsi="Times New Roman" w:cs="Times New Roman"/>
          <w:sz w:val="24"/>
          <w:szCs w:val="24"/>
        </w:rPr>
        <w:t xml:space="preserve"> Šis rodiklis apskaičiuojamas pagal formulę:</w:t>
      </w:r>
    </w:p>
    <w:p w14:paraId="0B59A231" w14:textId="77777777" w:rsidR="000C192E" w:rsidRPr="000A2A34" w:rsidRDefault="00D00859" w:rsidP="000C192E">
      <w:pPr>
        <w:spacing w:after="0" w:line="360" w:lineRule="auto"/>
        <w:ind w:firstLine="567"/>
        <w:jc w:val="both"/>
        <w:rPr>
          <w:rFonts w:ascii="Times New Roman" w:hAnsi="Times New Roman" w:cs="Times New Roman"/>
          <w:i/>
          <w:sz w:val="24"/>
          <w:szCs w:val="24"/>
        </w:rPr>
      </w:pPr>
      <m:oMathPara>
        <m:oMathParaPr>
          <m:jc m:val="center"/>
        </m:oMathParaPr>
        <m:oMath>
          <m:r>
            <w:rPr>
              <w:rFonts w:ascii="Cambria Math" w:hAnsi="Cambria Math" w:cs="Times New Roman"/>
              <w:sz w:val="24"/>
              <w:szCs w:val="24"/>
            </w:rPr>
            <m:t>Kritinio likvidumo koeficientas=</m:t>
          </m:r>
          <m:f>
            <m:fPr>
              <m:ctrlPr>
                <w:rPr>
                  <w:rFonts w:ascii="Cambria Math" w:hAnsi="Cambria Math" w:cs="Times New Roman"/>
                  <w:i/>
                  <w:sz w:val="24"/>
                  <w:szCs w:val="24"/>
                </w:rPr>
              </m:ctrlPr>
            </m:fPr>
            <m:num>
              <m:r>
                <w:rPr>
                  <w:rFonts w:ascii="Cambria Math" w:hAnsi="Cambria Math" w:cs="Times New Roman"/>
                  <w:sz w:val="24"/>
                  <w:szCs w:val="24"/>
                </w:rPr>
                <m:t>Pinigai ir jų ekvivalentai</m:t>
              </m:r>
            </m:num>
            <m:den>
              <m:r>
                <w:rPr>
                  <w:rFonts w:ascii="Cambria Math" w:hAnsi="Cambria Math" w:cs="Times New Roman"/>
                  <w:sz w:val="24"/>
                  <w:szCs w:val="24"/>
                </w:rPr>
                <m:t>Trumpalaikiai įsipareigojimai</m:t>
              </m:r>
            </m:den>
          </m:f>
        </m:oMath>
      </m:oMathPara>
    </w:p>
    <w:p w14:paraId="08AFE4D5" w14:textId="77777777" w:rsidR="00EE7119" w:rsidRDefault="00EE7119" w:rsidP="00C11DB9">
      <w:pPr>
        <w:spacing w:after="0" w:line="360" w:lineRule="auto"/>
        <w:ind w:firstLine="567"/>
        <w:jc w:val="both"/>
        <w:rPr>
          <w:rFonts w:ascii="Times New Roman" w:hAnsi="Times New Roman" w:cs="Times New Roman"/>
          <w:sz w:val="24"/>
          <w:szCs w:val="24"/>
        </w:rPr>
      </w:pPr>
    </w:p>
    <w:p w14:paraId="5EEA673D" w14:textId="77777777" w:rsidR="00C11DB9" w:rsidRDefault="000C192E" w:rsidP="00C11DB9">
      <w:pPr>
        <w:spacing w:after="0" w:line="360" w:lineRule="auto"/>
        <w:ind w:firstLine="567"/>
        <w:jc w:val="both"/>
        <w:rPr>
          <w:rFonts w:ascii="Times New Roman" w:hAnsi="Times New Roman" w:cs="Times New Roman"/>
          <w:sz w:val="24"/>
          <w:szCs w:val="24"/>
        </w:rPr>
      </w:pPr>
      <w:r w:rsidRPr="00DF7F24">
        <w:rPr>
          <w:rFonts w:ascii="Times New Roman" w:hAnsi="Times New Roman" w:cs="Times New Roman"/>
          <w:sz w:val="24"/>
          <w:szCs w:val="24"/>
        </w:rPr>
        <w:t xml:space="preserve">Skaičiuojant šį rodiklį iš </w:t>
      </w:r>
      <w:r>
        <w:rPr>
          <w:rFonts w:ascii="Times New Roman" w:hAnsi="Times New Roman" w:cs="Times New Roman"/>
          <w:sz w:val="24"/>
          <w:szCs w:val="24"/>
        </w:rPr>
        <w:t xml:space="preserve">trumpalaikio </w:t>
      </w:r>
      <w:r w:rsidRPr="00DF7F24">
        <w:rPr>
          <w:rFonts w:ascii="Times New Roman" w:hAnsi="Times New Roman" w:cs="Times New Roman"/>
          <w:sz w:val="24"/>
          <w:szCs w:val="24"/>
        </w:rPr>
        <w:t>turto atimam</w:t>
      </w:r>
      <w:r w:rsidR="00916DB9">
        <w:rPr>
          <w:rFonts w:ascii="Times New Roman" w:hAnsi="Times New Roman" w:cs="Times New Roman"/>
          <w:sz w:val="24"/>
          <w:szCs w:val="24"/>
        </w:rPr>
        <w:t>os</w:t>
      </w:r>
      <w:r w:rsidRPr="00DF7F24">
        <w:rPr>
          <w:rFonts w:ascii="Times New Roman" w:hAnsi="Times New Roman" w:cs="Times New Roman"/>
          <w:sz w:val="24"/>
          <w:szCs w:val="24"/>
        </w:rPr>
        <w:t xml:space="preserve"> ne tik atsarg</w:t>
      </w:r>
      <w:r w:rsidR="00916DB9">
        <w:rPr>
          <w:rFonts w:ascii="Times New Roman" w:hAnsi="Times New Roman" w:cs="Times New Roman"/>
          <w:sz w:val="24"/>
          <w:szCs w:val="24"/>
        </w:rPr>
        <w:t>o</w:t>
      </w:r>
      <w:r w:rsidRPr="00DF7F24">
        <w:rPr>
          <w:rFonts w:ascii="Times New Roman" w:hAnsi="Times New Roman" w:cs="Times New Roman"/>
          <w:sz w:val="24"/>
          <w:szCs w:val="24"/>
        </w:rPr>
        <w:t xml:space="preserve">s, bet </w:t>
      </w:r>
      <w:r w:rsidR="00C11DB9">
        <w:rPr>
          <w:rFonts w:ascii="Times New Roman" w:hAnsi="Times New Roman" w:cs="Times New Roman"/>
          <w:sz w:val="24"/>
          <w:szCs w:val="24"/>
        </w:rPr>
        <w:t xml:space="preserve">ir </w:t>
      </w:r>
      <w:r w:rsidRPr="00DF7F24">
        <w:rPr>
          <w:rFonts w:ascii="Times New Roman" w:hAnsi="Times New Roman" w:cs="Times New Roman"/>
          <w:sz w:val="24"/>
          <w:szCs w:val="24"/>
        </w:rPr>
        <w:t>pirkėjų įsiskolinim</w:t>
      </w:r>
      <w:r w:rsidR="00916DB9">
        <w:rPr>
          <w:rFonts w:ascii="Times New Roman" w:hAnsi="Times New Roman" w:cs="Times New Roman"/>
          <w:sz w:val="24"/>
          <w:szCs w:val="24"/>
        </w:rPr>
        <w:t>as</w:t>
      </w:r>
      <w:r w:rsidRPr="00DF7F24">
        <w:rPr>
          <w:rFonts w:ascii="Times New Roman" w:hAnsi="Times New Roman" w:cs="Times New Roman"/>
          <w:sz w:val="24"/>
          <w:szCs w:val="24"/>
        </w:rPr>
        <w:t xml:space="preserve">. </w:t>
      </w:r>
      <w:r>
        <w:rPr>
          <w:rFonts w:ascii="Times New Roman" w:hAnsi="Times New Roman" w:cs="Times New Roman"/>
          <w:sz w:val="24"/>
          <w:szCs w:val="24"/>
        </w:rPr>
        <w:t>Koeficiento dydis parodo</w:t>
      </w:r>
      <w:r w:rsidR="00916DB9">
        <w:rPr>
          <w:rFonts w:ascii="Times New Roman" w:hAnsi="Times New Roman" w:cs="Times New Roman"/>
          <w:sz w:val="24"/>
          <w:szCs w:val="24"/>
        </w:rPr>
        <w:t>,</w:t>
      </w:r>
      <w:r>
        <w:rPr>
          <w:rFonts w:ascii="Times New Roman" w:hAnsi="Times New Roman" w:cs="Times New Roman"/>
          <w:sz w:val="24"/>
          <w:szCs w:val="24"/>
        </w:rPr>
        <w:t xml:space="preserve"> kiek vie</w:t>
      </w:r>
      <w:r w:rsidRPr="00DF7F24">
        <w:rPr>
          <w:rFonts w:ascii="Times New Roman" w:hAnsi="Times New Roman" w:cs="Times New Roman"/>
          <w:sz w:val="24"/>
          <w:szCs w:val="24"/>
        </w:rPr>
        <w:t>nas trumpalaikių įsipareigojimų litas dengiamas pinigais</w:t>
      </w:r>
      <w:r w:rsidR="00C11DB9">
        <w:rPr>
          <w:rFonts w:ascii="Times New Roman" w:hAnsi="Times New Roman" w:cs="Times New Roman"/>
          <w:sz w:val="24"/>
          <w:szCs w:val="24"/>
        </w:rPr>
        <w:t xml:space="preserve"> ir jiems prilygintomis lėšomis</w:t>
      </w:r>
      <w:r w:rsidRPr="0071060F">
        <w:rPr>
          <w:rFonts w:ascii="Times New Roman" w:hAnsi="Times New Roman" w:cs="Times New Roman"/>
          <w:sz w:val="24"/>
          <w:szCs w:val="24"/>
        </w:rPr>
        <w:t xml:space="preserve">, kokią dalį trumpalaikių įsipareigojimų įmonė gali skubiai padengti kritiniu atveju, pasinaudodama faktiškai turima pinigų suma. Šis rodiklis rodo įmonės gebėjimą uždirbti pinigus, kuris priklauso nuo įmonės veiklos pobūdžio ir veiklos ciklo ypatumų bei pinigų valdymo </w:t>
      </w:r>
      <w:r w:rsidRPr="0071060F">
        <w:rPr>
          <w:rFonts w:ascii="Times New Roman" w:hAnsi="Times New Roman" w:cs="Times New Roman"/>
          <w:sz w:val="24"/>
          <w:szCs w:val="24"/>
        </w:rPr>
        <w:lastRenderedPageBreak/>
        <w:t>politikos. Kuo konservatyvesnė įmonės pinigų valdymo</w:t>
      </w:r>
      <w:r>
        <w:rPr>
          <w:rFonts w:ascii="Times New Roman" w:hAnsi="Times New Roman" w:cs="Times New Roman"/>
          <w:sz w:val="24"/>
          <w:szCs w:val="24"/>
        </w:rPr>
        <w:t xml:space="preserve"> </w:t>
      </w:r>
      <w:r w:rsidRPr="0071060F">
        <w:rPr>
          <w:rFonts w:ascii="Times New Roman" w:hAnsi="Times New Roman" w:cs="Times New Roman"/>
          <w:sz w:val="24"/>
          <w:szCs w:val="24"/>
        </w:rPr>
        <w:t xml:space="preserve">politika, tuo didesnis laikomų pinigų ir pinigų ekvivalentų likutis, tuo šis rodiklis aukštesnis. </w:t>
      </w:r>
    </w:p>
    <w:p w14:paraId="61878146" w14:textId="77777777" w:rsidR="00C04A9C" w:rsidRDefault="00812AF2" w:rsidP="00C04A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Dažniausiai praktikoje naudojami santykiniai likvidumo rodikliai</w:t>
      </w:r>
      <w:r w:rsidR="007965D3">
        <w:rPr>
          <w:rFonts w:ascii="Times New Roman" w:hAnsi="Times New Roman" w:cs="Times New Roman"/>
          <w:sz w:val="24"/>
          <w:szCs w:val="24"/>
        </w:rPr>
        <w:t xml:space="preserve"> </w:t>
      </w:r>
      <w:r w:rsidR="00916DB9">
        <w:rPr>
          <w:rFonts w:ascii="Times New Roman" w:hAnsi="Times New Roman" w:cs="Times New Roman"/>
          <w:sz w:val="24"/>
          <w:szCs w:val="24"/>
        </w:rPr>
        <w:t xml:space="preserve">– </w:t>
      </w:r>
      <w:r>
        <w:rPr>
          <w:rFonts w:ascii="Times New Roman" w:hAnsi="Times New Roman" w:cs="Times New Roman"/>
          <w:sz w:val="24"/>
          <w:szCs w:val="24"/>
        </w:rPr>
        <w:t>einamasis</w:t>
      </w:r>
      <w:r w:rsidR="00916DB9">
        <w:rPr>
          <w:rFonts w:ascii="Times New Roman" w:hAnsi="Times New Roman" w:cs="Times New Roman"/>
          <w:sz w:val="24"/>
          <w:szCs w:val="24"/>
        </w:rPr>
        <w:t xml:space="preserve"> </w:t>
      </w:r>
      <w:r>
        <w:rPr>
          <w:rFonts w:ascii="Times New Roman" w:hAnsi="Times New Roman" w:cs="Times New Roman"/>
          <w:sz w:val="24"/>
          <w:szCs w:val="24"/>
        </w:rPr>
        <w:t xml:space="preserve">likvidumas ir </w:t>
      </w:r>
      <w:r w:rsidR="007965D3">
        <w:rPr>
          <w:rFonts w:ascii="Times New Roman" w:hAnsi="Times New Roman" w:cs="Times New Roman"/>
          <w:sz w:val="24"/>
          <w:szCs w:val="24"/>
        </w:rPr>
        <w:t>kritinis likvidumas</w:t>
      </w:r>
      <w:r w:rsidR="00916DB9">
        <w:rPr>
          <w:rFonts w:ascii="Times New Roman" w:hAnsi="Times New Roman" w:cs="Times New Roman"/>
          <w:sz w:val="24"/>
          <w:szCs w:val="24"/>
        </w:rPr>
        <w:t>,</w:t>
      </w:r>
      <w:r w:rsidR="007965D3">
        <w:rPr>
          <w:rFonts w:ascii="Times New Roman" w:hAnsi="Times New Roman" w:cs="Times New Roman"/>
          <w:sz w:val="24"/>
          <w:szCs w:val="24"/>
        </w:rPr>
        <w:t xml:space="preserve"> yra funkcijos</w:t>
      </w:r>
      <w:r w:rsidR="00916DB9">
        <w:rPr>
          <w:rFonts w:ascii="Times New Roman" w:hAnsi="Times New Roman" w:cs="Times New Roman"/>
          <w:sz w:val="24"/>
          <w:szCs w:val="24"/>
        </w:rPr>
        <w:t>,</w:t>
      </w:r>
      <w:r w:rsidR="007965D3">
        <w:rPr>
          <w:rFonts w:ascii="Times New Roman" w:hAnsi="Times New Roman" w:cs="Times New Roman"/>
          <w:sz w:val="24"/>
          <w:szCs w:val="24"/>
        </w:rPr>
        <w:t xml:space="preserve"> susidedančios iš daugybės kintamųjų, kurie skirtingai veikia įmonės likvidumą</w:t>
      </w:r>
      <w:r w:rsidR="00953EF9">
        <w:rPr>
          <w:rFonts w:ascii="Times New Roman" w:hAnsi="Times New Roman" w:cs="Times New Roman"/>
          <w:sz w:val="24"/>
          <w:szCs w:val="24"/>
        </w:rPr>
        <w:t xml:space="preserve"> (Huff, Harper 1999)</w:t>
      </w:r>
      <w:r w:rsidR="007965D3">
        <w:rPr>
          <w:rFonts w:ascii="Times New Roman" w:hAnsi="Times New Roman" w:cs="Times New Roman"/>
          <w:sz w:val="24"/>
          <w:szCs w:val="24"/>
        </w:rPr>
        <w:t>. Tačiau kalbant apie likvidumą</w:t>
      </w:r>
      <w:r w:rsidR="00916DB9">
        <w:rPr>
          <w:rFonts w:ascii="Times New Roman" w:hAnsi="Times New Roman" w:cs="Times New Roman"/>
          <w:sz w:val="24"/>
          <w:szCs w:val="24"/>
        </w:rPr>
        <w:t>,</w:t>
      </w:r>
      <w:r w:rsidR="007965D3">
        <w:rPr>
          <w:rFonts w:ascii="Times New Roman" w:hAnsi="Times New Roman" w:cs="Times New Roman"/>
          <w:sz w:val="24"/>
          <w:szCs w:val="24"/>
        </w:rPr>
        <w:t xml:space="preserve"> pagrindinis dėmesys turėtų būti skiriamas piniginėms įplauko</w:t>
      </w:r>
      <w:r w:rsidR="00C11DB9">
        <w:rPr>
          <w:rFonts w:ascii="Times New Roman" w:hAnsi="Times New Roman" w:cs="Times New Roman"/>
          <w:sz w:val="24"/>
          <w:szCs w:val="24"/>
        </w:rPr>
        <w:t>m</w:t>
      </w:r>
      <w:r w:rsidR="007965D3">
        <w:rPr>
          <w:rFonts w:ascii="Times New Roman" w:hAnsi="Times New Roman" w:cs="Times New Roman"/>
          <w:sz w:val="24"/>
          <w:szCs w:val="24"/>
        </w:rPr>
        <w:t>s ir išmokoms (Gallinger, 1997). Pastarųjų metų praktika Lietuvoje parodė, kad įmonės, kurių bendrojo likvidumo koeficientas siekė 2, tokį rodiklį išlaikė iki pat bankroto</w:t>
      </w:r>
      <w:r w:rsidR="009C3184">
        <w:rPr>
          <w:rFonts w:ascii="Times New Roman" w:hAnsi="Times New Roman" w:cs="Times New Roman"/>
          <w:sz w:val="24"/>
          <w:szCs w:val="24"/>
        </w:rPr>
        <w:t xml:space="preserve"> arba išlaikydamos panašų rodiklį dirbo nuostolingai</w:t>
      </w:r>
      <w:r w:rsidR="007965D3">
        <w:rPr>
          <w:rFonts w:ascii="Times New Roman" w:hAnsi="Times New Roman" w:cs="Times New Roman"/>
          <w:sz w:val="24"/>
          <w:szCs w:val="24"/>
        </w:rPr>
        <w:t>.</w:t>
      </w:r>
      <w:r w:rsidR="007965D3">
        <w:rPr>
          <w:rFonts w:ascii="Times New Roman" w:hAnsi="Times New Roman" w:cs="Times New Roman"/>
          <w:color w:val="FF0000"/>
          <w:sz w:val="24"/>
          <w:szCs w:val="24"/>
        </w:rPr>
        <w:t xml:space="preserve"> </w:t>
      </w:r>
      <w:r w:rsidR="007965D3">
        <w:rPr>
          <w:rFonts w:ascii="Times New Roman" w:hAnsi="Times New Roman" w:cs="Times New Roman"/>
          <w:sz w:val="24"/>
          <w:szCs w:val="24"/>
        </w:rPr>
        <w:t xml:space="preserve">Pinigų srautų įtaka likvidumui kelia abejones dėl tradicinių likvidumo koeficientų reikšmingumo ir tinkamumo. Pagrindinis minėtųjų rodiklių trūkumas yra tas, jog jie rodo statinį įmonės vaizdą. Šie rodikliai rodo konkretų vaizdą, kuris atspindi įmonės situaciją balanso sudarymo dieną. </w:t>
      </w:r>
      <w:r w:rsidR="00916DB9">
        <w:rPr>
          <w:rFonts w:ascii="Times New Roman" w:hAnsi="Times New Roman" w:cs="Times New Roman"/>
          <w:sz w:val="24"/>
          <w:szCs w:val="24"/>
        </w:rPr>
        <w:t>T. y.</w:t>
      </w:r>
      <w:r w:rsidR="007965D3">
        <w:rPr>
          <w:rFonts w:ascii="Times New Roman" w:hAnsi="Times New Roman" w:cs="Times New Roman"/>
          <w:sz w:val="24"/>
          <w:szCs w:val="24"/>
        </w:rPr>
        <w:t>, šie rodikliai neparodo</w:t>
      </w:r>
      <w:r w:rsidR="00916DB9">
        <w:rPr>
          <w:rFonts w:ascii="Times New Roman" w:hAnsi="Times New Roman" w:cs="Times New Roman"/>
          <w:sz w:val="24"/>
          <w:szCs w:val="24"/>
        </w:rPr>
        <w:t>,</w:t>
      </w:r>
      <w:r w:rsidR="007965D3">
        <w:rPr>
          <w:rFonts w:ascii="Times New Roman" w:hAnsi="Times New Roman" w:cs="Times New Roman"/>
          <w:sz w:val="24"/>
          <w:szCs w:val="24"/>
        </w:rPr>
        <w:t xml:space="preserve"> kokia buvo įmonės padėtis prieš dieną, savaitę, mėnesį, ar kokia bus padėtis po dienos, savaitės ar mėnesio</w:t>
      </w:r>
      <w:r w:rsidR="00C11DB9">
        <w:rPr>
          <w:rFonts w:ascii="Times New Roman" w:hAnsi="Times New Roman" w:cs="Times New Roman"/>
          <w:sz w:val="24"/>
          <w:szCs w:val="24"/>
        </w:rPr>
        <w:t xml:space="preserve"> (Staubus, 1989)</w:t>
      </w:r>
      <w:r w:rsidR="007965D3">
        <w:rPr>
          <w:rFonts w:ascii="Times New Roman" w:hAnsi="Times New Roman" w:cs="Times New Roman"/>
          <w:sz w:val="24"/>
          <w:szCs w:val="24"/>
        </w:rPr>
        <w:t>. Daugelis analitikų pripažįsta šį rodiklių ribotumą, tačiau jie aiškina, kad šį tr</w:t>
      </w:r>
      <w:r w:rsidR="00916DB9">
        <w:rPr>
          <w:rFonts w:ascii="Times New Roman" w:hAnsi="Times New Roman" w:cs="Times New Roman"/>
          <w:sz w:val="24"/>
          <w:szCs w:val="24"/>
        </w:rPr>
        <w:t>ū</w:t>
      </w:r>
      <w:r w:rsidR="007965D3">
        <w:rPr>
          <w:rFonts w:ascii="Times New Roman" w:hAnsi="Times New Roman" w:cs="Times New Roman"/>
          <w:sz w:val="24"/>
          <w:szCs w:val="24"/>
        </w:rPr>
        <w:t xml:space="preserve">kumą galima pašalinti interpretuojant rodiklius pagal įmonių veiklos pobūdį. </w:t>
      </w:r>
    </w:p>
    <w:p w14:paraId="26774CC6" w14:textId="77777777" w:rsidR="000B78FA" w:rsidRDefault="000B78FA" w:rsidP="00400282">
      <w:pPr>
        <w:spacing w:after="0" w:line="360" w:lineRule="auto"/>
        <w:ind w:firstLine="567"/>
        <w:jc w:val="both"/>
        <w:rPr>
          <w:rFonts w:ascii="Times New Roman" w:hAnsi="Times New Roman" w:cs="Times New Roman"/>
          <w:sz w:val="24"/>
          <w:szCs w:val="24"/>
        </w:rPr>
      </w:pPr>
    </w:p>
    <w:p w14:paraId="49C90273" w14:textId="77777777" w:rsidR="000B78FA" w:rsidRPr="009E1406" w:rsidRDefault="00812AF2" w:rsidP="00447752">
      <w:pPr>
        <w:pStyle w:val="Heading2"/>
        <w:numPr>
          <w:ilvl w:val="1"/>
          <w:numId w:val="26"/>
        </w:numPr>
        <w:spacing w:before="0" w:beforeAutospacing="0" w:after="0" w:afterAutospacing="0"/>
        <w:ind w:left="426" w:hanging="426"/>
        <w:jc w:val="center"/>
        <w:rPr>
          <w:sz w:val="24"/>
          <w:szCs w:val="24"/>
        </w:rPr>
      </w:pPr>
      <w:bookmarkStart w:id="62" w:name="_Toc353730658"/>
      <w:r w:rsidRPr="009E1406">
        <w:rPr>
          <w:sz w:val="24"/>
          <w:szCs w:val="24"/>
        </w:rPr>
        <w:t>Netradiciniai likvidumo rodikliai</w:t>
      </w:r>
      <w:bookmarkEnd w:id="62"/>
    </w:p>
    <w:p w14:paraId="3F6FCA4C" w14:textId="77777777" w:rsidR="00812AF2" w:rsidRDefault="00812AF2" w:rsidP="000B78FA">
      <w:pPr>
        <w:spacing w:after="0" w:line="360" w:lineRule="auto"/>
        <w:ind w:firstLine="567"/>
        <w:jc w:val="both"/>
        <w:rPr>
          <w:rFonts w:ascii="Times New Roman" w:hAnsi="Times New Roman" w:cs="Times New Roman"/>
          <w:sz w:val="24"/>
          <w:szCs w:val="24"/>
        </w:rPr>
      </w:pPr>
    </w:p>
    <w:p w14:paraId="3EB09B41" w14:textId="77777777" w:rsidR="000B78FA" w:rsidRPr="005E23BA" w:rsidRDefault="000B78FA" w:rsidP="000B78FA">
      <w:pPr>
        <w:spacing w:after="0" w:line="360" w:lineRule="auto"/>
        <w:ind w:firstLine="567"/>
        <w:jc w:val="both"/>
        <w:rPr>
          <w:rFonts w:ascii="Times New Roman" w:hAnsi="Times New Roman" w:cs="Times New Roman"/>
          <w:sz w:val="24"/>
          <w:szCs w:val="24"/>
        </w:rPr>
      </w:pPr>
      <w:r w:rsidRPr="005E23BA">
        <w:rPr>
          <w:rFonts w:ascii="Times New Roman" w:hAnsi="Times New Roman" w:cs="Times New Roman"/>
          <w:sz w:val="24"/>
          <w:szCs w:val="24"/>
        </w:rPr>
        <w:t xml:space="preserve">Be tradicinių įmonių likvidumo rodiklių, kurių duomenys paprastai imami iš balanso, vis populiaresni tampa finansiniai koeficientai, kurie sudaromi naudojant pinigų srautų ataskaitos duomenis. Paprastai šie rodikliai yra skaičiuojami greta anksčiau minėtųjų. </w:t>
      </w:r>
    </w:p>
    <w:p w14:paraId="1840D7B2" w14:textId="77777777" w:rsidR="000866AD" w:rsidRPr="005E23BA" w:rsidRDefault="000866AD" w:rsidP="000866AD">
      <w:pPr>
        <w:spacing w:after="0" w:line="360" w:lineRule="auto"/>
        <w:ind w:firstLine="567"/>
        <w:jc w:val="both"/>
        <w:rPr>
          <w:rFonts w:ascii="Times New Roman" w:eastAsia="Times New Roman" w:hAnsi="Times New Roman" w:cs="Times New Roman"/>
          <w:sz w:val="24"/>
          <w:szCs w:val="24"/>
          <w:lang w:eastAsia="lt-LT"/>
        </w:rPr>
      </w:pPr>
      <w:r w:rsidRPr="005E23BA">
        <w:rPr>
          <w:rFonts w:ascii="Times New Roman" w:eastAsia="Times New Roman" w:hAnsi="Times New Roman" w:cs="Times New Roman"/>
          <w:sz w:val="24"/>
          <w:szCs w:val="24"/>
          <w:lang w:eastAsia="lt-LT"/>
        </w:rPr>
        <w:t>Kirkham</w:t>
      </w:r>
      <w:r w:rsidR="004A34F4" w:rsidRPr="005E23BA">
        <w:rPr>
          <w:rFonts w:ascii="Times New Roman" w:eastAsia="Times New Roman" w:hAnsi="Times New Roman" w:cs="Times New Roman"/>
          <w:sz w:val="24"/>
          <w:szCs w:val="24"/>
          <w:lang w:eastAsia="lt-LT"/>
        </w:rPr>
        <w:t xml:space="preserve"> (2012)</w:t>
      </w:r>
      <w:r w:rsidRPr="005E23BA">
        <w:rPr>
          <w:rFonts w:ascii="Times New Roman" w:eastAsia="Times New Roman" w:hAnsi="Times New Roman" w:cs="Times New Roman"/>
          <w:sz w:val="24"/>
          <w:szCs w:val="24"/>
          <w:lang w:eastAsia="lt-LT"/>
        </w:rPr>
        <w:t xml:space="preserve"> atliktas tyrimas parodė, kad egzistuoja skirtumas tarp tradicinių likvidumo rodiklių ir rodiklių</w:t>
      </w:r>
      <w:r w:rsidR="00916DB9">
        <w:rPr>
          <w:rFonts w:ascii="Times New Roman" w:eastAsia="Times New Roman" w:hAnsi="Times New Roman" w:cs="Times New Roman"/>
          <w:sz w:val="24"/>
          <w:szCs w:val="24"/>
          <w:lang w:eastAsia="lt-LT"/>
        </w:rPr>
        <w:t>,</w:t>
      </w:r>
      <w:r w:rsidRPr="005E23BA">
        <w:rPr>
          <w:rFonts w:ascii="Times New Roman" w:eastAsia="Times New Roman" w:hAnsi="Times New Roman" w:cs="Times New Roman"/>
          <w:sz w:val="24"/>
          <w:szCs w:val="24"/>
          <w:lang w:eastAsia="lt-LT"/>
        </w:rPr>
        <w:t xml:space="preserve"> paremtų pinigų srautais. Išvados</w:t>
      </w:r>
      <w:r w:rsidR="00916DB9">
        <w:rPr>
          <w:rFonts w:ascii="Times New Roman" w:eastAsia="Times New Roman" w:hAnsi="Times New Roman" w:cs="Times New Roman"/>
          <w:sz w:val="24"/>
          <w:szCs w:val="24"/>
          <w:lang w:eastAsia="lt-LT"/>
        </w:rPr>
        <w:t>,</w:t>
      </w:r>
      <w:r w:rsidRPr="005E23BA">
        <w:rPr>
          <w:rFonts w:ascii="Times New Roman" w:eastAsia="Times New Roman" w:hAnsi="Times New Roman" w:cs="Times New Roman"/>
          <w:sz w:val="24"/>
          <w:szCs w:val="24"/>
          <w:lang w:eastAsia="lt-LT"/>
        </w:rPr>
        <w:t xml:space="preserve"> padarytos remiantis tik tradiciniais likvidumo rodikliais</w:t>
      </w:r>
      <w:r w:rsidR="00916DB9">
        <w:rPr>
          <w:rFonts w:ascii="Times New Roman" w:eastAsia="Times New Roman" w:hAnsi="Times New Roman" w:cs="Times New Roman"/>
          <w:sz w:val="24"/>
          <w:szCs w:val="24"/>
          <w:lang w:eastAsia="lt-LT"/>
        </w:rPr>
        <w:t>,</w:t>
      </w:r>
      <w:r w:rsidRPr="005E23BA">
        <w:rPr>
          <w:rFonts w:ascii="Times New Roman" w:eastAsia="Times New Roman" w:hAnsi="Times New Roman" w:cs="Times New Roman"/>
          <w:sz w:val="24"/>
          <w:szCs w:val="24"/>
          <w:lang w:eastAsia="lt-LT"/>
        </w:rPr>
        <w:t xml:space="preserve"> gali įtakoti neteisingų sprendimų priėmimą. Tam tikrais atvejais gali būti, kad įmonė laikoma likvidžia, tačiau ji susiduria su pinigų srautų problemomis. Kartais gali būti ir atvirkščiai</w:t>
      </w:r>
      <w:r w:rsidR="00916DB9">
        <w:rPr>
          <w:rFonts w:ascii="Times New Roman" w:eastAsia="Times New Roman" w:hAnsi="Times New Roman" w:cs="Times New Roman"/>
          <w:sz w:val="24"/>
          <w:szCs w:val="24"/>
          <w:lang w:eastAsia="lt-LT"/>
        </w:rPr>
        <w:t>:</w:t>
      </w:r>
      <w:r w:rsidRPr="005E23BA">
        <w:rPr>
          <w:rFonts w:ascii="Times New Roman" w:eastAsia="Times New Roman" w:hAnsi="Times New Roman" w:cs="Times New Roman"/>
          <w:sz w:val="24"/>
          <w:szCs w:val="24"/>
          <w:lang w:eastAsia="lt-LT"/>
        </w:rPr>
        <w:t xml:space="preserve"> tradiciniai likvidumo rodikliai rodo, jog įmonė yra nelikvidi, tačiau pinigų srautais paremti rodikliai rodo, jog įmonė turi pakankamai daug pinigų srautų resursų. </w:t>
      </w:r>
    </w:p>
    <w:p w14:paraId="0A9F7B4B" w14:textId="77777777" w:rsidR="005E23BA" w:rsidRPr="005E23BA" w:rsidRDefault="005E23BA" w:rsidP="005E23BA">
      <w:pPr>
        <w:spacing w:after="0" w:line="360" w:lineRule="auto"/>
        <w:ind w:firstLine="567"/>
        <w:jc w:val="both"/>
        <w:rPr>
          <w:rFonts w:ascii="Times New Roman" w:eastAsia="Times New Roman" w:hAnsi="Times New Roman" w:cs="Times New Roman"/>
          <w:sz w:val="24"/>
          <w:szCs w:val="24"/>
          <w:lang w:eastAsia="lt-LT"/>
        </w:rPr>
      </w:pPr>
      <w:r w:rsidRPr="005E23BA">
        <w:rPr>
          <w:rFonts w:ascii="Times New Roman" w:eastAsia="Times New Roman" w:hAnsi="Times New Roman" w:cs="Times New Roman"/>
          <w:sz w:val="24"/>
          <w:szCs w:val="24"/>
          <w:lang w:eastAsia="lt-LT"/>
        </w:rPr>
        <w:t>Kadangi pati pinigų srautų ataskaita Lietuvoje pradėta naudoti pakankamai neseniai (1994 m. pradėta sudarinėti), tai ir rodikliai</w:t>
      </w:r>
      <w:r w:rsidR="00916DB9">
        <w:rPr>
          <w:rFonts w:ascii="Times New Roman" w:eastAsia="Times New Roman" w:hAnsi="Times New Roman" w:cs="Times New Roman"/>
          <w:sz w:val="24"/>
          <w:szCs w:val="24"/>
          <w:lang w:eastAsia="lt-LT"/>
        </w:rPr>
        <w:t>,</w:t>
      </w:r>
      <w:r w:rsidRPr="005E23BA">
        <w:rPr>
          <w:rFonts w:ascii="Times New Roman" w:eastAsia="Times New Roman" w:hAnsi="Times New Roman" w:cs="Times New Roman"/>
          <w:sz w:val="24"/>
          <w:szCs w:val="24"/>
          <w:lang w:eastAsia="lt-LT"/>
        </w:rPr>
        <w:t xml:space="preserve"> suformuoti naudojant pinigų srautų ataskaitos duomenis</w:t>
      </w:r>
      <w:r w:rsidR="00916DB9">
        <w:rPr>
          <w:rFonts w:ascii="Times New Roman" w:eastAsia="Times New Roman" w:hAnsi="Times New Roman" w:cs="Times New Roman"/>
          <w:sz w:val="24"/>
          <w:szCs w:val="24"/>
          <w:lang w:eastAsia="lt-LT"/>
        </w:rPr>
        <w:t>,</w:t>
      </w:r>
      <w:r w:rsidRPr="005E23BA">
        <w:rPr>
          <w:rFonts w:ascii="Times New Roman" w:eastAsia="Times New Roman" w:hAnsi="Times New Roman" w:cs="Times New Roman"/>
          <w:sz w:val="24"/>
          <w:szCs w:val="24"/>
          <w:lang w:eastAsia="lt-LT"/>
        </w:rPr>
        <w:t xml:space="preserve"> praktikoje dar nėra populiarūs. Lietuvos autorių darbuose pinigų srautų rodiklių reikšmė finansinėje analizėje ir jų reikalingumas nėra aiškiai ir tiksliai apibrėžiama. Šiems rodikliams nėra skiriama daug dėmesio ir praktikoj</w:t>
      </w:r>
      <w:r w:rsidR="00916DB9">
        <w:rPr>
          <w:rFonts w:ascii="Times New Roman" w:eastAsia="Times New Roman" w:hAnsi="Times New Roman" w:cs="Times New Roman"/>
          <w:sz w:val="24"/>
          <w:szCs w:val="24"/>
          <w:lang w:eastAsia="lt-LT"/>
        </w:rPr>
        <w:t>e</w:t>
      </w:r>
      <w:r w:rsidRPr="005E23BA">
        <w:rPr>
          <w:rFonts w:ascii="Times New Roman" w:eastAsia="Times New Roman" w:hAnsi="Times New Roman" w:cs="Times New Roman"/>
          <w:sz w:val="24"/>
          <w:szCs w:val="24"/>
          <w:lang w:eastAsia="lt-LT"/>
        </w:rPr>
        <w:t xml:space="preserve"> jie nėra iki galo integruoti į verslo vertinimo modelius</w:t>
      </w:r>
      <w:r w:rsidR="008E5DD1">
        <w:rPr>
          <w:rFonts w:ascii="Times New Roman" w:eastAsia="Times New Roman" w:hAnsi="Times New Roman" w:cs="Times New Roman"/>
          <w:sz w:val="24"/>
          <w:szCs w:val="24"/>
          <w:lang w:eastAsia="lt-LT"/>
        </w:rPr>
        <w:t xml:space="preserve"> (Carlslaw, Mills 1991)</w:t>
      </w:r>
      <w:r w:rsidRPr="005E23BA">
        <w:rPr>
          <w:rFonts w:ascii="Times New Roman" w:eastAsia="Times New Roman" w:hAnsi="Times New Roman" w:cs="Times New Roman"/>
          <w:sz w:val="24"/>
          <w:szCs w:val="24"/>
          <w:lang w:eastAsia="lt-LT"/>
        </w:rPr>
        <w:t xml:space="preserve">. </w:t>
      </w:r>
      <w:r w:rsidR="00355CEF">
        <w:rPr>
          <w:rFonts w:ascii="Times New Roman" w:eastAsia="Times New Roman" w:hAnsi="Times New Roman" w:cs="Times New Roman"/>
          <w:sz w:val="24"/>
          <w:szCs w:val="24"/>
          <w:lang w:eastAsia="lt-LT"/>
        </w:rPr>
        <w:t>Egzistuoja</w:t>
      </w:r>
      <w:r w:rsidRPr="005E23BA">
        <w:rPr>
          <w:rFonts w:ascii="Times New Roman" w:eastAsia="Times New Roman" w:hAnsi="Times New Roman" w:cs="Times New Roman"/>
          <w:sz w:val="24"/>
          <w:szCs w:val="24"/>
          <w:lang w:eastAsia="lt-LT"/>
        </w:rPr>
        <w:t xml:space="preserve"> nemažai rodiklių, kurie padeda įvertinti įmonės likvidumo poziciją verslo procese. </w:t>
      </w:r>
    </w:p>
    <w:p w14:paraId="2349A57E" w14:textId="77777777" w:rsidR="00355CEF" w:rsidRDefault="005E23BA" w:rsidP="00C17639">
      <w:pPr>
        <w:spacing w:after="0" w:line="360" w:lineRule="auto"/>
        <w:ind w:firstLine="567"/>
        <w:jc w:val="both"/>
        <w:rPr>
          <w:rFonts w:ascii="Times New Roman" w:hAnsi="Times New Roman" w:cs="Times New Roman"/>
          <w:sz w:val="24"/>
          <w:szCs w:val="24"/>
        </w:rPr>
      </w:pPr>
      <w:r w:rsidRPr="005E23BA">
        <w:rPr>
          <w:rFonts w:ascii="Times New Roman" w:eastAsia="Times New Roman" w:hAnsi="Times New Roman" w:cs="Times New Roman"/>
          <w:sz w:val="24"/>
          <w:szCs w:val="24"/>
          <w:lang w:eastAsia="lt-LT"/>
        </w:rPr>
        <w:t>Analizuojant pinigų srautų rodiklius greta su standartiniais koeficientais likvidumui matuoti, galima atlikti lyginamąją an</w:t>
      </w:r>
      <w:r w:rsidR="00D00859">
        <w:rPr>
          <w:rFonts w:ascii="Times New Roman" w:eastAsia="Times New Roman" w:hAnsi="Times New Roman" w:cs="Times New Roman"/>
          <w:sz w:val="24"/>
          <w:szCs w:val="24"/>
          <w:lang w:eastAsia="lt-LT"/>
        </w:rPr>
        <w:t>a</w:t>
      </w:r>
      <w:r w:rsidRPr="005E23BA">
        <w:rPr>
          <w:rFonts w:ascii="Times New Roman" w:eastAsia="Times New Roman" w:hAnsi="Times New Roman" w:cs="Times New Roman"/>
          <w:sz w:val="24"/>
          <w:szCs w:val="24"/>
          <w:lang w:eastAsia="lt-LT"/>
        </w:rPr>
        <w:t xml:space="preserve">lizę ir pateikti išsamesnes bei patikimesnes išvadas. </w:t>
      </w:r>
    </w:p>
    <w:p w14:paraId="5B5EA3EB" w14:textId="77777777" w:rsidR="005E23BA" w:rsidRPr="005E23BA" w:rsidRDefault="00E612B9" w:rsidP="005E23BA">
      <w:pPr>
        <w:spacing w:after="0" w:line="360" w:lineRule="auto"/>
        <w:ind w:firstLine="567"/>
        <w:jc w:val="both"/>
        <w:rPr>
          <w:rFonts w:ascii="Times New Roman" w:hAnsi="Times New Roman" w:cs="Times New Roman"/>
          <w:sz w:val="24"/>
          <w:szCs w:val="24"/>
        </w:rPr>
      </w:pPr>
      <w:r>
        <w:rPr>
          <w:rFonts w:ascii="Times New Roman" w:hAnsi="Times New Roman" w:cs="Times New Roman"/>
          <w:b/>
          <w:noProof/>
          <w:sz w:val="24"/>
          <w:szCs w:val="24"/>
          <w:lang w:eastAsia="lt-LT"/>
        </w:rPr>
        <w:lastRenderedPageBreak/>
        <w:pict w14:anchorId="4025BE80">
          <v:shape id="_x0000_s1068" type="#_x0000_t202" style="position:absolute;left:0;text-align:left;margin-left:477pt;margin-top:80.6pt;width:29.75pt;height:22.6pt;z-index:251670016;mso-width-relative:margin;mso-height-relative:margin" filled="f" stroked="f" strokecolor="white [3212]">
            <v:textbox style="mso-next-textbox:#_x0000_s1068">
              <w:txbxContent>
                <w:p w14:paraId="76BC4AA1" w14:textId="77777777" w:rsidR="004E51DB" w:rsidRPr="003260E4" w:rsidRDefault="004E51DB" w:rsidP="00916DB9">
                  <w:pPr>
                    <w:rPr>
                      <w:rFonts w:ascii="Times New Roman" w:hAnsi="Times New Roman" w:cs="Times New Roman"/>
                      <w:sz w:val="24"/>
                      <w:szCs w:val="24"/>
                    </w:rPr>
                  </w:pPr>
                  <w:r w:rsidRPr="003260E4">
                    <w:rPr>
                      <w:rFonts w:ascii="Times New Roman" w:hAnsi="Times New Roman" w:cs="Times New Roman"/>
                      <w:sz w:val="24"/>
                      <w:szCs w:val="24"/>
                    </w:rPr>
                    <w:t>(</w:t>
                  </w:r>
                  <w:r>
                    <w:rPr>
                      <w:rFonts w:ascii="Times New Roman" w:hAnsi="Times New Roman" w:cs="Times New Roman"/>
                      <w:sz w:val="24"/>
                      <w:szCs w:val="24"/>
                    </w:rPr>
                    <w:t>7</w:t>
                  </w:r>
                  <w:r w:rsidRPr="003260E4">
                    <w:rPr>
                      <w:rFonts w:ascii="Times New Roman" w:hAnsi="Times New Roman" w:cs="Times New Roman"/>
                      <w:sz w:val="24"/>
                      <w:szCs w:val="24"/>
                    </w:rPr>
                    <w:t>)</w:t>
                  </w:r>
                </w:p>
              </w:txbxContent>
            </v:textbox>
          </v:shape>
        </w:pict>
      </w:r>
      <w:r w:rsidR="00E256CA">
        <w:rPr>
          <w:rFonts w:ascii="Times New Roman" w:hAnsi="Times New Roman" w:cs="Times New Roman"/>
          <w:b/>
          <w:sz w:val="24"/>
          <w:szCs w:val="24"/>
        </w:rPr>
        <w:t>Trumpalaikių įsipareigojimų apmokėjimo pinigais koeficientas.</w:t>
      </w:r>
      <w:r w:rsidR="00E256CA">
        <w:rPr>
          <w:rFonts w:ascii="Times New Roman" w:hAnsi="Times New Roman" w:cs="Times New Roman"/>
          <w:sz w:val="24"/>
          <w:szCs w:val="24"/>
        </w:rPr>
        <w:t xml:space="preserve"> Šis rodiklis rodo, kokia dalis trumpalaikių įsipareigojimų dengiama grynuoju pinig</w:t>
      </w:r>
      <w:r w:rsidR="000E6E84">
        <w:rPr>
          <w:rFonts w:ascii="Times New Roman" w:hAnsi="Times New Roman" w:cs="Times New Roman"/>
          <w:sz w:val="24"/>
          <w:szCs w:val="24"/>
        </w:rPr>
        <w:t>ų srautu iš pagrindinės veiklos, matuoja likvidumą</w:t>
      </w:r>
      <w:r w:rsidR="00916DB9">
        <w:rPr>
          <w:rFonts w:ascii="Times New Roman" w:hAnsi="Times New Roman" w:cs="Times New Roman"/>
          <w:sz w:val="24"/>
          <w:szCs w:val="24"/>
        </w:rPr>
        <w:t>,</w:t>
      </w:r>
      <w:r w:rsidR="000E6E84">
        <w:rPr>
          <w:rFonts w:ascii="Times New Roman" w:hAnsi="Times New Roman" w:cs="Times New Roman"/>
          <w:sz w:val="24"/>
          <w:szCs w:val="24"/>
        </w:rPr>
        <w:t xml:space="preserve"> parodydamas santykį tarp grynojo </w:t>
      </w:r>
      <w:r w:rsidR="00D00859">
        <w:rPr>
          <w:rFonts w:ascii="Times New Roman" w:hAnsi="Times New Roman" w:cs="Times New Roman"/>
          <w:sz w:val="24"/>
          <w:szCs w:val="24"/>
        </w:rPr>
        <w:t xml:space="preserve">pagrindinės </w:t>
      </w:r>
      <w:r w:rsidR="000E6E84">
        <w:rPr>
          <w:rFonts w:ascii="Times New Roman" w:hAnsi="Times New Roman" w:cs="Times New Roman"/>
          <w:sz w:val="24"/>
          <w:szCs w:val="24"/>
        </w:rPr>
        <w:t>veiklos pinigų srauto ir trumpalaikių įsipareigojimų.</w:t>
      </w:r>
      <w:r w:rsidR="00916DB9">
        <w:rPr>
          <w:rFonts w:ascii="Times New Roman" w:hAnsi="Times New Roman" w:cs="Times New Roman"/>
          <w:sz w:val="24"/>
          <w:szCs w:val="24"/>
        </w:rPr>
        <w:t xml:space="preserve"> Aps</w:t>
      </w:r>
      <w:r w:rsidR="00E256CA">
        <w:rPr>
          <w:rFonts w:ascii="Times New Roman" w:hAnsi="Times New Roman" w:cs="Times New Roman"/>
          <w:sz w:val="24"/>
          <w:szCs w:val="24"/>
        </w:rPr>
        <w:t>kaičiuojamas pagal formulę:</w:t>
      </w:r>
    </w:p>
    <w:p w14:paraId="58C363B5" w14:textId="77777777" w:rsidR="000866AD" w:rsidRPr="000F0B4E" w:rsidRDefault="000F0B4E" w:rsidP="000B78FA">
      <w:pPr>
        <w:spacing w:after="0" w:line="360" w:lineRule="auto"/>
        <w:ind w:firstLine="567"/>
        <w:jc w:val="both"/>
        <w:rPr>
          <w:rFonts w:ascii="Times New Roman" w:hAnsi="Times New Roman" w:cs="Times New Roman"/>
          <w:sz w:val="24"/>
          <w:szCs w:val="24"/>
        </w:rPr>
      </w:pPr>
      <m:oMathPara>
        <m:oMath>
          <m:r>
            <m:rPr>
              <m:sty m:val="p"/>
            </m:rPr>
            <w:rPr>
              <w:rFonts w:ascii="Cambria Math" w:eastAsia="Times New Roman" w:hAnsi="Times New Roman" w:cs="Times New Roman"/>
              <w:sz w:val="24"/>
              <w:szCs w:val="24"/>
              <w:lang w:eastAsia="lt-LT"/>
            </w:rPr>
            <m:t>T</m:t>
          </m:r>
          <m:r>
            <m:rPr>
              <m:sty m:val="p"/>
            </m:rPr>
            <w:rPr>
              <w:rFonts w:ascii="Cambria Math" w:eastAsia="Times New Roman" w:hAnsi="Cambria Math" w:cs="Times New Roman"/>
              <w:sz w:val="24"/>
              <w:szCs w:val="24"/>
              <w:lang w:eastAsia="lt-LT"/>
            </w:rPr>
            <m:t>Į</m:t>
          </m:r>
          <m:r>
            <m:rPr>
              <m:sty m:val="p"/>
            </m:rPr>
            <w:rPr>
              <w:rFonts w:ascii="Cambria Math" w:eastAsia="Times New Roman" w:hAnsi="Times New Roman" w:cs="Times New Roman"/>
              <w:sz w:val="24"/>
              <w:szCs w:val="24"/>
              <w:lang w:eastAsia="lt-LT"/>
            </w:rPr>
            <m:t>PK</m:t>
          </m:r>
          <m:r>
            <w:rPr>
              <w:rFonts w:ascii="Cambria Math" w:eastAsia="Times New Roman" w:hAnsi="Times New Roman" w:cs="Times New Roman"/>
              <w:sz w:val="24"/>
              <w:szCs w:val="24"/>
              <w:lang w:eastAsia="lt-LT"/>
            </w:rPr>
            <m:t>=</m:t>
          </m:r>
          <m:f>
            <m:fPr>
              <m:ctrlPr>
                <w:rPr>
                  <w:rFonts w:ascii="Cambria Math" w:eastAsia="Times New Roman" w:hAnsi="Times New Roman" w:cs="Times New Roman"/>
                  <w:sz w:val="24"/>
                  <w:szCs w:val="24"/>
                  <w:lang w:eastAsia="lt-LT"/>
                </w:rPr>
              </m:ctrlPr>
            </m:fPr>
            <m:num>
              <m:r>
                <m:rPr>
                  <m:sty m:val="p"/>
                </m:rPr>
                <w:rPr>
                  <w:rFonts w:ascii="Cambria Math" w:eastAsia="Times New Roman" w:hAnsi="Times New Roman" w:cs="Times New Roman"/>
                  <w:sz w:val="24"/>
                  <w:szCs w:val="24"/>
                  <w:lang w:eastAsia="lt-LT"/>
                </w:rPr>
                <m:t>GPS</m:t>
              </m:r>
            </m:num>
            <m:den>
              <m:r>
                <m:rPr>
                  <m:sty m:val="p"/>
                </m:rPr>
                <w:rPr>
                  <w:rFonts w:ascii="Cambria Math" w:eastAsia="Times New Roman" w:hAnsi="Times New Roman" w:cs="Times New Roman"/>
                  <w:sz w:val="24"/>
                  <w:szCs w:val="24"/>
                  <w:lang w:eastAsia="lt-LT"/>
                </w:rPr>
                <m:t>T</m:t>
              </m:r>
              <m:r>
                <m:rPr>
                  <m:sty m:val="p"/>
                </m:rPr>
                <w:rPr>
                  <w:rFonts w:ascii="Cambria Math" w:eastAsia="Times New Roman" w:hAnsi="Cambria Math" w:cs="Times New Roman"/>
                  <w:sz w:val="24"/>
                  <w:szCs w:val="24"/>
                  <w:lang w:eastAsia="lt-LT"/>
                </w:rPr>
                <m:t>Į</m:t>
              </m:r>
            </m:den>
          </m:f>
        </m:oMath>
      </m:oMathPara>
    </w:p>
    <w:p w14:paraId="5AD501D3" w14:textId="77777777" w:rsidR="00916DB9" w:rsidRDefault="00916DB9" w:rsidP="00217E5E">
      <w:pPr>
        <w:spacing w:after="0" w:line="360" w:lineRule="auto"/>
        <w:ind w:firstLine="567"/>
        <w:rPr>
          <w:rFonts w:ascii="Times New Roman" w:hAnsi="Times New Roman" w:cs="Times New Roman"/>
          <w:sz w:val="24"/>
          <w:szCs w:val="24"/>
        </w:rPr>
      </w:pPr>
    </w:p>
    <w:p w14:paraId="38B3EB25" w14:textId="77777777" w:rsidR="00217E5E" w:rsidRDefault="00217E5E" w:rsidP="00217E5E">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Čia: </w:t>
      </w:r>
      <w:r w:rsidR="000F0B4E">
        <w:rPr>
          <w:rFonts w:ascii="Times New Roman" w:hAnsi="Times New Roman" w:cs="Times New Roman"/>
          <w:i/>
          <w:sz w:val="24"/>
          <w:szCs w:val="24"/>
        </w:rPr>
        <w:t>TĮ</w:t>
      </w:r>
      <w:r w:rsidRPr="00217E5E">
        <w:rPr>
          <w:rFonts w:ascii="Times New Roman" w:hAnsi="Times New Roman" w:cs="Times New Roman"/>
          <w:i/>
          <w:sz w:val="24"/>
          <w:szCs w:val="24"/>
        </w:rPr>
        <w:t>PK</w:t>
      </w:r>
      <w:r>
        <w:rPr>
          <w:rFonts w:ascii="Times New Roman" w:hAnsi="Times New Roman" w:cs="Times New Roman"/>
          <w:i/>
          <w:sz w:val="24"/>
          <w:szCs w:val="24"/>
        </w:rPr>
        <w:t xml:space="preserve"> – </w:t>
      </w:r>
      <w:r>
        <w:rPr>
          <w:rFonts w:ascii="Times New Roman" w:hAnsi="Times New Roman" w:cs="Times New Roman"/>
          <w:sz w:val="24"/>
          <w:szCs w:val="24"/>
        </w:rPr>
        <w:t>trumpalaikių įsipareigojimų apmokėjimo pinigais koeficientas;</w:t>
      </w:r>
    </w:p>
    <w:p w14:paraId="6950CF11" w14:textId="77777777" w:rsidR="00217E5E" w:rsidRDefault="00217E5E" w:rsidP="00217E5E">
      <w:pPr>
        <w:spacing w:after="0" w:line="360" w:lineRule="auto"/>
        <w:ind w:firstLine="567"/>
        <w:rPr>
          <w:rFonts w:ascii="Times New Roman" w:hAnsi="Times New Roman" w:cs="Times New Roman"/>
          <w:sz w:val="24"/>
          <w:szCs w:val="24"/>
        </w:rPr>
      </w:pPr>
      <w:r>
        <w:rPr>
          <w:rFonts w:ascii="Times New Roman" w:hAnsi="Times New Roman" w:cs="Times New Roman"/>
          <w:i/>
          <w:sz w:val="24"/>
          <w:szCs w:val="24"/>
        </w:rPr>
        <w:t>G</w:t>
      </w:r>
      <w:r w:rsidRPr="00217E5E">
        <w:rPr>
          <w:rFonts w:ascii="Times New Roman" w:hAnsi="Times New Roman" w:cs="Times New Roman"/>
          <w:i/>
          <w:sz w:val="24"/>
          <w:szCs w:val="24"/>
        </w:rPr>
        <w:t>PS</w:t>
      </w:r>
      <w:r>
        <w:rPr>
          <w:rFonts w:ascii="Times New Roman" w:hAnsi="Times New Roman" w:cs="Times New Roman"/>
          <w:i/>
          <w:sz w:val="24"/>
          <w:szCs w:val="24"/>
        </w:rPr>
        <w:t xml:space="preserve"> – </w:t>
      </w:r>
      <w:r>
        <w:rPr>
          <w:rFonts w:ascii="Times New Roman" w:hAnsi="Times New Roman" w:cs="Times New Roman"/>
          <w:sz w:val="24"/>
          <w:szCs w:val="24"/>
        </w:rPr>
        <w:t>grynieji pagrindinės veiklos pinigų srautai;</w:t>
      </w:r>
    </w:p>
    <w:p w14:paraId="5C24BD34" w14:textId="77777777" w:rsidR="00217E5E" w:rsidRDefault="00217E5E" w:rsidP="00217E5E">
      <w:pPr>
        <w:spacing w:after="0" w:line="360" w:lineRule="auto"/>
        <w:ind w:firstLine="567"/>
        <w:rPr>
          <w:rFonts w:ascii="Times New Roman" w:hAnsi="Times New Roman" w:cs="Times New Roman"/>
          <w:sz w:val="24"/>
          <w:szCs w:val="24"/>
        </w:rPr>
      </w:pPr>
      <w:r w:rsidRPr="00217E5E">
        <w:rPr>
          <w:rFonts w:ascii="Times New Roman" w:hAnsi="Times New Roman" w:cs="Times New Roman"/>
          <w:i/>
          <w:sz w:val="24"/>
          <w:szCs w:val="24"/>
        </w:rPr>
        <w:t>TĮ</w:t>
      </w:r>
      <w:r>
        <w:rPr>
          <w:rFonts w:ascii="Times New Roman" w:hAnsi="Times New Roman" w:cs="Times New Roman"/>
          <w:sz w:val="24"/>
          <w:szCs w:val="24"/>
        </w:rPr>
        <w:t xml:space="preserve"> – trumpalaikiai įsipareigojimai.</w:t>
      </w:r>
    </w:p>
    <w:p w14:paraId="087B61AA" w14:textId="77777777" w:rsidR="00217E5E" w:rsidRPr="00217E5E" w:rsidRDefault="00217E5E" w:rsidP="00217E5E">
      <w:pPr>
        <w:spacing w:after="0" w:line="360" w:lineRule="auto"/>
        <w:ind w:firstLine="567"/>
        <w:rPr>
          <w:rFonts w:ascii="Times New Roman" w:hAnsi="Times New Roman" w:cs="Times New Roman"/>
          <w:sz w:val="24"/>
          <w:szCs w:val="24"/>
        </w:rPr>
      </w:pPr>
    </w:p>
    <w:p w14:paraId="005E6E35" w14:textId="77777777" w:rsidR="000E6E84" w:rsidRDefault="00355CEF" w:rsidP="000E6E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Tai p</w:t>
      </w:r>
      <w:r w:rsidR="000E6E84">
        <w:rPr>
          <w:rFonts w:ascii="Times New Roman" w:hAnsi="Times New Roman" w:cs="Times New Roman"/>
          <w:sz w:val="24"/>
          <w:szCs w:val="24"/>
        </w:rPr>
        <w:t>ats svarbiausias pinigų srauto rodiklis. Parodo</w:t>
      </w:r>
      <w:r w:rsidR="00210F34">
        <w:rPr>
          <w:rFonts w:ascii="Times New Roman" w:hAnsi="Times New Roman" w:cs="Times New Roman"/>
          <w:sz w:val="24"/>
          <w:szCs w:val="24"/>
        </w:rPr>
        <w:t>,</w:t>
      </w:r>
      <w:r w:rsidR="000E6E84">
        <w:rPr>
          <w:rFonts w:ascii="Times New Roman" w:hAnsi="Times New Roman" w:cs="Times New Roman"/>
          <w:sz w:val="24"/>
          <w:szCs w:val="24"/>
        </w:rPr>
        <w:t xml:space="preserve"> kaip pinigai juda į įmonę ir iš jos, kaip padengiamos skolos. Pinigų srautai atsispindi pinigų srautų ataskaitoje, trumpalaikiai įsipareigojimai</w:t>
      </w:r>
      <w:r w:rsidR="00210F34">
        <w:rPr>
          <w:rFonts w:ascii="Times New Roman" w:hAnsi="Times New Roman" w:cs="Times New Roman"/>
          <w:sz w:val="24"/>
          <w:szCs w:val="24"/>
        </w:rPr>
        <w:t xml:space="preserve"> –</w:t>
      </w:r>
      <w:r w:rsidR="000E6E84">
        <w:rPr>
          <w:rFonts w:ascii="Times New Roman" w:hAnsi="Times New Roman" w:cs="Times New Roman"/>
          <w:sz w:val="24"/>
          <w:szCs w:val="24"/>
        </w:rPr>
        <w:t xml:space="preserve"> balanse. </w:t>
      </w:r>
    </w:p>
    <w:p w14:paraId="41B6AA9D" w14:textId="77777777" w:rsidR="00E256CA" w:rsidRDefault="00E256CA" w:rsidP="00E256C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Trumpalaikis turtas negali būti panau</w:t>
      </w:r>
      <w:r w:rsidR="00355CEF">
        <w:rPr>
          <w:rFonts w:ascii="Times New Roman" w:eastAsia="Times New Roman" w:hAnsi="Times New Roman" w:cs="Times New Roman"/>
          <w:sz w:val="24"/>
          <w:szCs w:val="24"/>
          <w:lang w:eastAsia="lt-LT"/>
        </w:rPr>
        <w:t>dotas įsipareigojimams padengti suėjus jų mokėjimo terminui</w:t>
      </w:r>
      <w:r>
        <w:rPr>
          <w:rFonts w:ascii="Times New Roman" w:eastAsia="Times New Roman" w:hAnsi="Times New Roman" w:cs="Times New Roman"/>
          <w:sz w:val="24"/>
          <w:szCs w:val="24"/>
          <w:lang w:eastAsia="lt-LT"/>
        </w:rPr>
        <w:t xml:space="preserve">, todėl šiuo atveju </w:t>
      </w:r>
      <w:r w:rsidR="00210F34">
        <w:rPr>
          <w:rFonts w:ascii="Times New Roman" w:eastAsia="Times New Roman" w:hAnsi="Times New Roman" w:cs="Times New Roman"/>
          <w:sz w:val="24"/>
          <w:szCs w:val="24"/>
          <w:lang w:eastAsia="lt-LT"/>
        </w:rPr>
        <w:t xml:space="preserve">koeficientą </w:t>
      </w:r>
      <w:r>
        <w:rPr>
          <w:rFonts w:ascii="Times New Roman" w:eastAsia="Times New Roman" w:hAnsi="Times New Roman" w:cs="Times New Roman"/>
          <w:sz w:val="24"/>
          <w:szCs w:val="24"/>
          <w:lang w:eastAsia="lt-LT"/>
        </w:rPr>
        <w:t xml:space="preserve">tikslinga skaičiuoti, remiantis grynųjų pinigų iš įmonės veiklos srautu, atspindinčiu realias galimybes įvykdyti trumpalaikius įmonės įsipareigojimus. </w:t>
      </w:r>
      <w:r w:rsidR="00355CEF">
        <w:rPr>
          <w:rFonts w:ascii="Times New Roman" w:eastAsia="Times New Roman" w:hAnsi="Times New Roman" w:cs="Times New Roman"/>
          <w:sz w:val="24"/>
          <w:szCs w:val="24"/>
          <w:lang w:eastAsia="lt-LT"/>
        </w:rPr>
        <w:t xml:space="preserve">Rodiklis pašalina bendrojo likvidumo trūkumą. Skaitiklyje statinį dydį pakeičia dinaminis, tai yra trumpalaikį turtą keičia grynosios pagrindinės veiklos pajamos. </w:t>
      </w:r>
      <w:r>
        <w:rPr>
          <w:rFonts w:ascii="Times New Roman" w:eastAsia="Times New Roman" w:hAnsi="Times New Roman" w:cs="Times New Roman"/>
          <w:sz w:val="24"/>
          <w:szCs w:val="24"/>
          <w:lang w:eastAsia="lt-LT"/>
        </w:rPr>
        <w:t>Jei šis koeficientas mažesnis už 1, tai rodo, kad trumpalaikių įsipareigojimų padengimui nepakanka įmonės veiklos pinigų srautų, reikės pritraukti papildomas lėšas iš kitų veiklų – investicinės ir finansinės.</w:t>
      </w:r>
    </w:p>
    <w:p w14:paraId="17BC2E31" w14:textId="77777777" w:rsidR="007772C2" w:rsidRDefault="007772C2" w:rsidP="007772C2">
      <w:pPr>
        <w:spacing w:after="0" w:line="360" w:lineRule="auto"/>
        <w:jc w:val="both"/>
        <w:rPr>
          <w:rFonts w:ascii="Times New Roman" w:eastAsia="Times New Roman" w:hAnsi="Times New Roman" w:cs="Times New Roman"/>
          <w:sz w:val="24"/>
          <w:szCs w:val="24"/>
          <w:lang w:eastAsia="lt-LT"/>
        </w:rPr>
      </w:pPr>
    </w:p>
    <w:p w14:paraId="2944D7E8" w14:textId="77777777" w:rsidR="007772C2" w:rsidRPr="00F54EB6" w:rsidRDefault="007772C2" w:rsidP="00F54EB6">
      <w:pPr>
        <w:spacing w:after="0" w:line="360" w:lineRule="auto"/>
        <w:ind w:firstLine="567"/>
        <w:jc w:val="both"/>
        <w:rPr>
          <w:rFonts w:ascii="Times New Roman" w:eastAsia="Times New Roman" w:hAnsi="Times New Roman" w:cs="Times New Roman"/>
          <w:b/>
          <w:sz w:val="24"/>
          <w:szCs w:val="24"/>
          <w:lang w:eastAsia="lt-LT"/>
        </w:rPr>
      </w:pPr>
      <w:r w:rsidRPr="007772C2">
        <w:rPr>
          <w:rFonts w:ascii="Times New Roman" w:eastAsia="Times New Roman" w:hAnsi="Times New Roman" w:cs="Times New Roman"/>
          <w:b/>
          <w:sz w:val="24"/>
          <w:szCs w:val="24"/>
          <w:lang w:eastAsia="lt-LT"/>
        </w:rPr>
        <w:t>Palūkanų sumokėjimo koeficientas</w:t>
      </w:r>
      <w:r w:rsidR="00F54EB6">
        <w:rPr>
          <w:rFonts w:ascii="Times New Roman" w:eastAsia="Times New Roman" w:hAnsi="Times New Roman" w:cs="Times New Roman"/>
          <w:b/>
          <w:sz w:val="24"/>
          <w:szCs w:val="24"/>
          <w:lang w:eastAsia="lt-LT"/>
        </w:rPr>
        <w:t xml:space="preserve">. </w:t>
      </w:r>
      <w:r w:rsidRPr="007772C2">
        <w:rPr>
          <w:rFonts w:ascii="Times New Roman" w:eastAsia="Times New Roman" w:hAnsi="Times New Roman" w:cs="Times New Roman"/>
          <w:sz w:val="24"/>
          <w:szCs w:val="24"/>
          <w:lang w:eastAsia="lt-LT"/>
        </w:rPr>
        <w:t>Šis</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rodiklis padeda nustatyti, kiek galima leisti išmokėti palūkanų grynųjų pinigų srauto iš pagrindinės veiklos sąskaita ir iki kokio lygio galima sumažinti grynųjų pinigų srautą iš pagrindinės veiklos be žalos padarymo dėl įsipareigojimų įvykdymo kreditoriui</w:t>
      </w:r>
      <w:r w:rsidR="00210F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išmokant palūkanas už jo naudojamas palūkanas. Apskaičiuojamas pagal formulę:</w:t>
      </w:r>
    </w:p>
    <w:p w14:paraId="511BAB68" w14:textId="77777777" w:rsidR="00F54EB6" w:rsidRDefault="00E612B9" w:rsidP="007772C2">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noProof/>
          <w:sz w:val="24"/>
          <w:szCs w:val="24"/>
          <w:lang w:eastAsia="lt-LT"/>
        </w:rPr>
        <w:pict w14:anchorId="030A0880">
          <v:shape id="_x0000_s1069" type="#_x0000_t202" style="position:absolute;left:0;text-align:left;margin-left:474.75pt;margin-top:17.05pt;width:32pt;height:22.6pt;z-index:251671040;mso-width-relative:margin;mso-height-relative:margin" filled="f" stroked="f" strokecolor="white [3212]">
            <v:textbox style="mso-next-textbox:#_x0000_s1069">
              <w:txbxContent>
                <w:p w14:paraId="6DF5C55F" w14:textId="77777777" w:rsidR="004E51DB" w:rsidRPr="003260E4" w:rsidRDefault="004E51DB" w:rsidP="00210F34">
                  <w:pPr>
                    <w:rPr>
                      <w:rFonts w:ascii="Times New Roman" w:hAnsi="Times New Roman" w:cs="Times New Roman"/>
                      <w:sz w:val="24"/>
                      <w:szCs w:val="24"/>
                    </w:rPr>
                  </w:pPr>
                  <w:r w:rsidRPr="003260E4">
                    <w:rPr>
                      <w:rFonts w:ascii="Times New Roman" w:hAnsi="Times New Roman" w:cs="Times New Roman"/>
                      <w:sz w:val="24"/>
                      <w:szCs w:val="24"/>
                    </w:rPr>
                    <w:t>(</w:t>
                  </w:r>
                  <w:r>
                    <w:rPr>
                      <w:rFonts w:ascii="Times New Roman" w:hAnsi="Times New Roman" w:cs="Times New Roman"/>
                      <w:sz w:val="24"/>
                      <w:szCs w:val="24"/>
                    </w:rPr>
                    <w:t>8</w:t>
                  </w:r>
                  <w:r w:rsidRPr="003260E4">
                    <w:rPr>
                      <w:rFonts w:ascii="Times New Roman" w:hAnsi="Times New Roman" w:cs="Times New Roman"/>
                      <w:sz w:val="24"/>
                      <w:szCs w:val="24"/>
                    </w:rPr>
                    <w:t>)</w:t>
                  </w:r>
                </w:p>
              </w:txbxContent>
            </v:textbox>
          </v:shape>
        </w:pict>
      </w:r>
    </w:p>
    <w:p w14:paraId="2D8BA39A" w14:textId="77777777" w:rsidR="007772C2" w:rsidRPr="000F0B4E" w:rsidRDefault="000F0B4E" w:rsidP="007772C2">
      <w:pPr>
        <w:spacing w:after="0" w:line="360" w:lineRule="auto"/>
        <w:ind w:firstLine="567"/>
        <w:jc w:val="both"/>
        <w:rPr>
          <w:rFonts w:ascii="Times New Roman" w:eastAsia="Times New Roman" w:hAnsi="Times New Roman" w:cs="Times New Roman"/>
          <w:sz w:val="24"/>
          <w:szCs w:val="24"/>
          <w:lang w:eastAsia="lt-LT"/>
        </w:rPr>
      </w:pPr>
      <m:oMathPara>
        <m:oMath>
          <m:r>
            <m:rPr>
              <m:sty m:val="p"/>
            </m:rPr>
            <w:rPr>
              <w:rFonts w:ascii="Cambria Math" w:eastAsia="Times New Roman" w:hAnsi="Cambria Math" w:cs="Times New Roman"/>
              <w:sz w:val="24"/>
              <w:szCs w:val="24"/>
              <w:lang w:eastAsia="lt-LT"/>
            </w:rPr>
            <m:t>Palūkanų sumokėjimas =</m:t>
          </m:r>
          <m:f>
            <m:fPr>
              <m:ctrlPr>
                <w:rPr>
                  <w:rFonts w:ascii="Cambria Math" w:eastAsia="Times New Roman" w:hAnsi="Cambria Math" w:cs="Times New Roman"/>
                  <w:sz w:val="24"/>
                  <w:szCs w:val="24"/>
                  <w:lang w:eastAsia="lt-LT"/>
                </w:rPr>
              </m:ctrlPr>
            </m:fPr>
            <m:num>
              <m:r>
                <m:rPr>
                  <m:sty m:val="p"/>
                </m:rPr>
                <w:rPr>
                  <w:rFonts w:ascii="Cambria Math" w:eastAsia="Times New Roman" w:hAnsi="Cambria Math" w:cs="Times New Roman"/>
                  <w:sz w:val="24"/>
                  <w:szCs w:val="24"/>
                  <w:lang w:eastAsia="lt-LT"/>
                </w:rPr>
                <m:t>GPS-ISMD+MP</m:t>
              </m:r>
            </m:num>
            <m:den>
              <m:r>
                <m:rPr>
                  <m:sty m:val="p"/>
                </m:rPr>
                <w:rPr>
                  <w:rFonts w:ascii="Cambria Math" w:eastAsia="Times New Roman" w:hAnsi="Cambria Math" w:cs="Times New Roman"/>
                  <w:sz w:val="24"/>
                  <w:szCs w:val="24"/>
                  <w:lang w:eastAsia="lt-LT"/>
                </w:rPr>
                <m:t>MP</m:t>
              </m:r>
            </m:den>
          </m:f>
        </m:oMath>
      </m:oMathPara>
    </w:p>
    <w:p w14:paraId="61101738" w14:textId="77777777" w:rsidR="00210F34" w:rsidRDefault="00210F34" w:rsidP="000F0B4E">
      <w:pPr>
        <w:spacing w:after="0" w:line="360" w:lineRule="auto"/>
        <w:ind w:firstLine="567"/>
        <w:jc w:val="both"/>
        <w:rPr>
          <w:rFonts w:ascii="Times New Roman" w:eastAsia="Times New Roman" w:hAnsi="Times New Roman" w:cs="Times New Roman"/>
          <w:sz w:val="24"/>
          <w:szCs w:val="24"/>
          <w:lang w:eastAsia="lt-LT"/>
        </w:rPr>
      </w:pPr>
    </w:p>
    <w:p w14:paraId="4157BC19" w14:textId="77777777" w:rsidR="000F0B4E" w:rsidRDefault="000F0B4E" w:rsidP="000F0B4E">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Čia: </w:t>
      </w:r>
      <w:r w:rsidRPr="000F0B4E">
        <w:rPr>
          <w:rFonts w:ascii="Times New Roman" w:eastAsia="Times New Roman" w:hAnsi="Times New Roman" w:cs="Times New Roman"/>
          <w:i/>
          <w:sz w:val="24"/>
          <w:szCs w:val="24"/>
          <w:lang w:eastAsia="lt-LT"/>
        </w:rPr>
        <w:t>ISMD</w:t>
      </w:r>
      <w:r>
        <w:rPr>
          <w:rFonts w:ascii="Times New Roman" w:eastAsia="Times New Roman" w:hAnsi="Times New Roman" w:cs="Times New Roman"/>
          <w:sz w:val="24"/>
          <w:szCs w:val="24"/>
          <w:lang w:eastAsia="lt-LT"/>
        </w:rPr>
        <w:t xml:space="preserve"> – ilgalaikės skolos einamųjų metų dalis;</w:t>
      </w:r>
    </w:p>
    <w:p w14:paraId="5DD7F57B" w14:textId="77777777" w:rsidR="000F0B4E" w:rsidRDefault="000F0B4E" w:rsidP="000F0B4E">
      <w:pPr>
        <w:spacing w:after="0" w:line="360" w:lineRule="auto"/>
        <w:ind w:firstLine="567"/>
        <w:jc w:val="both"/>
        <w:rPr>
          <w:rFonts w:ascii="Times New Roman" w:eastAsia="Times New Roman" w:hAnsi="Times New Roman" w:cs="Times New Roman"/>
          <w:sz w:val="24"/>
          <w:szCs w:val="24"/>
          <w:lang w:eastAsia="lt-LT"/>
        </w:rPr>
      </w:pPr>
      <w:r w:rsidRPr="000F0B4E">
        <w:rPr>
          <w:rFonts w:ascii="Times New Roman" w:eastAsia="Times New Roman" w:hAnsi="Times New Roman" w:cs="Times New Roman"/>
          <w:i/>
          <w:sz w:val="24"/>
          <w:szCs w:val="24"/>
          <w:lang w:eastAsia="lt-LT"/>
        </w:rPr>
        <w:t>MP</w:t>
      </w:r>
      <w:r>
        <w:rPr>
          <w:rFonts w:ascii="Times New Roman" w:eastAsia="Times New Roman" w:hAnsi="Times New Roman" w:cs="Times New Roman"/>
          <w:sz w:val="24"/>
          <w:szCs w:val="24"/>
          <w:lang w:eastAsia="lt-LT"/>
        </w:rPr>
        <w:t xml:space="preserve"> – mokėtinos palūkanos.</w:t>
      </w:r>
    </w:p>
    <w:p w14:paraId="40F146D3" w14:textId="77777777" w:rsidR="003F76DC" w:rsidRDefault="003F76DC" w:rsidP="003F76DC">
      <w:pPr>
        <w:spacing w:after="0" w:line="360" w:lineRule="auto"/>
        <w:ind w:firstLine="567"/>
        <w:jc w:val="right"/>
        <w:rPr>
          <w:rFonts w:ascii="Times New Roman" w:eastAsia="Times New Roman" w:hAnsi="Times New Roman" w:cs="Times New Roman"/>
          <w:sz w:val="24"/>
          <w:szCs w:val="24"/>
          <w:lang w:eastAsia="lt-LT"/>
        </w:rPr>
      </w:pPr>
    </w:p>
    <w:p w14:paraId="0336F003" w14:textId="77777777" w:rsidR="00271E63" w:rsidRDefault="00F54EB6" w:rsidP="00F54EB6">
      <w:pPr>
        <w:spacing w:after="0" w:line="360" w:lineRule="auto"/>
        <w:ind w:firstLine="567"/>
        <w:jc w:val="both"/>
        <w:rPr>
          <w:rFonts w:ascii="Times New Roman" w:hAnsi="Times New Roman" w:cs="Times New Roman"/>
          <w:sz w:val="24"/>
          <w:szCs w:val="24"/>
        </w:rPr>
      </w:pPr>
      <w:r w:rsidRPr="00F54EB6">
        <w:rPr>
          <w:rFonts w:ascii="Times New Roman" w:hAnsi="Times New Roman" w:cs="Times New Roman"/>
          <w:b/>
          <w:sz w:val="24"/>
          <w:szCs w:val="24"/>
        </w:rPr>
        <w:t>Kritinio pinigų poreikio koeficientas</w:t>
      </w:r>
      <w:r>
        <w:rPr>
          <w:rFonts w:ascii="Times New Roman" w:hAnsi="Times New Roman" w:cs="Times New Roman"/>
          <w:b/>
          <w:sz w:val="24"/>
          <w:szCs w:val="24"/>
        </w:rPr>
        <w:t xml:space="preserve">. </w:t>
      </w:r>
      <w:r>
        <w:rPr>
          <w:rFonts w:ascii="Times New Roman" w:hAnsi="Times New Roman" w:cs="Times New Roman"/>
          <w:sz w:val="24"/>
          <w:szCs w:val="24"/>
        </w:rPr>
        <w:t xml:space="preserve">Rodiklis rodo įmonės sugebėjimą iš karto sumokėti </w:t>
      </w:r>
      <w:r w:rsidR="00C04A9C">
        <w:rPr>
          <w:rFonts w:ascii="Times New Roman" w:hAnsi="Times New Roman" w:cs="Times New Roman"/>
          <w:sz w:val="24"/>
          <w:szCs w:val="24"/>
        </w:rPr>
        <w:t xml:space="preserve">einamuosius įsipareigojimus. Vertinamas gerai, jeigu reikšmė didesnė už </w:t>
      </w:r>
      <w:r w:rsidR="00210F34">
        <w:rPr>
          <w:rFonts w:ascii="Times New Roman" w:hAnsi="Times New Roman" w:cs="Times New Roman"/>
          <w:sz w:val="24"/>
          <w:szCs w:val="24"/>
        </w:rPr>
        <w:t>1</w:t>
      </w:r>
      <w:r w:rsidR="00C04A9C">
        <w:rPr>
          <w:rFonts w:ascii="Times New Roman" w:hAnsi="Times New Roman" w:cs="Times New Roman"/>
          <w:sz w:val="24"/>
          <w:szCs w:val="24"/>
        </w:rPr>
        <w:t>. Apskaičiuojamas pagal formulę:</w:t>
      </w:r>
    </w:p>
    <w:p w14:paraId="6DA25105" w14:textId="77777777" w:rsidR="00C04A9C" w:rsidRDefault="00E612B9" w:rsidP="00F54EB6">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pict w14:anchorId="32F4BB5E">
          <v:shape id="_x0000_s1070" type="#_x0000_t202" style="position:absolute;left:0;text-align:left;margin-left:473.7pt;margin-top:17pt;width:29.75pt;height:22.6pt;z-index:251672064;mso-width-relative:margin;mso-height-relative:margin" filled="f" stroked="f" strokecolor="white [3212]">
            <v:textbox style="mso-next-textbox:#_x0000_s1070">
              <w:txbxContent>
                <w:p w14:paraId="404FAED2" w14:textId="77777777" w:rsidR="004E51DB" w:rsidRPr="003260E4" w:rsidRDefault="004E51DB" w:rsidP="00210F34">
                  <w:pPr>
                    <w:rPr>
                      <w:rFonts w:ascii="Times New Roman" w:hAnsi="Times New Roman" w:cs="Times New Roman"/>
                      <w:sz w:val="24"/>
                      <w:szCs w:val="24"/>
                    </w:rPr>
                  </w:pPr>
                  <w:r w:rsidRPr="003260E4">
                    <w:rPr>
                      <w:rFonts w:ascii="Times New Roman" w:hAnsi="Times New Roman" w:cs="Times New Roman"/>
                      <w:sz w:val="24"/>
                      <w:szCs w:val="24"/>
                    </w:rPr>
                    <w:t>(</w:t>
                  </w:r>
                  <w:r>
                    <w:rPr>
                      <w:rFonts w:ascii="Times New Roman" w:hAnsi="Times New Roman" w:cs="Times New Roman"/>
                      <w:sz w:val="24"/>
                      <w:szCs w:val="24"/>
                    </w:rPr>
                    <w:t>9</w:t>
                  </w:r>
                  <w:r w:rsidRPr="003260E4">
                    <w:rPr>
                      <w:rFonts w:ascii="Times New Roman" w:hAnsi="Times New Roman" w:cs="Times New Roman"/>
                      <w:sz w:val="24"/>
                      <w:szCs w:val="24"/>
                    </w:rPr>
                    <w:t>)</w:t>
                  </w:r>
                </w:p>
              </w:txbxContent>
            </v:textbox>
          </v:shape>
        </w:pict>
      </w:r>
    </w:p>
    <w:p w14:paraId="070B13ED" w14:textId="77777777" w:rsidR="00C04A9C" w:rsidRDefault="00C04A9C" w:rsidP="00C04A9C">
      <w:pPr>
        <w:spacing w:after="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Kritinis pinigų poreikis</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GPS+SP</m:t>
              </m:r>
            </m:num>
            <m:den>
              <m:r>
                <w:rPr>
                  <w:rFonts w:ascii="Cambria Math" w:hAnsi="Cambria Math" w:cs="Times New Roman"/>
                  <w:sz w:val="24"/>
                  <w:szCs w:val="24"/>
                </w:rPr>
                <m:t>MP +ISMD+MD</m:t>
              </m:r>
            </m:den>
          </m:f>
        </m:oMath>
      </m:oMathPara>
    </w:p>
    <w:p w14:paraId="4F080CE4" w14:textId="77777777" w:rsidR="00C04A9C" w:rsidRDefault="00C04A9C" w:rsidP="00C04A9C">
      <w:pPr>
        <w:spacing w:after="0" w:line="360" w:lineRule="auto"/>
        <w:ind w:firstLine="567"/>
        <w:jc w:val="right"/>
        <w:rPr>
          <w:rFonts w:ascii="Times New Roman" w:hAnsi="Times New Roman" w:cs="Times New Roman"/>
          <w:sz w:val="24"/>
          <w:szCs w:val="24"/>
        </w:rPr>
      </w:pPr>
    </w:p>
    <w:p w14:paraId="02E35D99" w14:textId="77777777" w:rsidR="000F0B4E" w:rsidRDefault="000F0B4E" w:rsidP="000F0B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Čia: </w:t>
      </w:r>
      <w:r w:rsidRPr="000F0B4E">
        <w:rPr>
          <w:rFonts w:ascii="Times New Roman" w:hAnsi="Times New Roman" w:cs="Times New Roman"/>
          <w:i/>
          <w:sz w:val="24"/>
          <w:szCs w:val="24"/>
        </w:rPr>
        <w:t>S</w:t>
      </w:r>
      <w:r>
        <w:rPr>
          <w:rFonts w:ascii="Times New Roman" w:hAnsi="Times New Roman" w:cs="Times New Roman"/>
          <w:i/>
          <w:sz w:val="24"/>
          <w:szCs w:val="24"/>
        </w:rPr>
        <w:t>P</w:t>
      </w:r>
      <w:r>
        <w:rPr>
          <w:rFonts w:ascii="Times New Roman" w:hAnsi="Times New Roman" w:cs="Times New Roman"/>
          <w:sz w:val="24"/>
          <w:szCs w:val="24"/>
        </w:rPr>
        <w:t xml:space="preserve"> – sumokėtos palūkanos;</w:t>
      </w:r>
    </w:p>
    <w:p w14:paraId="678A7718" w14:textId="77777777" w:rsidR="000F0B4E" w:rsidRDefault="000F0B4E" w:rsidP="000F0B4E">
      <w:pPr>
        <w:spacing w:after="0" w:line="360" w:lineRule="auto"/>
        <w:ind w:firstLine="567"/>
        <w:jc w:val="both"/>
        <w:rPr>
          <w:rFonts w:ascii="Times New Roman" w:hAnsi="Times New Roman" w:cs="Times New Roman"/>
          <w:sz w:val="24"/>
          <w:szCs w:val="24"/>
        </w:rPr>
      </w:pPr>
      <w:r w:rsidRPr="000F0B4E">
        <w:rPr>
          <w:rFonts w:ascii="Times New Roman" w:hAnsi="Times New Roman" w:cs="Times New Roman"/>
          <w:i/>
          <w:sz w:val="24"/>
          <w:szCs w:val="24"/>
        </w:rPr>
        <w:t>MD</w:t>
      </w:r>
      <w:r>
        <w:rPr>
          <w:rFonts w:ascii="Times New Roman" w:hAnsi="Times New Roman" w:cs="Times New Roman"/>
          <w:sz w:val="24"/>
          <w:szCs w:val="24"/>
        </w:rPr>
        <w:t xml:space="preserve"> – mokėtini dividendai.</w:t>
      </w:r>
    </w:p>
    <w:p w14:paraId="4607BC9F" w14:textId="77777777" w:rsidR="003F76DC" w:rsidRDefault="003F76DC" w:rsidP="00C04A9C">
      <w:pPr>
        <w:spacing w:after="0" w:line="360" w:lineRule="auto"/>
        <w:ind w:firstLine="567"/>
        <w:jc w:val="right"/>
        <w:rPr>
          <w:rFonts w:ascii="Times New Roman" w:hAnsi="Times New Roman" w:cs="Times New Roman"/>
          <w:sz w:val="24"/>
          <w:szCs w:val="24"/>
        </w:rPr>
      </w:pPr>
    </w:p>
    <w:p w14:paraId="31DBF5A1" w14:textId="77777777" w:rsidR="00C04A9C" w:rsidRDefault="00C04A9C" w:rsidP="00C04A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Šis rodiklis geriausiai palyginamas su greitojo likvidumo koeficientu</w:t>
      </w:r>
    </w:p>
    <w:p w14:paraId="5E6B0178" w14:textId="77777777" w:rsidR="006C1D9D" w:rsidRDefault="006C1D9D" w:rsidP="00E24DCA">
      <w:pPr>
        <w:spacing w:after="0" w:line="360" w:lineRule="auto"/>
        <w:ind w:firstLine="540"/>
        <w:jc w:val="both"/>
        <w:rPr>
          <w:rFonts w:ascii="Times New Roman" w:hAnsi="Times New Roman" w:cs="Times New Roman"/>
          <w:sz w:val="24"/>
          <w:szCs w:val="24"/>
        </w:rPr>
      </w:pPr>
    </w:p>
    <w:p w14:paraId="4A244C95" w14:textId="77777777" w:rsidR="00E24DCA" w:rsidRPr="006C1D9D" w:rsidRDefault="00534B73" w:rsidP="00E24DCA">
      <w:pPr>
        <w:spacing w:after="0" w:line="360" w:lineRule="auto"/>
        <w:ind w:firstLine="540"/>
        <w:jc w:val="both"/>
        <w:rPr>
          <w:rFonts w:ascii="Times New Roman" w:hAnsi="Times New Roman" w:cs="Times New Roman"/>
          <w:i/>
          <w:sz w:val="24"/>
          <w:szCs w:val="24"/>
        </w:rPr>
      </w:pPr>
      <w:r>
        <w:rPr>
          <w:rFonts w:ascii="Times New Roman" w:hAnsi="Times New Roman" w:cs="Times New Roman"/>
          <w:i/>
          <w:sz w:val="24"/>
          <w:szCs w:val="24"/>
        </w:rPr>
        <w:t>G</w:t>
      </w:r>
      <w:r w:rsidR="003F76DC">
        <w:rPr>
          <w:rFonts w:ascii="Times New Roman" w:hAnsi="Times New Roman" w:cs="Times New Roman"/>
          <w:i/>
          <w:sz w:val="24"/>
          <w:szCs w:val="24"/>
        </w:rPr>
        <w:t>alima teigti, jog s</w:t>
      </w:r>
      <w:r w:rsidR="00E24DCA" w:rsidRPr="006C1D9D">
        <w:rPr>
          <w:rFonts w:ascii="Times New Roman" w:hAnsi="Times New Roman" w:cs="Times New Roman"/>
          <w:i/>
          <w:sz w:val="24"/>
          <w:szCs w:val="24"/>
        </w:rPr>
        <w:t xml:space="preserve">antykinių </w:t>
      </w:r>
      <w:r w:rsidR="003F76DC">
        <w:rPr>
          <w:rFonts w:ascii="Times New Roman" w:hAnsi="Times New Roman" w:cs="Times New Roman"/>
          <w:i/>
          <w:sz w:val="24"/>
          <w:szCs w:val="24"/>
        </w:rPr>
        <w:t xml:space="preserve">likvidumo </w:t>
      </w:r>
      <w:r w:rsidR="00E24DCA" w:rsidRPr="006C1D9D">
        <w:rPr>
          <w:rFonts w:ascii="Times New Roman" w:hAnsi="Times New Roman" w:cs="Times New Roman"/>
          <w:i/>
          <w:sz w:val="24"/>
          <w:szCs w:val="24"/>
        </w:rPr>
        <w:t>rodiklių analizėje egzistuoja daugybė finansinių rodiklių, tačiau autorius savo darbe nagrinėja tik pačius svarbiausius, kurie turi praktinės reikšmės nag</w:t>
      </w:r>
      <w:r w:rsidR="000C657E" w:rsidRPr="006C1D9D">
        <w:rPr>
          <w:rFonts w:ascii="Times New Roman" w:hAnsi="Times New Roman" w:cs="Times New Roman"/>
          <w:i/>
          <w:sz w:val="24"/>
          <w:szCs w:val="24"/>
        </w:rPr>
        <w:t>rinėjamoms įmonėms</w:t>
      </w:r>
      <w:r w:rsidR="003F76DC">
        <w:rPr>
          <w:rFonts w:ascii="Times New Roman" w:hAnsi="Times New Roman" w:cs="Times New Roman"/>
          <w:i/>
          <w:sz w:val="24"/>
          <w:szCs w:val="24"/>
        </w:rPr>
        <w:t xml:space="preserve"> bei sudaro rodiklių sistemą.</w:t>
      </w:r>
      <w:r w:rsidR="00E24DCA" w:rsidRPr="006C1D9D">
        <w:rPr>
          <w:rFonts w:ascii="Times New Roman" w:hAnsi="Times New Roman" w:cs="Times New Roman"/>
          <w:i/>
          <w:sz w:val="24"/>
          <w:szCs w:val="24"/>
        </w:rPr>
        <w:t xml:space="preserve"> Santykiniai rodikliai skaičiuojami </w:t>
      </w:r>
      <w:r w:rsidR="009E52D6">
        <w:rPr>
          <w:rFonts w:ascii="Times New Roman" w:hAnsi="Times New Roman" w:cs="Times New Roman"/>
          <w:i/>
          <w:sz w:val="24"/>
          <w:szCs w:val="24"/>
        </w:rPr>
        <w:t xml:space="preserve">remiantis </w:t>
      </w:r>
      <w:r w:rsidR="00E24DCA" w:rsidRPr="006C1D9D">
        <w:rPr>
          <w:rFonts w:ascii="Times New Roman" w:hAnsi="Times New Roman" w:cs="Times New Roman"/>
          <w:i/>
          <w:sz w:val="24"/>
          <w:szCs w:val="24"/>
        </w:rPr>
        <w:t>dviejų ataskaitų</w:t>
      </w:r>
      <w:r w:rsidR="003F76DC">
        <w:rPr>
          <w:rFonts w:ascii="Times New Roman" w:hAnsi="Times New Roman" w:cs="Times New Roman"/>
          <w:i/>
          <w:sz w:val="24"/>
          <w:szCs w:val="24"/>
        </w:rPr>
        <w:t xml:space="preserve"> duomenimis</w:t>
      </w:r>
      <w:r w:rsidR="00E24DCA" w:rsidRPr="006C1D9D">
        <w:rPr>
          <w:rFonts w:ascii="Times New Roman" w:hAnsi="Times New Roman" w:cs="Times New Roman"/>
          <w:i/>
          <w:sz w:val="24"/>
          <w:szCs w:val="24"/>
        </w:rPr>
        <w:t xml:space="preserve"> – balanso ir</w:t>
      </w:r>
      <w:r w:rsidR="000C657E" w:rsidRPr="006C1D9D">
        <w:rPr>
          <w:rFonts w:ascii="Times New Roman" w:hAnsi="Times New Roman" w:cs="Times New Roman"/>
          <w:i/>
          <w:sz w:val="24"/>
          <w:szCs w:val="24"/>
        </w:rPr>
        <w:t xml:space="preserve"> pinigų srautų</w:t>
      </w:r>
      <w:r w:rsidR="00E24DCA" w:rsidRPr="006C1D9D">
        <w:rPr>
          <w:rFonts w:ascii="Times New Roman" w:hAnsi="Times New Roman" w:cs="Times New Roman"/>
          <w:i/>
          <w:sz w:val="24"/>
          <w:szCs w:val="24"/>
        </w:rPr>
        <w:t>. Atliekama santykinių rodiklių analizė susideda iš:</w:t>
      </w:r>
    </w:p>
    <w:p w14:paraId="6D9AD0DC" w14:textId="77777777" w:rsidR="00E24DCA" w:rsidRPr="006C1D9D" w:rsidRDefault="000C657E" w:rsidP="00447752">
      <w:pPr>
        <w:numPr>
          <w:ilvl w:val="0"/>
          <w:numId w:val="13"/>
        </w:numPr>
        <w:tabs>
          <w:tab w:val="clear" w:pos="1260"/>
          <w:tab w:val="num" w:pos="540"/>
        </w:tabs>
        <w:spacing w:after="0" w:line="360" w:lineRule="auto"/>
        <w:ind w:left="851" w:hanging="284"/>
        <w:jc w:val="both"/>
        <w:rPr>
          <w:rFonts w:ascii="Times New Roman" w:hAnsi="Times New Roman" w:cs="Times New Roman"/>
          <w:i/>
          <w:sz w:val="24"/>
          <w:szCs w:val="24"/>
        </w:rPr>
      </w:pPr>
      <w:r w:rsidRPr="006C1D9D">
        <w:rPr>
          <w:rFonts w:ascii="Times New Roman" w:hAnsi="Times New Roman" w:cs="Times New Roman"/>
          <w:i/>
          <w:sz w:val="24"/>
          <w:szCs w:val="24"/>
        </w:rPr>
        <w:t>Tradicinių likvidumo rodiklių</w:t>
      </w:r>
      <w:r w:rsidR="00E24DCA" w:rsidRPr="006C1D9D">
        <w:rPr>
          <w:rFonts w:ascii="Times New Roman" w:hAnsi="Times New Roman" w:cs="Times New Roman"/>
          <w:i/>
          <w:sz w:val="24"/>
          <w:szCs w:val="24"/>
        </w:rPr>
        <w:t>;</w:t>
      </w:r>
    </w:p>
    <w:p w14:paraId="674B74DE" w14:textId="77777777" w:rsidR="00E24DCA" w:rsidRPr="006C1D9D" w:rsidRDefault="000C657E" w:rsidP="00447752">
      <w:pPr>
        <w:numPr>
          <w:ilvl w:val="0"/>
          <w:numId w:val="13"/>
        </w:numPr>
        <w:tabs>
          <w:tab w:val="clear" w:pos="1260"/>
          <w:tab w:val="num" w:pos="540"/>
        </w:tabs>
        <w:spacing w:after="0" w:line="360" w:lineRule="auto"/>
        <w:ind w:left="851" w:hanging="284"/>
        <w:jc w:val="both"/>
        <w:rPr>
          <w:rFonts w:ascii="Times New Roman" w:hAnsi="Times New Roman" w:cs="Times New Roman"/>
          <w:i/>
          <w:sz w:val="24"/>
          <w:szCs w:val="24"/>
        </w:rPr>
      </w:pPr>
      <w:r w:rsidRPr="006C1D9D">
        <w:rPr>
          <w:rFonts w:ascii="Times New Roman" w:hAnsi="Times New Roman" w:cs="Times New Roman"/>
          <w:i/>
          <w:sz w:val="24"/>
          <w:szCs w:val="24"/>
        </w:rPr>
        <w:t>Trumpalaikių įsipareigojimų apmokėjimo pinigais koeficiento.</w:t>
      </w:r>
    </w:p>
    <w:p w14:paraId="54CF46AF" w14:textId="77777777" w:rsidR="006149F9" w:rsidRDefault="00E24DCA" w:rsidP="000C657E">
      <w:pPr>
        <w:spacing w:after="0" w:line="360" w:lineRule="auto"/>
        <w:ind w:firstLine="540"/>
        <w:jc w:val="both"/>
        <w:rPr>
          <w:rFonts w:ascii="Times New Roman" w:hAnsi="Times New Roman" w:cs="Times New Roman"/>
          <w:i/>
          <w:sz w:val="24"/>
          <w:szCs w:val="24"/>
        </w:rPr>
      </w:pPr>
      <w:r w:rsidRPr="006C1D9D">
        <w:rPr>
          <w:rFonts w:ascii="Times New Roman" w:hAnsi="Times New Roman" w:cs="Times New Roman"/>
          <w:i/>
          <w:sz w:val="24"/>
          <w:szCs w:val="24"/>
        </w:rPr>
        <w:t>Skaičiuojami</w:t>
      </w:r>
      <w:r w:rsidR="003F76DC">
        <w:rPr>
          <w:rFonts w:ascii="Times New Roman" w:hAnsi="Times New Roman" w:cs="Times New Roman"/>
          <w:i/>
          <w:sz w:val="24"/>
          <w:szCs w:val="24"/>
        </w:rPr>
        <w:t xml:space="preserve"> bendrojo, greitojo ir kritinio likvidumo rodikliai ir palyginimui trumpalaikių įsipareigojimų apmokėjimo pinigais rodiklis, kuris paprastai lyginamas su bendrojo likvidumo koeficientu. </w:t>
      </w:r>
      <w:r w:rsidR="005973F6">
        <w:rPr>
          <w:rFonts w:ascii="Times New Roman" w:hAnsi="Times New Roman" w:cs="Times New Roman"/>
          <w:i/>
          <w:sz w:val="24"/>
          <w:szCs w:val="24"/>
        </w:rPr>
        <w:t>Palyginimą atlikti tikslinga, nes trumpalaikių įsipareigojimų apmokėjimo pinigais koeficientas gali rodyti visiškai kitokią įmonės poziciją negu tradiciniai</w:t>
      </w:r>
      <w:r w:rsidR="004D7803">
        <w:rPr>
          <w:rFonts w:ascii="Times New Roman" w:hAnsi="Times New Roman" w:cs="Times New Roman"/>
          <w:i/>
          <w:sz w:val="24"/>
          <w:szCs w:val="24"/>
        </w:rPr>
        <w:t xml:space="preserve"> likvidumo</w:t>
      </w:r>
      <w:r w:rsidR="005973F6">
        <w:rPr>
          <w:rFonts w:ascii="Times New Roman" w:hAnsi="Times New Roman" w:cs="Times New Roman"/>
          <w:i/>
          <w:sz w:val="24"/>
          <w:szCs w:val="24"/>
        </w:rPr>
        <w:t xml:space="preserve"> rodikliai. </w:t>
      </w:r>
      <w:r w:rsidR="006149F9">
        <w:rPr>
          <w:rFonts w:ascii="Times New Roman" w:hAnsi="Times New Roman" w:cs="Times New Roman"/>
          <w:i/>
          <w:sz w:val="24"/>
          <w:szCs w:val="24"/>
        </w:rPr>
        <w:t xml:space="preserve">Kiti pinigų srautų rodikliai neskaičiuojami, </w:t>
      </w:r>
      <w:r w:rsidR="006149F9" w:rsidRPr="005973F6">
        <w:rPr>
          <w:rFonts w:ascii="Times New Roman" w:hAnsi="Times New Roman" w:cs="Times New Roman"/>
          <w:i/>
          <w:sz w:val="24"/>
          <w:szCs w:val="24"/>
        </w:rPr>
        <w:t>nes finansinėse ataskaitose pateikiami ne visi skaičiavimui reikalingi duomenys.</w:t>
      </w:r>
      <w:r w:rsidR="006149F9" w:rsidRPr="005973F6">
        <w:rPr>
          <w:rFonts w:ascii="Times New Roman" w:hAnsi="Times New Roman" w:cs="Times New Roman"/>
          <w:i/>
          <w:color w:val="FF0000"/>
          <w:sz w:val="24"/>
          <w:szCs w:val="24"/>
        </w:rPr>
        <w:t xml:space="preserve"> </w:t>
      </w:r>
      <w:r w:rsidR="005973F6" w:rsidRPr="005973F6">
        <w:rPr>
          <w:rFonts w:ascii="Times New Roman" w:hAnsi="Times New Roman" w:cs="Times New Roman"/>
          <w:i/>
          <w:sz w:val="24"/>
          <w:szCs w:val="24"/>
        </w:rPr>
        <w:t>Be to,</w:t>
      </w:r>
      <w:r w:rsidR="005973F6">
        <w:rPr>
          <w:rFonts w:ascii="Times New Roman" w:hAnsi="Times New Roman" w:cs="Times New Roman"/>
          <w:i/>
          <w:color w:val="FF0000"/>
          <w:sz w:val="24"/>
          <w:szCs w:val="24"/>
        </w:rPr>
        <w:t xml:space="preserve"> </w:t>
      </w:r>
      <w:r w:rsidR="005973F6">
        <w:rPr>
          <w:rFonts w:ascii="Times New Roman" w:hAnsi="Times New Roman" w:cs="Times New Roman"/>
          <w:i/>
          <w:sz w:val="24"/>
          <w:szCs w:val="24"/>
        </w:rPr>
        <w:t>mokslinėje literatūroje yra</w:t>
      </w:r>
      <w:r w:rsidR="005973F6" w:rsidRPr="005973F6">
        <w:rPr>
          <w:rFonts w:ascii="Times New Roman" w:hAnsi="Times New Roman" w:cs="Times New Roman"/>
          <w:i/>
          <w:sz w:val="24"/>
          <w:szCs w:val="24"/>
        </w:rPr>
        <w:t xml:space="preserve"> </w:t>
      </w:r>
      <w:r w:rsidR="005973F6">
        <w:rPr>
          <w:rFonts w:ascii="Times New Roman" w:hAnsi="Times New Roman" w:cs="Times New Roman"/>
          <w:i/>
          <w:sz w:val="24"/>
          <w:szCs w:val="24"/>
        </w:rPr>
        <w:t>apibrėžiama šių rodiklių svarba, bet panaudojimo galimybės ir interpretavimas nėra aiškūs.</w:t>
      </w:r>
    </w:p>
    <w:p w14:paraId="2ED77FD7" w14:textId="77777777" w:rsidR="00464CDA" w:rsidRDefault="001A651D" w:rsidP="000C657E">
      <w:pPr>
        <w:spacing w:after="0" w:line="360" w:lineRule="auto"/>
        <w:ind w:firstLine="540"/>
        <w:jc w:val="both"/>
        <w:rPr>
          <w:rFonts w:ascii="Times New Roman" w:hAnsi="Times New Roman" w:cs="Times New Roman"/>
          <w:sz w:val="24"/>
          <w:szCs w:val="24"/>
        </w:rPr>
      </w:pPr>
      <w:r>
        <w:rPr>
          <w:rFonts w:ascii="Times New Roman" w:hAnsi="Times New Roman" w:cs="Times New Roman"/>
          <w:i/>
          <w:sz w:val="24"/>
          <w:szCs w:val="24"/>
        </w:rPr>
        <w:t>Analizei p</w:t>
      </w:r>
      <w:r w:rsidR="003F76DC">
        <w:rPr>
          <w:rFonts w:ascii="Times New Roman" w:hAnsi="Times New Roman" w:cs="Times New Roman"/>
          <w:i/>
          <w:sz w:val="24"/>
          <w:szCs w:val="24"/>
        </w:rPr>
        <w:t>asirinkti</w:t>
      </w:r>
      <w:r w:rsidR="00E24DCA" w:rsidRPr="006C1D9D">
        <w:rPr>
          <w:rFonts w:ascii="Times New Roman" w:hAnsi="Times New Roman" w:cs="Times New Roman"/>
          <w:i/>
          <w:sz w:val="24"/>
          <w:szCs w:val="24"/>
        </w:rPr>
        <w:t xml:space="preserve"> būtent šie rodikliai, nes jų reikšmės geriausiai atspindi realią įmonės padėtį, </w:t>
      </w:r>
      <w:r w:rsidR="006149F9">
        <w:rPr>
          <w:rFonts w:ascii="Times New Roman" w:hAnsi="Times New Roman" w:cs="Times New Roman"/>
          <w:i/>
          <w:sz w:val="24"/>
          <w:szCs w:val="24"/>
        </w:rPr>
        <w:t xml:space="preserve">rizikas ir perspektyvas </w:t>
      </w:r>
      <w:r w:rsidR="00E24DCA" w:rsidRPr="006C1D9D">
        <w:rPr>
          <w:rFonts w:ascii="Times New Roman" w:hAnsi="Times New Roman" w:cs="Times New Roman"/>
          <w:i/>
          <w:sz w:val="24"/>
          <w:szCs w:val="24"/>
        </w:rPr>
        <w:t xml:space="preserve">bei įvertina įmonės </w:t>
      </w:r>
      <w:r w:rsidR="003F76DC">
        <w:rPr>
          <w:rFonts w:ascii="Times New Roman" w:hAnsi="Times New Roman" w:cs="Times New Roman"/>
          <w:i/>
          <w:sz w:val="24"/>
          <w:szCs w:val="24"/>
        </w:rPr>
        <w:t>likvidumą</w:t>
      </w:r>
      <w:r w:rsidR="00E24DCA" w:rsidRPr="006C1D9D">
        <w:rPr>
          <w:rFonts w:ascii="Times New Roman" w:hAnsi="Times New Roman" w:cs="Times New Roman"/>
          <w:i/>
          <w:sz w:val="24"/>
          <w:szCs w:val="24"/>
        </w:rPr>
        <w:t xml:space="preserve">. Tam, kad santykinių rodiklių reikšmės įgautų prasmę, jos lyginamos su praėjusių laikotarpių įmonės rodikliais, </w:t>
      </w:r>
      <w:r w:rsidR="009E52D6">
        <w:rPr>
          <w:rFonts w:ascii="Times New Roman" w:hAnsi="Times New Roman" w:cs="Times New Roman"/>
          <w:i/>
          <w:sz w:val="24"/>
          <w:szCs w:val="24"/>
        </w:rPr>
        <w:t xml:space="preserve">tiriama jų dinamika. </w:t>
      </w:r>
    </w:p>
    <w:p w14:paraId="1C5033E6" w14:textId="77777777" w:rsidR="00464CDA" w:rsidRDefault="00464CDA" w:rsidP="000C657E">
      <w:pPr>
        <w:spacing w:after="0" w:line="360" w:lineRule="auto"/>
        <w:ind w:firstLine="540"/>
        <w:jc w:val="both"/>
        <w:rPr>
          <w:rFonts w:ascii="Times New Roman" w:hAnsi="Times New Roman" w:cs="Times New Roman"/>
          <w:sz w:val="24"/>
          <w:szCs w:val="24"/>
        </w:rPr>
      </w:pPr>
    </w:p>
    <w:p w14:paraId="4BE3BB65" w14:textId="77777777" w:rsidR="00464CDA" w:rsidRDefault="00464CDA" w:rsidP="000C657E">
      <w:pPr>
        <w:spacing w:after="0" w:line="360" w:lineRule="auto"/>
        <w:ind w:firstLine="540"/>
        <w:jc w:val="both"/>
        <w:rPr>
          <w:rFonts w:ascii="Times New Roman" w:hAnsi="Times New Roman" w:cs="Times New Roman"/>
          <w:sz w:val="24"/>
          <w:szCs w:val="24"/>
        </w:rPr>
      </w:pPr>
    </w:p>
    <w:p w14:paraId="7A98FE69" w14:textId="77777777" w:rsidR="00464CDA" w:rsidRDefault="00464CDA" w:rsidP="000C657E">
      <w:pPr>
        <w:spacing w:after="0" w:line="360" w:lineRule="auto"/>
        <w:ind w:firstLine="540"/>
        <w:jc w:val="both"/>
        <w:rPr>
          <w:rFonts w:ascii="Times New Roman" w:hAnsi="Times New Roman" w:cs="Times New Roman"/>
          <w:sz w:val="24"/>
          <w:szCs w:val="24"/>
        </w:rPr>
      </w:pPr>
    </w:p>
    <w:p w14:paraId="5A64F17D" w14:textId="77777777" w:rsidR="00464CDA" w:rsidRDefault="00464CDA" w:rsidP="000C657E">
      <w:pPr>
        <w:spacing w:after="0" w:line="360" w:lineRule="auto"/>
        <w:ind w:firstLine="540"/>
        <w:jc w:val="both"/>
        <w:rPr>
          <w:rFonts w:ascii="Times New Roman" w:hAnsi="Times New Roman" w:cs="Times New Roman"/>
          <w:sz w:val="24"/>
          <w:szCs w:val="24"/>
        </w:rPr>
      </w:pPr>
    </w:p>
    <w:p w14:paraId="6D911F40" w14:textId="77777777" w:rsidR="00464CDA" w:rsidRDefault="00464CDA" w:rsidP="000C657E">
      <w:pPr>
        <w:spacing w:after="0" w:line="360" w:lineRule="auto"/>
        <w:ind w:firstLine="540"/>
        <w:jc w:val="both"/>
        <w:rPr>
          <w:rFonts w:ascii="Times New Roman" w:hAnsi="Times New Roman" w:cs="Times New Roman"/>
          <w:sz w:val="24"/>
          <w:szCs w:val="24"/>
        </w:rPr>
      </w:pPr>
    </w:p>
    <w:p w14:paraId="7368C818" w14:textId="77777777" w:rsidR="00464CDA" w:rsidRDefault="00464CDA" w:rsidP="000C657E">
      <w:pPr>
        <w:spacing w:after="0" w:line="360" w:lineRule="auto"/>
        <w:ind w:firstLine="540"/>
        <w:jc w:val="both"/>
        <w:rPr>
          <w:rFonts w:ascii="Times New Roman" w:hAnsi="Times New Roman" w:cs="Times New Roman"/>
          <w:sz w:val="24"/>
          <w:szCs w:val="24"/>
        </w:rPr>
      </w:pPr>
    </w:p>
    <w:p w14:paraId="15D125A6" w14:textId="77777777" w:rsidR="00534B73" w:rsidRDefault="00534B73" w:rsidP="000C657E">
      <w:pPr>
        <w:spacing w:after="0" w:line="360" w:lineRule="auto"/>
        <w:ind w:firstLine="540"/>
        <w:jc w:val="both"/>
        <w:rPr>
          <w:rFonts w:ascii="Times New Roman" w:hAnsi="Times New Roman" w:cs="Times New Roman"/>
          <w:sz w:val="24"/>
          <w:szCs w:val="24"/>
        </w:rPr>
      </w:pPr>
    </w:p>
    <w:p w14:paraId="139E1E8F" w14:textId="77777777" w:rsidR="00464CDA" w:rsidRPr="00E24DCA" w:rsidRDefault="00464CDA" w:rsidP="008E5DD1">
      <w:pPr>
        <w:spacing w:after="0" w:line="360" w:lineRule="auto"/>
        <w:jc w:val="both"/>
        <w:rPr>
          <w:rFonts w:ascii="Times New Roman" w:hAnsi="Times New Roman" w:cs="Times New Roman"/>
          <w:sz w:val="24"/>
          <w:szCs w:val="24"/>
        </w:rPr>
      </w:pPr>
    </w:p>
    <w:p w14:paraId="340711D7" w14:textId="77777777" w:rsidR="00D00859" w:rsidRPr="00E2302E" w:rsidRDefault="00764100" w:rsidP="00447752">
      <w:pPr>
        <w:pStyle w:val="Heading1"/>
        <w:numPr>
          <w:ilvl w:val="0"/>
          <w:numId w:val="26"/>
        </w:numPr>
        <w:spacing w:before="0" w:line="360" w:lineRule="auto"/>
        <w:ind w:left="284" w:hanging="284"/>
        <w:jc w:val="center"/>
        <w:rPr>
          <w:b w:val="0"/>
        </w:rPr>
      </w:pPr>
      <w:bookmarkStart w:id="63" w:name="_Toc353730659"/>
      <w:r w:rsidRPr="00E2302E">
        <w:rPr>
          <w:rStyle w:val="1antChar"/>
          <w:rFonts w:eastAsiaTheme="majorEastAsia"/>
          <w:b/>
          <w:color w:val="auto"/>
        </w:rPr>
        <w:lastRenderedPageBreak/>
        <w:t>BIRŽOJE KOTIRUOJAMOS LIETUVOS ĮMONĖS, JŲ</w:t>
      </w:r>
      <w:r w:rsidR="00D00859" w:rsidRPr="00E2302E">
        <w:rPr>
          <w:rStyle w:val="1antChar"/>
          <w:rFonts w:eastAsiaTheme="majorEastAsia"/>
          <w:b/>
          <w:color w:val="auto"/>
        </w:rPr>
        <w:t xml:space="preserve"> LIKVIDUMO DINAMIKA IR PERSPEKTYVOS</w:t>
      </w:r>
      <w:bookmarkEnd w:id="63"/>
    </w:p>
    <w:p w14:paraId="0E44404C" w14:textId="77777777" w:rsidR="00D00859" w:rsidRPr="00163DF5" w:rsidRDefault="00D00859" w:rsidP="00163DF5">
      <w:pPr>
        <w:spacing w:after="0" w:line="360" w:lineRule="auto"/>
        <w:rPr>
          <w:rFonts w:ascii="Times New Roman" w:hAnsi="Times New Roman" w:cs="Times New Roman"/>
          <w:b/>
          <w:sz w:val="24"/>
          <w:szCs w:val="24"/>
        </w:rPr>
      </w:pPr>
    </w:p>
    <w:p w14:paraId="6B635941" w14:textId="77777777" w:rsidR="00D00859" w:rsidRPr="009E1406" w:rsidRDefault="00D00859" w:rsidP="00447752">
      <w:pPr>
        <w:pStyle w:val="Heading2"/>
        <w:numPr>
          <w:ilvl w:val="1"/>
          <w:numId w:val="26"/>
        </w:numPr>
        <w:spacing w:before="0" w:beforeAutospacing="0" w:after="0" w:afterAutospacing="0" w:line="360" w:lineRule="auto"/>
        <w:ind w:left="426" w:hanging="426"/>
        <w:jc w:val="center"/>
        <w:rPr>
          <w:sz w:val="24"/>
          <w:szCs w:val="24"/>
        </w:rPr>
      </w:pPr>
      <w:bookmarkStart w:id="64" w:name="_Toc353730660"/>
      <w:r w:rsidRPr="009E1406">
        <w:rPr>
          <w:sz w:val="24"/>
          <w:szCs w:val="24"/>
        </w:rPr>
        <w:t>Biržoje kotiruojamos Lietuvos įmonės</w:t>
      </w:r>
      <w:bookmarkEnd w:id="64"/>
    </w:p>
    <w:p w14:paraId="5D6414EA" w14:textId="77777777" w:rsidR="000B7227" w:rsidRPr="00EB01D9" w:rsidRDefault="000B7227" w:rsidP="00163DF5">
      <w:pPr>
        <w:pStyle w:val="ListParagraph"/>
        <w:spacing w:after="0" w:line="360" w:lineRule="auto"/>
        <w:ind w:left="810"/>
        <w:rPr>
          <w:rFonts w:ascii="Times New Roman" w:hAnsi="Times New Roman" w:cs="Times New Roman"/>
          <w:b/>
          <w:sz w:val="28"/>
          <w:szCs w:val="28"/>
        </w:rPr>
      </w:pPr>
    </w:p>
    <w:p w14:paraId="63832A0D" w14:textId="77777777" w:rsidR="000B7227" w:rsidRDefault="00764100" w:rsidP="00163DF5">
      <w:pPr>
        <w:pStyle w:val="NormalWeb"/>
        <w:spacing w:before="0" w:beforeAutospacing="0" w:after="0" w:afterAutospacing="0" w:line="360" w:lineRule="auto"/>
        <w:ind w:firstLine="567"/>
        <w:jc w:val="both"/>
      </w:pPr>
      <w:r>
        <w:t>Trečiojoje</w:t>
      </w:r>
      <w:r w:rsidR="001F5FF1">
        <w:t xml:space="preserve"> darbo dalyje</w:t>
      </w:r>
      <w:r w:rsidR="00F553DC">
        <w:t>, remiantis atlikta mokslinės literatūros analize bei aukščiau pateiktais rodikliais,</w:t>
      </w:r>
      <w:r w:rsidR="001F5FF1">
        <w:t xml:space="preserve"> tiriama biržoje kotiruojamų Lietuvos įmonių likvidumo dinamika. Šių </w:t>
      </w:r>
      <w:r w:rsidR="000B7227">
        <w:t>įmonių verty</w:t>
      </w:r>
      <w:r w:rsidR="001F5FF1">
        <w:t>biniais popieriais prekiaujama Vilnia</w:t>
      </w:r>
      <w:r w:rsidR="00534B73">
        <w:t xml:space="preserve">us vertybinių popierių biržoje </w:t>
      </w:r>
      <w:r w:rsidR="001F5FF1">
        <w:t>NASDAQ OMX Viln</w:t>
      </w:r>
      <w:r w:rsidR="00534B73">
        <w:t>ius</w:t>
      </w:r>
      <w:r w:rsidR="000B7227">
        <w:t>.</w:t>
      </w:r>
      <w:r w:rsidR="001F5FF1">
        <w:t xml:space="preserve"> </w:t>
      </w:r>
      <w:r w:rsidR="00534B73">
        <w:t>Ši birža</w:t>
      </w:r>
      <w:r w:rsidR="001F5FF1">
        <w:t xml:space="preserve"> yra vienintelė reguliuojamos rinkos operatorė Lietuvoje, kuri teikia vertybinių popierių prekybos, listingavimo ir informacines paslaugas. Jos veiklą prižiūri Lietuvos Respublikos vertybinių popierių komisija.</w:t>
      </w:r>
      <w:r w:rsidR="000B7227">
        <w:t xml:space="preserve"> Šiuo metu Lietuvos vertybinių popierių rinką sudaro tokie segmentai: reguliuojama rinka, susidedanti iš NASDAQ OMX Vilnius Oficialiojo ir Papildomojo akcijų prekybos sąrašų, Skolos vertybinių popierių prekybos sąrašo bei Fondų prekybos sąrašo</w:t>
      </w:r>
      <w:r w:rsidR="00534B73">
        <w:t>,</w:t>
      </w:r>
      <w:r w:rsidR="000B7227">
        <w:t xml:space="preserve"> ir NASDAQ OMX sukurta alternatyvioji rinka First North. Į Oficialųjį ir Papildomąjį a</w:t>
      </w:r>
      <w:r w:rsidR="008C44C1">
        <w:t>kcijų prekybos sąrašus traukiamos</w:t>
      </w:r>
      <w:r w:rsidR="000B7227">
        <w:t xml:space="preserve"> bendrovė</w:t>
      </w:r>
      <w:r w:rsidR="008C44C1">
        <w:t>s ir jų</w:t>
      </w:r>
      <w:r w:rsidR="000B7227">
        <w:t xml:space="preserve"> vertybiniai popieriai</w:t>
      </w:r>
      <w:r w:rsidR="008C44C1">
        <w:t>, kurie</w:t>
      </w:r>
      <w:r w:rsidR="000B7227">
        <w:t xml:space="preserve"> atiti</w:t>
      </w:r>
      <w:r w:rsidR="008C44C1">
        <w:t>nka</w:t>
      </w:r>
      <w:r w:rsidR="000B7227">
        <w:t xml:space="preserve"> NASDAQ OMX Vilnius taisyklėse apibrėžtus</w:t>
      </w:r>
      <w:r w:rsidR="008C44C1">
        <w:t xml:space="preserve"> reikalavimus. </w:t>
      </w:r>
    </w:p>
    <w:p w14:paraId="39F114C8" w14:textId="77777777" w:rsidR="008C44C1" w:rsidRDefault="008C44C1" w:rsidP="008C44C1">
      <w:pPr>
        <w:pStyle w:val="NormalWeb"/>
        <w:spacing w:before="0" w:beforeAutospacing="0" w:after="0" w:afterAutospacing="0" w:line="360" w:lineRule="auto"/>
        <w:ind w:firstLine="567"/>
        <w:jc w:val="both"/>
      </w:pPr>
    </w:p>
    <w:p w14:paraId="70B7113F" w14:textId="77777777" w:rsidR="008C44C1" w:rsidRDefault="008C44C1" w:rsidP="007C32DB">
      <w:pPr>
        <w:pStyle w:val="NormalWeb"/>
        <w:spacing w:before="0" w:beforeAutospacing="0" w:after="0" w:afterAutospacing="0" w:line="360" w:lineRule="auto"/>
        <w:ind w:firstLine="284"/>
        <w:jc w:val="both"/>
      </w:pPr>
      <w:r w:rsidRPr="008C44C1">
        <w:rPr>
          <w:noProof/>
          <w:lang w:val="en-US" w:eastAsia="en-US"/>
        </w:rPr>
        <w:drawing>
          <wp:inline distT="0" distB="0" distL="0" distR="0" wp14:anchorId="71C4C6B6" wp14:editId="2508227D">
            <wp:extent cx="6007396" cy="4029739"/>
            <wp:effectExtent l="0" t="0" r="0" b="0"/>
            <wp:docPr id="31"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A1DA0DD" w14:textId="77777777" w:rsidR="0024004C" w:rsidRPr="0024004C" w:rsidRDefault="0024004C" w:rsidP="0024004C">
      <w:pPr>
        <w:ind w:left="720" w:firstLine="1407"/>
        <w:rPr>
          <w:rFonts w:ascii="Times New Roman" w:hAnsi="Times New Roman" w:cs="Times New Roman"/>
          <w:b/>
          <w:sz w:val="20"/>
          <w:szCs w:val="20"/>
          <w:lang w:eastAsia="lt-LT"/>
        </w:rPr>
      </w:pPr>
      <w:r w:rsidRPr="0024004C">
        <w:rPr>
          <w:rFonts w:ascii="Times New Roman" w:hAnsi="Times New Roman" w:cs="Times New Roman"/>
          <w:b/>
          <w:sz w:val="20"/>
          <w:szCs w:val="20"/>
          <w:lang w:eastAsia="lt-LT"/>
        </w:rPr>
        <w:t>Šaltinis:</w:t>
      </w:r>
      <w:r>
        <w:rPr>
          <w:rFonts w:ascii="Times New Roman" w:hAnsi="Times New Roman" w:cs="Times New Roman"/>
          <w:b/>
          <w:sz w:val="20"/>
          <w:szCs w:val="20"/>
          <w:lang w:eastAsia="lt-LT"/>
        </w:rPr>
        <w:t xml:space="preserve"> </w:t>
      </w:r>
      <w:r w:rsidRPr="0024004C">
        <w:rPr>
          <w:rFonts w:ascii="Times New Roman" w:hAnsi="Times New Roman" w:cs="Times New Roman"/>
          <w:sz w:val="20"/>
          <w:szCs w:val="20"/>
          <w:lang w:eastAsia="lt-LT"/>
        </w:rPr>
        <w:t>NASDAQ OMX Vilnius</w:t>
      </w:r>
    </w:p>
    <w:p w14:paraId="1DB1053F" w14:textId="77777777" w:rsidR="008C44C1" w:rsidRPr="007F2B73" w:rsidRDefault="0024004C" w:rsidP="007F2B73">
      <w:pPr>
        <w:pStyle w:val="Caption"/>
        <w:rPr>
          <w:color w:val="FF0000"/>
          <w:szCs w:val="24"/>
        </w:rPr>
      </w:pPr>
      <w:bookmarkStart w:id="65" w:name="_Toc227593860"/>
      <w:bookmarkStart w:id="66" w:name="_Toc227594501"/>
      <w:r w:rsidRPr="007F2B73">
        <w:rPr>
          <w:szCs w:val="24"/>
          <w:lang w:eastAsia="lt-LT"/>
        </w:rPr>
        <w:t xml:space="preserve">4 </w:t>
      </w:r>
      <w:r w:rsidR="00534B73" w:rsidRPr="007F2B73">
        <w:rPr>
          <w:szCs w:val="24"/>
          <w:lang w:eastAsia="lt-LT"/>
        </w:rPr>
        <w:t xml:space="preserve">pav. </w:t>
      </w:r>
      <w:r w:rsidR="008C44C1" w:rsidRPr="007F2B73">
        <w:rPr>
          <w:szCs w:val="24"/>
        </w:rPr>
        <w:t>Biržoje kotiruojamų Lietuvos įmonių klasifikacija pagal pramonės šaką</w:t>
      </w:r>
      <w:r w:rsidR="005C5247" w:rsidRPr="007F2B73">
        <w:rPr>
          <w:szCs w:val="24"/>
        </w:rPr>
        <w:t xml:space="preserve"> (ICB klas.)</w:t>
      </w:r>
      <w:bookmarkEnd w:id="65"/>
      <w:bookmarkEnd w:id="66"/>
    </w:p>
    <w:p w14:paraId="2B22F5E3" w14:textId="77777777" w:rsidR="008C44C1" w:rsidRPr="00F553DC" w:rsidRDefault="0085738D" w:rsidP="00EF0F26">
      <w:pPr>
        <w:tabs>
          <w:tab w:val="left" w:pos="5542"/>
        </w:tabs>
        <w:spacing w:after="0" w:line="36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4 p</w:t>
      </w:r>
      <w:r w:rsidR="005C5247">
        <w:rPr>
          <w:rFonts w:ascii="Times New Roman" w:hAnsi="Times New Roman" w:cs="Times New Roman"/>
          <w:sz w:val="24"/>
          <w:szCs w:val="24"/>
          <w:lang w:eastAsia="lt-LT"/>
        </w:rPr>
        <w:t xml:space="preserve">aveiksle pateikta biržoje kotiruojamų </w:t>
      </w:r>
      <w:r w:rsidR="009E52D6">
        <w:rPr>
          <w:rFonts w:ascii="Times New Roman" w:hAnsi="Times New Roman" w:cs="Times New Roman"/>
          <w:sz w:val="24"/>
          <w:szCs w:val="24"/>
          <w:lang w:eastAsia="lt-LT"/>
        </w:rPr>
        <w:t xml:space="preserve">Lietuvos </w:t>
      </w:r>
      <w:r w:rsidR="005C5247">
        <w:rPr>
          <w:rFonts w:ascii="Times New Roman" w:hAnsi="Times New Roman" w:cs="Times New Roman"/>
          <w:sz w:val="24"/>
          <w:szCs w:val="24"/>
          <w:lang w:eastAsia="lt-LT"/>
        </w:rPr>
        <w:t>įmonių kla</w:t>
      </w:r>
      <w:r w:rsidR="00EF0F26">
        <w:rPr>
          <w:rFonts w:ascii="Times New Roman" w:hAnsi="Times New Roman" w:cs="Times New Roman"/>
          <w:sz w:val="24"/>
          <w:szCs w:val="24"/>
          <w:lang w:eastAsia="lt-LT"/>
        </w:rPr>
        <w:t>sifikacija p</w:t>
      </w:r>
      <w:r>
        <w:rPr>
          <w:rFonts w:ascii="Times New Roman" w:hAnsi="Times New Roman" w:cs="Times New Roman"/>
          <w:sz w:val="24"/>
          <w:szCs w:val="24"/>
          <w:lang w:eastAsia="lt-LT"/>
        </w:rPr>
        <w:t>agal pramonės šaką. Šiai dienai</w:t>
      </w:r>
      <w:r w:rsidR="00EF0F26">
        <w:rPr>
          <w:rFonts w:ascii="Times New Roman" w:hAnsi="Times New Roman" w:cs="Times New Roman"/>
          <w:sz w:val="24"/>
          <w:szCs w:val="24"/>
          <w:lang w:eastAsia="lt-LT"/>
        </w:rPr>
        <w:t xml:space="preserve"> daugiausia </w:t>
      </w:r>
      <w:r w:rsidR="004D5401">
        <w:rPr>
          <w:rFonts w:ascii="Times New Roman" w:hAnsi="Times New Roman" w:cs="Times New Roman"/>
          <w:sz w:val="24"/>
          <w:szCs w:val="24"/>
          <w:lang w:eastAsia="lt-LT"/>
        </w:rPr>
        <w:t xml:space="preserve">kotiruojamų </w:t>
      </w:r>
      <w:r w:rsidR="00EF0F26">
        <w:rPr>
          <w:rFonts w:ascii="Times New Roman" w:hAnsi="Times New Roman" w:cs="Times New Roman"/>
          <w:sz w:val="24"/>
          <w:szCs w:val="24"/>
          <w:lang w:eastAsia="lt-LT"/>
        </w:rPr>
        <w:t xml:space="preserve">yra plataus vartojimo prekių </w:t>
      </w:r>
      <w:r w:rsidR="004D5401">
        <w:rPr>
          <w:rFonts w:ascii="Times New Roman" w:hAnsi="Times New Roman" w:cs="Times New Roman"/>
          <w:sz w:val="24"/>
          <w:szCs w:val="24"/>
          <w:lang w:eastAsia="lt-LT"/>
        </w:rPr>
        <w:t>įmonių</w:t>
      </w:r>
      <w:r w:rsidR="00EF0F2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00EF0F26">
        <w:rPr>
          <w:rFonts w:ascii="Times New Roman" w:hAnsi="Times New Roman" w:cs="Times New Roman"/>
          <w:sz w:val="24"/>
          <w:szCs w:val="24"/>
          <w:lang w:eastAsia="lt-LT"/>
        </w:rPr>
        <w:t xml:space="preserve"> 15, pramoninių gaminių –</w:t>
      </w:r>
      <w:r w:rsidR="00464CDA">
        <w:rPr>
          <w:rFonts w:ascii="Times New Roman" w:hAnsi="Times New Roman" w:cs="Times New Roman"/>
          <w:sz w:val="24"/>
          <w:szCs w:val="24"/>
          <w:lang w:eastAsia="lt-LT"/>
        </w:rPr>
        <w:t xml:space="preserve"> 6,</w:t>
      </w:r>
      <w:r w:rsidR="00EF0F26">
        <w:rPr>
          <w:rFonts w:ascii="Times New Roman" w:hAnsi="Times New Roman" w:cs="Times New Roman"/>
          <w:sz w:val="24"/>
          <w:szCs w:val="24"/>
          <w:lang w:eastAsia="lt-LT"/>
        </w:rPr>
        <w:t xml:space="preserve"> komunalinių paslaugų – 5</w:t>
      </w:r>
      <w:r w:rsidR="00464CDA">
        <w:rPr>
          <w:rFonts w:ascii="Times New Roman" w:hAnsi="Times New Roman" w:cs="Times New Roman"/>
          <w:sz w:val="24"/>
          <w:szCs w:val="24"/>
          <w:lang w:eastAsia="lt-LT"/>
        </w:rPr>
        <w:t xml:space="preserve">, finansų paslaugų </w:t>
      </w:r>
      <w:r>
        <w:rPr>
          <w:rFonts w:ascii="Times New Roman" w:hAnsi="Times New Roman" w:cs="Times New Roman"/>
          <w:sz w:val="24"/>
          <w:szCs w:val="24"/>
          <w:lang w:eastAsia="lt-LT"/>
        </w:rPr>
        <w:t>–</w:t>
      </w:r>
      <w:r w:rsidR="00464CDA">
        <w:rPr>
          <w:rFonts w:ascii="Times New Roman" w:hAnsi="Times New Roman" w:cs="Times New Roman"/>
          <w:sz w:val="24"/>
          <w:szCs w:val="24"/>
          <w:lang w:eastAsia="lt-LT"/>
        </w:rPr>
        <w:t xml:space="preserve"> 3</w:t>
      </w:r>
      <w:r w:rsidR="00EF0F26">
        <w:rPr>
          <w:rFonts w:ascii="Times New Roman" w:hAnsi="Times New Roman" w:cs="Times New Roman"/>
          <w:sz w:val="24"/>
          <w:szCs w:val="24"/>
          <w:lang w:eastAsia="lt-LT"/>
        </w:rPr>
        <w:t xml:space="preserve">. </w:t>
      </w:r>
      <w:r w:rsidR="00464CDA">
        <w:rPr>
          <w:rFonts w:ascii="Times New Roman" w:hAnsi="Times New Roman" w:cs="Times New Roman"/>
          <w:sz w:val="24"/>
          <w:szCs w:val="24"/>
          <w:lang w:eastAsia="lt-LT"/>
        </w:rPr>
        <w:t>Kitų pramonės šakų įmonių yra po 1.</w:t>
      </w:r>
    </w:p>
    <w:p w14:paraId="773FE18C" w14:textId="77777777" w:rsidR="000B7227" w:rsidRDefault="000D2CED" w:rsidP="00EF0F26">
      <w:pPr>
        <w:tabs>
          <w:tab w:val="left" w:pos="6731"/>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 oficialųjį prekybos sąrašą</w:t>
      </w:r>
      <w:r w:rsidR="000B7227">
        <w:rPr>
          <w:rFonts w:ascii="Times New Roman" w:hAnsi="Times New Roman" w:cs="Times New Roman"/>
          <w:sz w:val="24"/>
          <w:szCs w:val="24"/>
        </w:rPr>
        <w:t xml:space="preserve"> </w:t>
      </w:r>
      <w:r w:rsidR="004D5401">
        <w:rPr>
          <w:rFonts w:ascii="Times New Roman" w:hAnsi="Times New Roman" w:cs="Times New Roman"/>
          <w:sz w:val="24"/>
          <w:szCs w:val="24"/>
        </w:rPr>
        <w:t>2013 m.</w:t>
      </w:r>
      <w:r w:rsidR="000B7227">
        <w:rPr>
          <w:rFonts w:ascii="Times New Roman" w:hAnsi="Times New Roman" w:cs="Times New Roman"/>
          <w:sz w:val="24"/>
          <w:szCs w:val="24"/>
        </w:rPr>
        <w:t xml:space="preserve"> </w:t>
      </w:r>
      <w:r>
        <w:rPr>
          <w:rFonts w:ascii="Times New Roman" w:hAnsi="Times New Roman" w:cs="Times New Roman"/>
          <w:sz w:val="24"/>
          <w:szCs w:val="24"/>
        </w:rPr>
        <w:t>įtraukta</w:t>
      </w:r>
      <w:r w:rsidR="000B7227">
        <w:rPr>
          <w:rFonts w:ascii="Times New Roman" w:hAnsi="Times New Roman" w:cs="Times New Roman"/>
          <w:sz w:val="24"/>
          <w:szCs w:val="24"/>
        </w:rPr>
        <w:t xml:space="preserve"> 18 Lietuvos įmonių. </w:t>
      </w:r>
      <w:r w:rsidR="0085738D">
        <w:rPr>
          <w:rFonts w:ascii="Times New Roman" w:hAnsi="Times New Roman" w:cs="Times New Roman"/>
          <w:sz w:val="24"/>
          <w:szCs w:val="24"/>
        </w:rPr>
        <w:t>V</w:t>
      </w:r>
      <w:r w:rsidR="000B7227">
        <w:rPr>
          <w:rFonts w:ascii="Times New Roman" w:hAnsi="Times New Roman" w:cs="Times New Roman"/>
          <w:sz w:val="24"/>
          <w:szCs w:val="24"/>
        </w:rPr>
        <w:t>erta paminėti, kad AB „Ūkio bankas“ nebevykdo veiklos ir prekyba vertybiniais popieriais sustabdyta, AB „Invalda“ ir AB „Lietuvos dujos“ dalyvauja atsiskyrime.</w:t>
      </w:r>
      <w:r>
        <w:rPr>
          <w:rFonts w:ascii="Times New Roman" w:hAnsi="Times New Roman" w:cs="Times New Roman"/>
          <w:sz w:val="24"/>
          <w:szCs w:val="24"/>
        </w:rPr>
        <w:t xml:space="preserve"> Į papildomąjį sąrašą šiuo metu įtraukta 15 Lietuvos įmonių. Pažymima, jog AB „Agrowill Group“ restruktūrizuojama.</w:t>
      </w:r>
    </w:p>
    <w:p w14:paraId="68BCC120" w14:textId="77777777" w:rsidR="00D00859" w:rsidRDefault="00EF0F26" w:rsidP="0004087B">
      <w:pPr>
        <w:tabs>
          <w:tab w:val="left" w:pos="6731"/>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Analizuojamu laikotarpiu (2008-2012 m.) biržoje kotiruojamų įmonių skaičius kito. Dalis </w:t>
      </w:r>
      <w:r w:rsidR="004D5401">
        <w:rPr>
          <w:rFonts w:ascii="Times New Roman" w:hAnsi="Times New Roman" w:cs="Times New Roman"/>
          <w:sz w:val="24"/>
          <w:szCs w:val="24"/>
        </w:rPr>
        <w:t>juridinių asmenų</w:t>
      </w:r>
      <w:r>
        <w:rPr>
          <w:rFonts w:ascii="Times New Roman" w:hAnsi="Times New Roman" w:cs="Times New Roman"/>
          <w:sz w:val="24"/>
          <w:szCs w:val="24"/>
        </w:rPr>
        <w:t xml:space="preserve"> bankrutavo, dalis susijungė, dalis tiesiog buvo išbrauktos iš sąrašo</w:t>
      </w:r>
      <w:r w:rsidR="004D5401">
        <w:rPr>
          <w:rFonts w:ascii="Times New Roman" w:hAnsi="Times New Roman" w:cs="Times New Roman"/>
          <w:sz w:val="24"/>
          <w:szCs w:val="24"/>
        </w:rPr>
        <w:t>, nes neatitiko reikalavimų arba pasitraukė savo noru</w:t>
      </w:r>
      <w:r>
        <w:rPr>
          <w:rFonts w:ascii="Times New Roman" w:hAnsi="Times New Roman" w:cs="Times New Roman"/>
          <w:sz w:val="24"/>
          <w:szCs w:val="24"/>
        </w:rPr>
        <w:t>. Šiuo metu biržoje kotiruojamos 32 įmonės (</w:t>
      </w:r>
      <w:r w:rsidR="0085738D">
        <w:rPr>
          <w:rFonts w:ascii="Times New Roman" w:hAnsi="Times New Roman" w:cs="Times New Roman"/>
          <w:sz w:val="24"/>
          <w:szCs w:val="24"/>
        </w:rPr>
        <w:t xml:space="preserve">žr. </w:t>
      </w:r>
      <w:r>
        <w:rPr>
          <w:rFonts w:ascii="Times New Roman" w:hAnsi="Times New Roman" w:cs="Times New Roman"/>
          <w:sz w:val="24"/>
          <w:szCs w:val="24"/>
        </w:rPr>
        <w:t>2 lent.)</w:t>
      </w:r>
      <w:r w:rsidR="008B6C60">
        <w:rPr>
          <w:rFonts w:ascii="Times New Roman" w:hAnsi="Times New Roman" w:cs="Times New Roman"/>
          <w:sz w:val="24"/>
          <w:szCs w:val="24"/>
        </w:rPr>
        <w:t>.</w:t>
      </w:r>
    </w:p>
    <w:p w14:paraId="2C49DFD6" w14:textId="77777777" w:rsidR="0085738D" w:rsidRDefault="0085738D" w:rsidP="0004087B">
      <w:pPr>
        <w:spacing w:after="0" w:line="360" w:lineRule="auto"/>
        <w:rPr>
          <w:rFonts w:ascii="Times New Roman" w:hAnsi="Times New Roman" w:cs="Times New Roman"/>
          <w:b/>
        </w:rPr>
      </w:pPr>
    </w:p>
    <w:p w14:paraId="291CEE35" w14:textId="77777777" w:rsidR="0085738D" w:rsidRPr="009900EC" w:rsidRDefault="0085738D" w:rsidP="009900EC">
      <w:pPr>
        <w:pStyle w:val="1ant"/>
        <w:rPr>
          <w:rStyle w:val="Strong"/>
          <w:sz w:val="24"/>
          <w:szCs w:val="24"/>
        </w:rPr>
      </w:pPr>
      <w:bookmarkStart w:id="67" w:name="_Toc227595958"/>
      <w:r w:rsidRPr="009900EC">
        <w:rPr>
          <w:rStyle w:val="Strong"/>
          <w:sz w:val="24"/>
          <w:szCs w:val="24"/>
        </w:rPr>
        <w:t>2 lentelė. Biržoje kotiruojamų Lietuvos įmonių sąrašas</w:t>
      </w:r>
      <w:bookmarkEnd w:id="67"/>
    </w:p>
    <w:tbl>
      <w:tblPr>
        <w:tblStyle w:val="TableGrid"/>
        <w:tblW w:w="0" w:type="auto"/>
        <w:jc w:val="center"/>
        <w:tblLook w:val="04A0" w:firstRow="1" w:lastRow="0" w:firstColumn="1" w:lastColumn="0" w:noHBand="0" w:noVBand="1"/>
      </w:tblPr>
      <w:tblGrid>
        <w:gridCol w:w="1377"/>
        <w:gridCol w:w="3557"/>
      </w:tblGrid>
      <w:tr w:rsidR="00D00859" w:rsidRPr="004B6D67" w14:paraId="4E73BB7F" w14:textId="77777777" w:rsidTr="0085738D">
        <w:trPr>
          <w:jc w:val="center"/>
        </w:trPr>
        <w:tc>
          <w:tcPr>
            <w:tcW w:w="1377" w:type="dxa"/>
          </w:tcPr>
          <w:p w14:paraId="55EB3C72" w14:textId="77777777" w:rsidR="00D00859" w:rsidRPr="0085738D" w:rsidRDefault="00D00859" w:rsidP="00D00859">
            <w:pPr>
              <w:rPr>
                <w:rFonts w:ascii="Times New Roman" w:hAnsi="Times New Roman" w:cs="Times New Roman"/>
                <w:b/>
                <w:sz w:val="20"/>
                <w:szCs w:val="20"/>
              </w:rPr>
            </w:pPr>
            <w:r w:rsidRPr="0085738D">
              <w:rPr>
                <w:rFonts w:ascii="Times New Roman" w:hAnsi="Times New Roman" w:cs="Times New Roman"/>
                <w:b/>
                <w:sz w:val="20"/>
                <w:szCs w:val="20"/>
              </w:rPr>
              <w:t>Santrumpa</w:t>
            </w:r>
          </w:p>
        </w:tc>
        <w:tc>
          <w:tcPr>
            <w:tcW w:w="3557" w:type="dxa"/>
          </w:tcPr>
          <w:p w14:paraId="3C7ACF69" w14:textId="77777777" w:rsidR="00D00859" w:rsidRPr="0085738D" w:rsidRDefault="00D00859" w:rsidP="00D00859">
            <w:pPr>
              <w:rPr>
                <w:rFonts w:ascii="Times New Roman" w:hAnsi="Times New Roman" w:cs="Times New Roman"/>
                <w:b/>
                <w:sz w:val="20"/>
                <w:szCs w:val="20"/>
              </w:rPr>
            </w:pPr>
            <w:r w:rsidRPr="0085738D">
              <w:rPr>
                <w:rFonts w:ascii="Times New Roman" w:hAnsi="Times New Roman" w:cs="Times New Roman"/>
                <w:b/>
                <w:sz w:val="20"/>
                <w:szCs w:val="20"/>
              </w:rPr>
              <w:t>Įmonės pavadinimas</w:t>
            </w:r>
          </w:p>
        </w:tc>
      </w:tr>
      <w:tr w:rsidR="00D00859" w:rsidRPr="004B6D67" w14:paraId="7980A405" w14:textId="77777777" w:rsidTr="0085738D">
        <w:trPr>
          <w:jc w:val="center"/>
        </w:trPr>
        <w:tc>
          <w:tcPr>
            <w:tcW w:w="1377" w:type="dxa"/>
          </w:tcPr>
          <w:p w14:paraId="48ECD47F"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AVG1L</w:t>
            </w:r>
          </w:p>
        </w:tc>
        <w:tc>
          <w:tcPr>
            <w:tcW w:w="3557" w:type="dxa"/>
          </w:tcPr>
          <w:p w14:paraId="40A0F26A"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„Agrowill Group“</w:t>
            </w:r>
          </w:p>
        </w:tc>
      </w:tr>
      <w:tr w:rsidR="00D00859" w:rsidRPr="004B6D67" w14:paraId="18C62CED" w14:textId="77777777" w:rsidTr="0085738D">
        <w:trPr>
          <w:jc w:val="center"/>
        </w:trPr>
        <w:tc>
          <w:tcPr>
            <w:tcW w:w="1377" w:type="dxa"/>
          </w:tcPr>
          <w:p w14:paraId="57215A03"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ANK1L</w:t>
            </w:r>
          </w:p>
        </w:tc>
        <w:tc>
          <w:tcPr>
            <w:tcW w:w="3557" w:type="dxa"/>
          </w:tcPr>
          <w:p w14:paraId="35870B38"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„Anykščių vynas“</w:t>
            </w:r>
          </w:p>
        </w:tc>
      </w:tr>
      <w:tr w:rsidR="00D00859" w:rsidRPr="004B6D67" w14:paraId="07E62986" w14:textId="77777777" w:rsidTr="0085738D">
        <w:trPr>
          <w:jc w:val="center"/>
        </w:trPr>
        <w:tc>
          <w:tcPr>
            <w:tcW w:w="1377" w:type="dxa"/>
          </w:tcPr>
          <w:p w14:paraId="05B641D0"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APG1L</w:t>
            </w:r>
          </w:p>
        </w:tc>
        <w:tc>
          <w:tcPr>
            <w:tcW w:w="3557" w:type="dxa"/>
          </w:tcPr>
          <w:p w14:paraId="3C078781"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APB „Apranga“</w:t>
            </w:r>
          </w:p>
        </w:tc>
      </w:tr>
      <w:tr w:rsidR="00D00859" w:rsidRPr="004B6D67" w14:paraId="11B95052" w14:textId="77777777" w:rsidTr="0085738D">
        <w:trPr>
          <w:jc w:val="center"/>
        </w:trPr>
        <w:tc>
          <w:tcPr>
            <w:tcW w:w="1377" w:type="dxa"/>
          </w:tcPr>
          <w:p w14:paraId="23D39C00"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CTS1L</w:t>
            </w:r>
          </w:p>
        </w:tc>
        <w:tc>
          <w:tcPr>
            <w:tcW w:w="3557" w:type="dxa"/>
          </w:tcPr>
          <w:p w14:paraId="081466D3"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„City Service“</w:t>
            </w:r>
          </w:p>
        </w:tc>
      </w:tr>
      <w:tr w:rsidR="00D00859" w:rsidRPr="004B6D67" w14:paraId="1132C977" w14:textId="77777777" w:rsidTr="0085738D">
        <w:trPr>
          <w:jc w:val="center"/>
        </w:trPr>
        <w:tc>
          <w:tcPr>
            <w:tcW w:w="1377" w:type="dxa"/>
          </w:tcPr>
          <w:p w14:paraId="0D4B1EF4"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DKR1L</w:t>
            </w:r>
          </w:p>
        </w:tc>
        <w:tc>
          <w:tcPr>
            <w:tcW w:w="3557" w:type="dxa"/>
          </w:tcPr>
          <w:p w14:paraId="15EF1CDB"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„Dvarčionių keramika“</w:t>
            </w:r>
          </w:p>
        </w:tc>
      </w:tr>
      <w:tr w:rsidR="00D00859" w:rsidRPr="004B6D67" w14:paraId="5012DAE1" w14:textId="77777777" w:rsidTr="0085738D">
        <w:trPr>
          <w:jc w:val="center"/>
        </w:trPr>
        <w:tc>
          <w:tcPr>
            <w:tcW w:w="1377" w:type="dxa"/>
          </w:tcPr>
          <w:p w14:paraId="64678DC7"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GRG1L</w:t>
            </w:r>
          </w:p>
        </w:tc>
        <w:tc>
          <w:tcPr>
            <w:tcW w:w="3557" w:type="dxa"/>
          </w:tcPr>
          <w:p w14:paraId="73B70A4B"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„Grigiškės“</w:t>
            </w:r>
          </w:p>
        </w:tc>
      </w:tr>
      <w:tr w:rsidR="00D00859" w:rsidRPr="004B6D67" w14:paraId="48442869" w14:textId="77777777" w:rsidTr="0085738D">
        <w:trPr>
          <w:jc w:val="center"/>
        </w:trPr>
        <w:tc>
          <w:tcPr>
            <w:tcW w:w="1377" w:type="dxa"/>
          </w:tcPr>
          <w:p w14:paraId="7E63B87C"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GUB1L</w:t>
            </w:r>
          </w:p>
        </w:tc>
        <w:tc>
          <w:tcPr>
            <w:tcW w:w="3557" w:type="dxa"/>
          </w:tcPr>
          <w:p w14:paraId="52A96994"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„Gubernija“</w:t>
            </w:r>
          </w:p>
        </w:tc>
      </w:tr>
      <w:tr w:rsidR="00D00859" w:rsidRPr="004B6D67" w14:paraId="516AA759" w14:textId="77777777" w:rsidTr="0085738D">
        <w:trPr>
          <w:jc w:val="center"/>
        </w:trPr>
        <w:tc>
          <w:tcPr>
            <w:tcW w:w="1377" w:type="dxa"/>
          </w:tcPr>
          <w:p w14:paraId="79CF0F38"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AGP1L</w:t>
            </w:r>
          </w:p>
        </w:tc>
        <w:tc>
          <w:tcPr>
            <w:tcW w:w="3557" w:type="dxa"/>
          </w:tcPr>
          <w:p w14:paraId="1787D7B3"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Įmonių grupė „Alita“, AB</w:t>
            </w:r>
          </w:p>
        </w:tc>
      </w:tr>
      <w:tr w:rsidR="00D00859" w:rsidRPr="004B6D67" w14:paraId="66029AEF" w14:textId="77777777" w:rsidTr="0085738D">
        <w:trPr>
          <w:jc w:val="center"/>
        </w:trPr>
        <w:tc>
          <w:tcPr>
            <w:tcW w:w="1377" w:type="dxa"/>
          </w:tcPr>
          <w:p w14:paraId="03A2D974"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IVL1L</w:t>
            </w:r>
          </w:p>
        </w:tc>
        <w:tc>
          <w:tcPr>
            <w:tcW w:w="3557" w:type="dxa"/>
          </w:tcPr>
          <w:p w14:paraId="197CDBA2"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„Invalda“</w:t>
            </w:r>
          </w:p>
        </w:tc>
      </w:tr>
      <w:tr w:rsidR="00D00859" w:rsidRPr="004B6D67" w14:paraId="76CD29E3" w14:textId="77777777" w:rsidTr="0085738D">
        <w:trPr>
          <w:jc w:val="center"/>
        </w:trPr>
        <w:tc>
          <w:tcPr>
            <w:tcW w:w="1377" w:type="dxa"/>
          </w:tcPr>
          <w:p w14:paraId="0CFEAECD"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KNR1L</w:t>
            </w:r>
          </w:p>
        </w:tc>
        <w:tc>
          <w:tcPr>
            <w:tcW w:w="3557" w:type="dxa"/>
          </w:tcPr>
          <w:p w14:paraId="21849823"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„Kauno energija“</w:t>
            </w:r>
          </w:p>
        </w:tc>
      </w:tr>
      <w:tr w:rsidR="00D00859" w:rsidRPr="004B6D67" w14:paraId="765CD57C" w14:textId="77777777" w:rsidTr="0085738D">
        <w:trPr>
          <w:jc w:val="center"/>
        </w:trPr>
        <w:tc>
          <w:tcPr>
            <w:tcW w:w="1377" w:type="dxa"/>
          </w:tcPr>
          <w:p w14:paraId="37CCEBFE"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KBL1L</w:t>
            </w:r>
          </w:p>
        </w:tc>
        <w:tc>
          <w:tcPr>
            <w:tcW w:w="3557" w:type="dxa"/>
          </w:tcPr>
          <w:p w14:paraId="4B8632EF"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„Klaipėdos baldai“</w:t>
            </w:r>
          </w:p>
        </w:tc>
      </w:tr>
      <w:tr w:rsidR="00D00859" w:rsidRPr="004B6D67" w14:paraId="108A8506" w14:textId="77777777" w:rsidTr="0085738D">
        <w:trPr>
          <w:jc w:val="center"/>
        </w:trPr>
        <w:tc>
          <w:tcPr>
            <w:tcW w:w="1377" w:type="dxa"/>
          </w:tcPr>
          <w:p w14:paraId="6276EE01"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KNF1L</w:t>
            </w:r>
          </w:p>
        </w:tc>
        <w:tc>
          <w:tcPr>
            <w:tcW w:w="3557" w:type="dxa"/>
          </w:tcPr>
          <w:p w14:paraId="0795953A"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„Klaipėdos nafta“</w:t>
            </w:r>
          </w:p>
        </w:tc>
      </w:tr>
      <w:tr w:rsidR="00D00859" w:rsidRPr="004B6D67" w14:paraId="6C8505EA" w14:textId="77777777" w:rsidTr="0085738D">
        <w:trPr>
          <w:jc w:val="center"/>
        </w:trPr>
        <w:tc>
          <w:tcPr>
            <w:tcW w:w="1377" w:type="dxa"/>
          </w:tcPr>
          <w:p w14:paraId="2D1DFE70"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LES1L</w:t>
            </w:r>
          </w:p>
        </w:tc>
        <w:tc>
          <w:tcPr>
            <w:tcW w:w="3557" w:type="dxa"/>
          </w:tcPr>
          <w:p w14:paraId="72B6DE8F"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„Lesto“</w:t>
            </w:r>
          </w:p>
        </w:tc>
      </w:tr>
      <w:tr w:rsidR="00D00859" w:rsidRPr="004B6D67" w14:paraId="584FDB99" w14:textId="77777777" w:rsidTr="0085738D">
        <w:trPr>
          <w:jc w:val="center"/>
        </w:trPr>
        <w:tc>
          <w:tcPr>
            <w:tcW w:w="1377" w:type="dxa"/>
          </w:tcPr>
          <w:p w14:paraId="4640C67D"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LDJ1L</w:t>
            </w:r>
          </w:p>
        </w:tc>
        <w:tc>
          <w:tcPr>
            <w:tcW w:w="3557" w:type="dxa"/>
          </w:tcPr>
          <w:p w14:paraId="3E0B7337"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„Lietuvos dujos“</w:t>
            </w:r>
          </w:p>
        </w:tc>
      </w:tr>
      <w:tr w:rsidR="00D00859" w:rsidRPr="004B6D67" w14:paraId="67152CFB" w14:textId="77777777" w:rsidTr="0085738D">
        <w:trPr>
          <w:jc w:val="center"/>
        </w:trPr>
        <w:tc>
          <w:tcPr>
            <w:tcW w:w="1377" w:type="dxa"/>
          </w:tcPr>
          <w:p w14:paraId="0AA85587"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LNR1L</w:t>
            </w:r>
          </w:p>
        </w:tc>
        <w:tc>
          <w:tcPr>
            <w:tcW w:w="3557" w:type="dxa"/>
          </w:tcPr>
          <w:p w14:paraId="76E5C075"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„Lietuvos energija“</w:t>
            </w:r>
          </w:p>
        </w:tc>
      </w:tr>
      <w:tr w:rsidR="00D00859" w:rsidRPr="004B6D67" w14:paraId="0D8E8E01" w14:textId="77777777" w:rsidTr="0085738D">
        <w:trPr>
          <w:jc w:val="center"/>
        </w:trPr>
        <w:tc>
          <w:tcPr>
            <w:tcW w:w="1377" w:type="dxa"/>
          </w:tcPr>
          <w:p w14:paraId="326B895A"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LJL1L</w:t>
            </w:r>
          </w:p>
        </w:tc>
        <w:tc>
          <w:tcPr>
            <w:tcW w:w="3557" w:type="dxa"/>
          </w:tcPr>
          <w:p w14:paraId="62811850"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„Lietuvos jūrų laivininkystė“</w:t>
            </w:r>
          </w:p>
        </w:tc>
      </w:tr>
      <w:tr w:rsidR="00D00859" w:rsidRPr="004B6D67" w14:paraId="6E6BBBAD" w14:textId="77777777" w:rsidTr="0085738D">
        <w:trPr>
          <w:jc w:val="center"/>
        </w:trPr>
        <w:tc>
          <w:tcPr>
            <w:tcW w:w="1377" w:type="dxa"/>
          </w:tcPr>
          <w:p w14:paraId="30EA8725"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LLK1L</w:t>
            </w:r>
          </w:p>
        </w:tc>
        <w:tc>
          <w:tcPr>
            <w:tcW w:w="3557" w:type="dxa"/>
          </w:tcPr>
          <w:p w14:paraId="304F548F"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„Limarko laivininkystės kompanija“</w:t>
            </w:r>
          </w:p>
        </w:tc>
      </w:tr>
      <w:tr w:rsidR="00D00859" w:rsidRPr="004B6D67" w14:paraId="5FE78AD2" w14:textId="77777777" w:rsidTr="0085738D">
        <w:trPr>
          <w:jc w:val="center"/>
        </w:trPr>
        <w:tc>
          <w:tcPr>
            <w:tcW w:w="1377" w:type="dxa"/>
          </w:tcPr>
          <w:p w14:paraId="360BD1DC"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LNSL</w:t>
            </w:r>
          </w:p>
        </w:tc>
        <w:tc>
          <w:tcPr>
            <w:tcW w:w="3557" w:type="dxa"/>
          </w:tcPr>
          <w:p w14:paraId="7E7EC20E"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„Linas“</w:t>
            </w:r>
          </w:p>
        </w:tc>
      </w:tr>
      <w:tr w:rsidR="00D00859" w:rsidRPr="004B6D67" w14:paraId="66A058EA" w14:textId="77777777" w:rsidTr="0085738D">
        <w:trPr>
          <w:jc w:val="center"/>
        </w:trPr>
        <w:tc>
          <w:tcPr>
            <w:tcW w:w="1377" w:type="dxa"/>
          </w:tcPr>
          <w:p w14:paraId="50C57E51"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LNA1L</w:t>
            </w:r>
          </w:p>
        </w:tc>
        <w:tc>
          <w:tcPr>
            <w:tcW w:w="3557" w:type="dxa"/>
          </w:tcPr>
          <w:p w14:paraId="438BD612"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„Linas Agro Group“</w:t>
            </w:r>
          </w:p>
        </w:tc>
      </w:tr>
      <w:tr w:rsidR="00D00859" w:rsidRPr="004B6D67" w14:paraId="6B323ED4" w14:textId="77777777" w:rsidTr="0085738D">
        <w:trPr>
          <w:jc w:val="center"/>
        </w:trPr>
        <w:tc>
          <w:tcPr>
            <w:tcW w:w="1377" w:type="dxa"/>
          </w:tcPr>
          <w:p w14:paraId="307FE3D2"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LGD1L</w:t>
            </w:r>
          </w:p>
        </w:tc>
        <w:tc>
          <w:tcPr>
            <w:tcW w:w="3557" w:type="dxa"/>
          </w:tcPr>
          <w:p w14:paraId="3553CED3"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„Litgrid“</w:t>
            </w:r>
          </w:p>
        </w:tc>
      </w:tr>
      <w:tr w:rsidR="00D00859" w:rsidRPr="004B6D67" w14:paraId="240A998F" w14:textId="77777777" w:rsidTr="0085738D">
        <w:trPr>
          <w:jc w:val="center"/>
        </w:trPr>
        <w:tc>
          <w:tcPr>
            <w:tcW w:w="1377" w:type="dxa"/>
          </w:tcPr>
          <w:p w14:paraId="01A1447B"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PTR1L</w:t>
            </w:r>
          </w:p>
        </w:tc>
        <w:tc>
          <w:tcPr>
            <w:tcW w:w="3557" w:type="dxa"/>
          </w:tcPr>
          <w:p w14:paraId="22CCC0BB"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„Panevėžio statybos trestas“</w:t>
            </w:r>
          </w:p>
        </w:tc>
      </w:tr>
      <w:tr w:rsidR="00D00859" w:rsidRPr="004B6D67" w14:paraId="5CE187D1" w14:textId="77777777" w:rsidTr="0085738D">
        <w:trPr>
          <w:jc w:val="center"/>
        </w:trPr>
        <w:tc>
          <w:tcPr>
            <w:tcW w:w="1377" w:type="dxa"/>
          </w:tcPr>
          <w:p w14:paraId="45B1B6D6"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PZV1L</w:t>
            </w:r>
          </w:p>
        </w:tc>
        <w:tc>
          <w:tcPr>
            <w:tcW w:w="3557" w:type="dxa"/>
          </w:tcPr>
          <w:p w14:paraId="4DC0148F"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„Pieno žvaigždės“</w:t>
            </w:r>
          </w:p>
        </w:tc>
      </w:tr>
      <w:tr w:rsidR="00D00859" w:rsidRPr="004B6D67" w14:paraId="5C7C2BCC" w14:textId="77777777" w:rsidTr="0085738D">
        <w:trPr>
          <w:jc w:val="center"/>
        </w:trPr>
        <w:tc>
          <w:tcPr>
            <w:tcW w:w="1377" w:type="dxa"/>
          </w:tcPr>
          <w:p w14:paraId="53243CE8"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RSU1L</w:t>
            </w:r>
          </w:p>
        </w:tc>
        <w:tc>
          <w:tcPr>
            <w:tcW w:w="3557" w:type="dxa"/>
          </w:tcPr>
          <w:p w14:paraId="30418446"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„Rokiškio sūris“</w:t>
            </w:r>
          </w:p>
        </w:tc>
      </w:tr>
      <w:tr w:rsidR="00D00859" w:rsidRPr="004B6D67" w14:paraId="1C1406CA" w14:textId="77777777" w:rsidTr="0085738D">
        <w:trPr>
          <w:jc w:val="center"/>
        </w:trPr>
        <w:tc>
          <w:tcPr>
            <w:tcW w:w="1377" w:type="dxa"/>
          </w:tcPr>
          <w:p w14:paraId="22A91E0F"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SAN1L</w:t>
            </w:r>
          </w:p>
        </w:tc>
        <w:tc>
          <w:tcPr>
            <w:tcW w:w="3557" w:type="dxa"/>
          </w:tcPr>
          <w:p w14:paraId="4CF2DCF8"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„Sanitas“</w:t>
            </w:r>
          </w:p>
        </w:tc>
      </w:tr>
      <w:tr w:rsidR="00D00859" w:rsidRPr="004B6D67" w14:paraId="59EC311C" w14:textId="77777777" w:rsidTr="0085738D">
        <w:trPr>
          <w:jc w:val="center"/>
        </w:trPr>
        <w:tc>
          <w:tcPr>
            <w:tcW w:w="1377" w:type="dxa"/>
          </w:tcPr>
          <w:p w14:paraId="47552E0D"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SAB1L</w:t>
            </w:r>
          </w:p>
        </w:tc>
        <w:tc>
          <w:tcPr>
            <w:tcW w:w="3557" w:type="dxa"/>
          </w:tcPr>
          <w:p w14:paraId="29D48B2E"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„Šiaulių bankas“</w:t>
            </w:r>
          </w:p>
        </w:tc>
      </w:tr>
      <w:tr w:rsidR="00D00859" w:rsidRPr="004B6D67" w14:paraId="5B9B95B2" w14:textId="77777777" w:rsidTr="0085738D">
        <w:trPr>
          <w:jc w:val="center"/>
        </w:trPr>
        <w:tc>
          <w:tcPr>
            <w:tcW w:w="1377" w:type="dxa"/>
          </w:tcPr>
          <w:p w14:paraId="5524F15D"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SNG1L</w:t>
            </w:r>
          </w:p>
        </w:tc>
        <w:tc>
          <w:tcPr>
            <w:tcW w:w="3557" w:type="dxa"/>
          </w:tcPr>
          <w:p w14:paraId="054C4FBC"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„Snaigė“</w:t>
            </w:r>
          </w:p>
        </w:tc>
      </w:tr>
      <w:tr w:rsidR="00D00859" w:rsidRPr="004B6D67" w14:paraId="6CB4015F" w14:textId="77777777" w:rsidTr="0085738D">
        <w:trPr>
          <w:jc w:val="center"/>
        </w:trPr>
        <w:tc>
          <w:tcPr>
            <w:tcW w:w="1377" w:type="dxa"/>
          </w:tcPr>
          <w:p w14:paraId="7ACAA28E"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TEO1L</w:t>
            </w:r>
          </w:p>
        </w:tc>
        <w:tc>
          <w:tcPr>
            <w:tcW w:w="3557" w:type="dxa"/>
          </w:tcPr>
          <w:p w14:paraId="4ACB1A12"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„TEO LT“</w:t>
            </w:r>
          </w:p>
        </w:tc>
      </w:tr>
      <w:tr w:rsidR="00D00859" w:rsidRPr="004B6D67" w14:paraId="4E524359" w14:textId="77777777" w:rsidTr="0085738D">
        <w:trPr>
          <w:jc w:val="center"/>
        </w:trPr>
        <w:tc>
          <w:tcPr>
            <w:tcW w:w="1377" w:type="dxa"/>
          </w:tcPr>
          <w:p w14:paraId="50A59BBD"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UTR1L</w:t>
            </w:r>
          </w:p>
        </w:tc>
        <w:tc>
          <w:tcPr>
            <w:tcW w:w="3557" w:type="dxa"/>
          </w:tcPr>
          <w:p w14:paraId="7C546FCF"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„Utenos trikotažas“</w:t>
            </w:r>
          </w:p>
        </w:tc>
      </w:tr>
      <w:tr w:rsidR="00D00859" w:rsidRPr="004B6D67" w14:paraId="2187386B" w14:textId="77777777" w:rsidTr="0085738D">
        <w:trPr>
          <w:jc w:val="center"/>
        </w:trPr>
        <w:tc>
          <w:tcPr>
            <w:tcW w:w="1377" w:type="dxa"/>
          </w:tcPr>
          <w:p w14:paraId="44EE7D95"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VLP1L</w:t>
            </w:r>
          </w:p>
        </w:tc>
        <w:tc>
          <w:tcPr>
            <w:tcW w:w="3557" w:type="dxa"/>
          </w:tcPr>
          <w:p w14:paraId="0C548537"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„Vilkyškių pieninė“</w:t>
            </w:r>
          </w:p>
        </w:tc>
      </w:tr>
      <w:tr w:rsidR="00D00859" w:rsidRPr="004B6D67" w14:paraId="3239F4B7" w14:textId="77777777" w:rsidTr="0085738D">
        <w:trPr>
          <w:jc w:val="center"/>
        </w:trPr>
        <w:tc>
          <w:tcPr>
            <w:tcW w:w="1377" w:type="dxa"/>
          </w:tcPr>
          <w:p w14:paraId="5B8C2581"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VBL1L</w:t>
            </w:r>
          </w:p>
        </w:tc>
        <w:tc>
          <w:tcPr>
            <w:tcW w:w="3557" w:type="dxa"/>
          </w:tcPr>
          <w:p w14:paraId="2A87AE64"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„Vilniaus Baldai“</w:t>
            </w:r>
          </w:p>
        </w:tc>
      </w:tr>
      <w:tr w:rsidR="00D00859" w:rsidRPr="004B6D67" w14:paraId="2DF400FA" w14:textId="77777777" w:rsidTr="0085738D">
        <w:trPr>
          <w:jc w:val="center"/>
        </w:trPr>
        <w:tc>
          <w:tcPr>
            <w:tcW w:w="1377" w:type="dxa"/>
          </w:tcPr>
          <w:p w14:paraId="746DE7C5"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VDG1L</w:t>
            </w:r>
          </w:p>
        </w:tc>
        <w:tc>
          <w:tcPr>
            <w:tcW w:w="3557" w:type="dxa"/>
          </w:tcPr>
          <w:p w14:paraId="376161DC"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„Vilniaus degtinė“</w:t>
            </w:r>
          </w:p>
        </w:tc>
      </w:tr>
      <w:tr w:rsidR="00D00859" w:rsidRPr="004B6D67" w14:paraId="57593819" w14:textId="77777777" w:rsidTr="0085738D">
        <w:trPr>
          <w:jc w:val="center"/>
        </w:trPr>
        <w:tc>
          <w:tcPr>
            <w:tcW w:w="1377" w:type="dxa"/>
          </w:tcPr>
          <w:p w14:paraId="04D63850"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ZMP1L</w:t>
            </w:r>
          </w:p>
        </w:tc>
        <w:tc>
          <w:tcPr>
            <w:tcW w:w="3557" w:type="dxa"/>
          </w:tcPr>
          <w:p w14:paraId="293AFF19" w14:textId="77777777" w:rsidR="00D00859" w:rsidRPr="0085738D" w:rsidRDefault="00D00859" w:rsidP="00D00859">
            <w:pPr>
              <w:rPr>
                <w:rFonts w:ascii="Times New Roman" w:hAnsi="Times New Roman" w:cs="Times New Roman"/>
                <w:sz w:val="20"/>
                <w:szCs w:val="20"/>
              </w:rPr>
            </w:pPr>
            <w:r w:rsidRPr="0085738D">
              <w:rPr>
                <w:rFonts w:ascii="Times New Roman" w:hAnsi="Times New Roman" w:cs="Times New Roman"/>
                <w:sz w:val="20"/>
                <w:szCs w:val="20"/>
              </w:rPr>
              <w:t>AB „Žemaitijos pienas“</w:t>
            </w:r>
          </w:p>
        </w:tc>
      </w:tr>
    </w:tbl>
    <w:p w14:paraId="14CA0501" w14:textId="77777777" w:rsidR="00764100" w:rsidRDefault="00764100" w:rsidP="00D00859">
      <w:pPr>
        <w:spacing w:after="0" w:line="360" w:lineRule="auto"/>
        <w:ind w:firstLine="567"/>
        <w:jc w:val="both"/>
        <w:rPr>
          <w:rFonts w:ascii="Times New Roman" w:hAnsi="Times New Roman" w:cs="Times New Roman"/>
          <w:sz w:val="24"/>
          <w:szCs w:val="24"/>
        </w:rPr>
      </w:pPr>
    </w:p>
    <w:p w14:paraId="252EBCC0" w14:textId="77777777" w:rsidR="0085738D" w:rsidRDefault="0085738D" w:rsidP="00D00859">
      <w:pPr>
        <w:spacing w:after="0" w:line="360" w:lineRule="auto"/>
        <w:ind w:firstLine="567"/>
        <w:jc w:val="both"/>
        <w:rPr>
          <w:rFonts w:ascii="Times New Roman" w:hAnsi="Times New Roman" w:cs="Times New Roman"/>
          <w:sz w:val="20"/>
          <w:szCs w:val="20"/>
          <w:lang w:eastAsia="lt-LT"/>
        </w:rPr>
      </w:pPr>
      <w:r w:rsidRPr="0085738D">
        <w:rPr>
          <w:rFonts w:ascii="Times New Roman" w:hAnsi="Times New Roman" w:cs="Times New Roman"/>
          <w:b/>
          <w:sz w:val="20"/>
          <w:szCs w:val="20"/>
        </w:rPr>
        <w:t>Šaltinis:</w:t>
      </w:r>
      <w:r>
        <w:rPr>
          <w:rFonts w:ascii="Times New Roman" w:hAnsi="Times New Roman" w:cs="Times New Roman"/>
          <w:b/>
          <w:sz w:val="20"/>
          <w:szCs w:val="20"/>
        </w:rPr>
        <w:t xml:space="preserve"> </w:t>
      </w:r>
      <w:r w:rsidRPr="0024004C">
        <w:rPr>
          <w:rFonts w:ascii="Times New Roman" w:hAnsi="Times New Roman" w:cs="Times New Roman"/>
          <w:sz w:val="20"/>
          <w:szCs w:val="20"/>
          <w:lang w:eastAsia="lt-LT"/>
        </w:rPr>
        <w:t>NASDAQ OMX Vilnius</w:t>
      </w:r>
    </w:p>
    <w:p w14:paraId="0D0BCCDF" w14:textId="77777777" w:rsidR="0085738D" w:rsidRDefault="0085738D" w:rsidP="00D00859">
      <w:pPr>
        <w:spacing w:after="0" w:line="360" w:lineRule="auto"/>
        <w:ind w:firstLine="567"/>
        <w:jc w:val="both"/>
        <w:rPr>
          <w:rFonts w:ascii="Times New Roman" w:hAnsi="Times New Roman" w:cs="Times New Roman"/>
          <w:sz w:val="20"/>
          <w:szCs w:val="20"/>
          <w:lang w:eastAsia="lt-LT"/>
        </w:rPr>
      </w:pPr>
    </w:p>
    <w:p w14:paraId="18BF468E" w14:textId="77777777" w:rsidR="0085738D" w:rsidRPr="0085738D" w:rsidRDefault="0085738D" w:rsidP="00D00859">
      <w:pPr>
        <w:spacing w:after="0" w:line="360" w:lineRule="auto"/>
        <w:ind w:firstLine="567"/>
        <w:jc w:val="both"/>
        <w:rPr>
          <w:rFonts w:ascii="Times New Roman" w:hAnsi="Times New Roman" w:cs="Times New Roman"/>
          <w:sz w:val="20"/>
          <w:szCs w:val="20"/>
        </w:rPr>
      </w:pPr>
    </w:p>
    <w:p w14:paraId="7D026A42" w14:textId="77777777" w:rsidR="004D5401" w:rsidRPr="009E1406" w:rsidRDefault="006C1D9D" w:rsidP="00447752">
      <w:pPr>
        <w:pStyle w:val="Heading2"/>
        <w:numPr>
          <w:ilvl w:val="1"/>
          <w:numId w:val="26"/>
        </w:numPr>
        <w:spacing w:before="0" w:beforeAutospacing="0" w:after="0" w:afterAutospacing="0"/>
        <w:ind w:left="426" w:hanging="426"/>
        <w:jc w:val="center"/>
        <w:rPr>
          <w:sz w:val="24"/>
          <w:szCs w:val="24"/>
        </w:rPr>
      </w:pPr>
      <w:bookmarkStart w:id="68" w:name="_Toc353730661"/>
      <w:r w:rsidRPr="009E1406">
        <w:rPr>
          <w:sz w:val="24"/>
          <w:szCs w:val="24"/>
        </w:rPr>
        <w:lastRenderedPageBreak/>
        <w:t>L</w:t>
      </w:r>
      <w:r w:rsidR="004D5401" w:rsidRPr="009E1406">
        <w:rPr>
          <w:sz w:val="24"/>
          <w:szCs w:val="24"/>
        </w:rPr>
        <w:t xml:space="preserve">ikvidumo dinamika </w:t>
      </w:r>
      <w:r w:rsidRPr="009E1406">
        <w:rPr>
          <w:sz w:val="24"/>
          <w:szCs w:val="24"/>
        </w:rPr>
        <w:t>ir perspektyvos</w:t>
      </w:r>
      <w:bookmarkEnd w:id="68"/>
    </w:p>
    <w:p w14:paraId="60B35A6A" w14:textId="77777777" w:rsidR="00764100" w:rsidRDefault="00764100" w:rsidP="008A4FC8">
      <w:pPr>
        <w:spacing w:after="0" w:line="360" w:lineRule="auto"/>
        <w:ind w:firstLine="567"/>
        <w:jc w:val="both"/>
        <w:rPr>
          <w:rFonts w:ascii="Times New Roman" w:hAnsi="Times New Roman" w:cs="Times New Roman"/>
          <w:sz w:val="24"/>
          <w:szCs w:val="24"/>
        </w:rPr>
      </w:pPr>
    </w:p>
    <w:p w14:paraId="5BA078D6" w14:textId="77777777" w:rsidR="006C1D9D" w:rsidRDefault="006C1D9D" w:rsidP="008A4FC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Įmonės likvidumo vertinimas susideda iš duomenų lyginimo, grupavimo, analizavimo, grafinių ir apibendrinimo metodų. </w:t>
      </w:r>
      <w:r w:rsidR="00D00859">
        <w:rPr>
          <w:rFonts w:ascii="Times New Roman" w:hAnsi="Times New Roman" w:cs="Times New Roman"/>
          <w:sz w:val="24"/>
          <w:szCs w:val="24"/>
        </w:rPr>
        <w:t xml:space="preserve">Šiame darbe biržoje kotiruojamų įmonių likvidumo dinamika </w:t>
      </w:r>
      <w:r>
        <w:rPr>
          <w:rFonts w:ascii="Times New Roman" w:hAnsi="Times New Roman" w:cs="Times New Roman"/>
          <w:sz w:val="24"/>
          <w:szCs w:val="24"/>
        </w:rPr>
        <w:t>analizuojama</w:t>
      </w:r>
      <w:r w:rsidR="00D00859">
        <w:rPr>
          <w:rFonts w:ascii="Times New Roman" w:hAnsi="Times New Roman" w:cs="Times New Roman"/>
          <w:sz w:val="24"/>
          <w:szCs w:val="24"/>
        </w:rPr>
        <w:t xml:space="preserve"> naudojant bendrojo, greitojo ir kritinio likvidumo koeficientus. Taip pat analizuojamas trumpalaikių įsipareigojimų apmokėjimo pinigais koeficientas. Tiriamas laikotarpis yra penke</w:t>
      </w:r>
      <w:r>
        <w:rPr>
          <w:rFonts w:ascii="Times New Roman" w:hAnsi="Times New Roman" w:cs="Times New Roman"/>
          <w:sz w:val="24"/>
          <w:szCs w:val="24"/>
        </w:rPr>
        <w:t>ri metai, nuo 2008 iki 2012 m. S</w:t>
      </w:r>
      <w:r w:rsidR="00D00859">
        <w:rPr>
          <w:rFonts w:ascii="Times New Roman" w:hAnsi="Times New Roman" w:cs="Times New Roman"/>
          <w:sz w:val="24"/>
          <w:szCs w:val="24"/>
        </w:rPr>
        <w:t xml:space="preserve">kaičiuojant rodiklius remiamasi audituota </w:t>
      </w:r>
      <w:r w:rsidR="00464CDA">
        <w:rPr>
          <w:rFonts w:ascii="Times New Roman" w:hAnsi="Times New Roman" w:cs="Times New Roman"/>
          <w:sz w:val="24"/>
          <w:szCs w:val="24"/>
        </w:rPr>
        <w:t xml:space="preserve">metine </w:t>
      </w:r>
      <w:r w:rsidR="00D00859">
        <w:rPr>
          <w:rFonts w:ascii="Times New Roman" w:hAnsi="Times New Roman" w:cs="Times New Roman"/>
          <w:sz w:val="24"/>
          <w:szCs w:val="24"/>
        </w:rPr>
        <w:t>finansine atskaitomybe</w:t>
      </w:r>
      <w:r>
        <w:rPr>
          <w:rFonts w:ascii="Times New Roman" w:hAnsi="Times New Roman" w:cs="Times New Roman"/>
          <w:sz w:val="24"/>
          <w:szCs w:val="24"/>
        </w:rPr>
        <w:t>: balan</w:t>
      </w:r>
      <w:r w:rsidR="00534B73">
        <w:rPr>
          <w:rFonts w:ascii="Times New Roman" w:hAnsi="Times New Roman" w:cs="Times New Roman"/>
          <w:sz w:val="24"/>
          <w:szCs w:val="24"/>
        </w:rPr>
        <w:t>sais, pelno (nuostolio) atas</w:t>
      </w:r>
      <w:r>
        <w:rPr>
          <w:rFonts w:ascii="Times New Roman" w:hAnsi="Times New Roman" w:cs="Times New Roman"/>
          <w:sz w:val="24"/>
          <w:szCs w:val="24"/>
        </w:rPr>
        <w:t>kaitomis, pinigų srautų ataskaitomis, nuosavo kapitalo pokyčių ataskaitomis, aiškinamaisiais raštais</w:t>
      </w:r>
      <w:r w:rsidR="008C0C39">
        <w:rPr>
          <w:rFonts w:ascii="Times New Roman" w:hAnsi="Times New Roman" w:cs="Times New Roman"/>
          <w:sz w:val="24"/>
          <w:szCs w:val="24"/>
        </w:rPr>
        <w:t>. Visa ši informacija</w:t>
      </w:r>
      <w:r w:rsidR="00464CDA">
        <w:rPr>
          <w:rFonts w:ascii="Times New Roman" w:hAnsi="Times New Roman" w:cs="Times New Roman"/>
          <w:sz w:val="24"/>
          <w:szCs w:val="24"/>
        </w:rPr>
        <w:t xml:space="preserve"> </w:t>
      </w:r>
      <w:r w:rsidR="008C0C39">
        <w:rPr>
          <w:rFonts w:ascii="Times New Roman" w:hAnsi="Times New Roman" w:cs="Times New Roman"/>
          <w:sz w:val="24"/>
          <w:szCs w:val="24"/>
        </w:rPr>
        <w:t>pateikta</w:t>
      </w:r>
      <w:r w:rsidR="00464CDA">
        <w:rPr>
          <w:rFonts w:ascii="Times New Roman" w:hAnsi="Times New Roman" w:cs="Times New Roman"/>
          <w:sz w:val="24"/>
          <w:szCs w:val="24"/>
        </w:rPr>
        <w:t xml:space="preserve"> oficialiame NASDAQ OMX Vilnius interneto tinklalapyje</w:t>
      </w:r>
      <w:r w:rsidR="00D00859">
        <w:rPr>
          <w:rFonts w:ascii="Times New Roman" w:hAnsi="Times New Roman" w:cs="Times New Roman"/>
          <w:sz w:val="24"/>
          <w:szCs w:val="24"/>
        </w:rPr>
        <w:t>.</w:t>
      </w:r>
      <w:r>
        <w:rPr>
          <w:rFonts w:ascii="Times New Roman" w:hAnsi="Times New Roman" w:cs="Times New Roman"/>
          <w:sz w:val="24"/>
          <w:szCs w:val="24"/>
        </w:rPr>
        <w:t xml:space="preserve"> </w:t>
      </w:r>
      <w:r w:rsidR="00C17639">
        <w:rPr>
          <w:rFonts w:ascii="Times New Roman" w:hAnsi="Times New Roman" w:cs="Times New Roman"/>
          <w:sz w:val="24"/>
          <w:szCs w:val="24"/>
        </w:rPr>
        <w:t>Apyvartinio kapitalo reikšmių lentelė pateikta</w:t>
      </w:r>
      <w:r>
        <w:rPr>
          <w:rFonts w:ascii="Times New Roman" w:hAnsi="Times New Roman" w:cs="Times New Roman"/>
          <w:sz w:val="24"/>
          <w:szCs w:val="24"/>
        </w:rPr>
        <w:t xml:space="preserve"> 1 priede.</w:t>
      </w:r>
      <w:r w:rsidR="008C0C39">
        <w:rPr>
          <w:rFonts w:ascii="Times New Roman" w:hAnsi="Times New Roman" w:cs="Times New Roman"/>
          <w:sz w:val="24"/>
          <w:szCs w:val="24"/>
        </w:rPr>
        <w:t xml:space="preserve"> </w:t>
      </w:r>
      <w:r w:rsidRPr="008C0C39">
        <w:rPr>
          <w:rFonts w:ascii="Times New Roman" w:hAnsi="Times New Roman" w:cs="Times New Roman"/>
          <w:sz w:val="24"/>
          <w:szCs w:val="24"/>
        </w:rPr>
        <w:t>Statistinių duomenų apdorojimui bei analizei naudojamas statistinių duomenų analizės paketas MS Excel.</w:t>
      </w:r>
    </w:p>
    <w:p w14:paraId="36488BE6" w14:textId="77777777" w:rsidR="00534B73" w:rsidRPr="00534B73" w:rsidRDefault="00534B73" w:rsidP="00534B73">
      <w:pPr>
        <w:spacing w:after="0" w:line="360" w:lineRule="auto"/>
        <w:ind w:firstLine="567"/>
        <w:jc w:val="both"/>
        <w:rPr>
          <w:rFonts w:ascii="Times New Roman" w:hAnsi="Times New Roman" w:cs="Times New Roman"/>
          <w:sz w:val="24"/>
          <w:szCs w:val="24"/>
        </w:rPr>
      </w:pPr>
      <w:r w:rsidRPr="00534B73">
        <w:rPr>
          <w:rFonts w:ascii="Times New Roman" w:hAnsi="Times New Roman" w:cs="Times New Roman"/>
          <w:sz w:val="24"/>
          <w:szCs w:val="24"/>
        </w:rPr>
        <w:t>Atsižvelgiant į ekonomikos pagyvėjimą, lyginant su kriziniu laikotarpiu, autorius iškelia hipotezę H</w:t>
      </w:r>
      <w:r w:rsidRPr="00534B73">
        <w:rPr>
          <w:rFonts w:ascii="Times New Roman" w:hAnsi="Times New Roman" w:cs="Times New Roman"/>
          <w:sz w:val="24"/>
          <w:szCs w:val="24"/>
          <w:vertAlign w:val="subscript"/>
        </w:rPr>
        <w:t>1</w:t>
      </w:r>
      <w:r w:rsidRPr="00534B73">
        <w:rPr>
          <w:rFonts w:ascii="Times New Roman" w:hAnsi="Times New Roman" w:cs="Times New Roman"/>
          <w:sz w:val="24"/>
          <w:szCs w:val="24"/>
        </w:rPr>
        <w:t xml:space="preserve">: Biržoje kotiruojamų Lietuvos įmonių likvidumas </w:t>
      </w:r>
      <w:r w:rsidR="006E0185">
        <w:rPr>
          <w:rFonts w:ascii="Times New Roman" w:hAnsi="Times New Roman" w:cs="Times New Roman"/>
          <w:sz w:val="24"/>
          <w:szCs w:val="24"/>
        </w:rPr>
        <w:t>2008-2012 m. gerėjo</w:t>
      </w:r>
      <w:r w:rsidRPr="00534B73">
        <w:rPr>
          <w:rFonts w:ascii="Times New Roman" w:hAnsi="Times New Roman" w:cs="Times New Roman"/>
          <w:sz w:val="24"/>
          <w:szCs w:val="24"/>
        </w:rPr>
        <w:t>.</w:t>
      </w:r>
    </w:p>
    <w:p w14:paraId="182BCE73" w14:textId="77777777" w:rsidR="008C0C39" w:rsidRDefault="008C0C39" w:rsidP="008A4FC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Pažymėtina, jog darbe neanalizuojamas ir nevertinamas bankų likvidumas, </w:t>
      </w:r>
      <w:r w:rsidR="00E52404">
        <w:rPr>
          <w:rFonts w:ascii="Times New Roman" w:hAnsi="Times New Roman" w:cs="Times New Roman"/>
          <w:sz w:val="24"/>
          <w:szCs w:val="24"/>
        </w:rPr>
        <w:t>t. y.,</w:t>
      </w:r>
      <w:r>
        <w:rPr>
          <w:rFonts w:ascii="Times New Roman" w:hAnsi="Times New Roman" w:cs="Times New Roman"/>
          <w:sz w:val="24"/>
          <w:szCs w:val="24"/>
        </w:rPr>
        <w:t xml:space="preserve"> nevertinama AB „Šiaulių bankas“ likvidumo dinamika bei perspektyvos, taip pat AB „Ūkio bankas“, kurio veikla sustabdyta. Šių juridinių asmenų tyrimas neatliekamas, kadangi skiriasi vertinimo metodika. </w:t>
      </w:r>
    </w:p>
    <w:p w14:paraId="639BC7B9" w14:textId="77777777" w:rsidR="00D00859" w:rsidRPr="00621937" w:rsidRDefault="00D00859" w:rsidP="008A4FC8">
      <w:pPr>
        <w:spacing w:after="0" w:line="360" w:lineRule="auto"/>
        <w:ind w:firstLine="567"/>
        <w:jc w:val="both"/>
        <w:rPr>
          <w:rFonts w:ascii="Times New Roman" w:hAnsi="Times New Roman" w:cs="Times New Roman"/>
          <w:sz w:val="24"/>
          <w:szCs w:val="24"/>
        </w:rPr>
      </w:pPr>
    </w:p>
    <w:p w14:paraId="6A49FC04" w14:textId="77777777" w:rsidR="00D00859" w:rsidRDefault="00D00859" w:rsidP="008A4FC8">
      <w:pPr>
        <w:spacing w:after="0" w:line="360" w:lineRule="auto"/>
        <w:rPr>
          <w:rFonts w:ascii="Times New Roman" w:hAnsi="Times New Roman" w:cs="Times New Roman"/>
          <w:b/>
          <w:sz w:val="24"/>
          <w:szCs w:val="24"/>
        </w:rPr>
      </w:pPr>
      <w:r>
        <w:rPr>
          <w:rFonts w:ascii="Times New Roman" w:hAnsi="Times New Roman" w:cs="Times New Roman"/>
          <w:b/>
          <w:sz w:val="24"/>
          <w:szCs w:val="24"/>
        </w:rPr>
        <w:t>AB „Agrowill Group“</w:t>
      </w:r>
    </w:p>
    <w:p w14:paraId="3356104D" w14:textId="77777777" w:rsidR="00D00859" w:rsidRDefault="00D00859"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Kaip matyti iš </w:t>
      </w:r>
      <w:r w:rsidR="009E38AB">
        <w:rPr>
          <w:rFonts w:ascii="Times New Roman" w:hAnsi="Times New Roman" w:cs="Times New Roman"/>
          <w:sz w:val="24"/>
          <w:szCs w:val="24"/>
        </w:rPr>
        <w:t>5</w:t>
      </w:r>
      <w:r>
        <w:rPr>
          <w:rFonts w:ascii="Times New Roman" w:hAnsi="Times New Roman" w:cs="Times New Roman"/>
          <w:sz w:val="24"/>
          <w:szCs w:val="24"/>
        </w:rPr>
        <w:t xml:space="preserve"> paveikslo, bendrojo ir greitojo likvidumo rodikliai kito lygiagrečiai. Abiejų koeficientų reikšmės nuo 2008 iki 2009 metų sumažėjo beveik dvigubai – bendrasis likvidumas 2,06, o greitasis likvidumas 1,92 karto. Nuo 2009 iki 2012 metų pastebimas stabilus ir nuoseklus šių rodiklių augimas. Tuo tarpu kritinis likvidumas visą nagrinėjamą laikotarpį išliko stabilus ir svyravo vos 2 punktais nuo 0,01 iki 0,03. </w:t>
      </w:r>
    </w:p>
    <w:p w14:paraId="07BC3491" w14:textId="77777777" w:rsidR="009E38AB" w:rsidRPr="00652DB2" w:rsidRDefault="009E38AB" w:rsidP="007C32DB">
      <w:pPr>
        <w:tabs>
          <w:tab w:val="left" w:pos="4337"/>
        </w:tabs>
        <w:spacing w:after="0" w:line="360" w:lineRule="auto"/>
        <w:ind w:firstLine="567"/>
        <w:jc w:val="both"/>
        <w:rPr>
          <w:rFonts w:ascii="Times New Roman" w:hAnsi="Times New Roman" w:cs="Times New Roman"/>
          <w:sz w:val="24"/>
          <w:szCs w:val="24"/>
        </w:rPr>
      </w:pPr>
    </w:p>
    <w:p w14:paraId="5A3942F1" w14:textId="77777777" w:rsidR="00D00859" w:rsidRDefault="00D00859" w:rsidP="007C32DB">
      <w:pPr>
        <w:spacing w:after="0" w:line="360" w:lineRule="auto"/>
        <w:ind w:firstLine="567"/>
        <w:jc w:val="center"/>
        <w:rPr>
          <w:rFonts w:ascii="Times New Roman" w:hAnsi="Times New Roman" w:cs="Times New Roman"/>
          <w:sz w:val="24"/>
          <w:szCs w:val="24"/>
        </w:rPr>
      </w:pPr>
      <w:r w:rsidRPr="00ED742C">
        <w:rPr>
          <w:rFonts w:ascii="Times New Roman" w:hAnsi="Times New Roman" w:cs="Times New Roman"/>
          <w:noProof/>
          <w:sz w:val="24"/>
          <w:szCs w:val="24"/>
          <w:lang w:val="en-US"/>
        </w:rPr>
        <w:drawing>
          <wp:inline distT="0" distB="0" distL="0" distR="0" wp14:anchorId="441FDE51" wp14:editId="15A09927">
            <wp:extent cx="4859079" cy="1903228"/>
            <wp:effectExtent l="0" t="0" r="0" b="190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1C9EE17" w14:textId="77777777" w:rsidR="009E38AB" w:rsidRPr="007F2B73" w:rsidRDefault="009E38AB" w:rsidP="007F2B73">
      <w:pPr>
        <w:pStyle w:val="Caption"/>
        <w:rPr>
          <w:szCs w:val="24"/>
        </w:rPr>
      </w:pPr>
      <w:bookmarkStart w:id="69" w:name="_Toc227593861"/>
      <w:bookmarkStart w:id="70" w:name="_Toc227594502"/>
      <w:r w:rsidRPr="007F2B73">
        <w:rPr>
          <w:szCs w:val="24"/>
        </w:rPr>
        <w:t>5 pav. AB „Agrowill Group“ likvidumo rodiklių dinamika 2008-2012 m.</w:t>
      </w:r>
      <w:bookmarkEnd w:id="69"/>
      <w:bookmarkEnd w:id="70"/>
    </w:p>
    <w:p w14:paraId="1ABFE0B1" w14:textId="77777777" w:rsidR="0004087B" w:rsidRDefault="0004087B" w:rsidP="007C32DB">
      <w:pPr>
        <w:tabs>
          <w:tab w:val="left" w:pos="4337"/>
        </w:tabs>
        <w:spacing w:after="0" w:line="360" w:lineRule="auto"/>
        <w:ind w:firstLine="567"/>
        <w:jc w:val="both"/>
        <w:rPr>
          <w:rFonts w:ascii="Times New Roman" w:hAnsi="Times New Roman" w:cs="Times New Roman"/>
          <w:sz w:val="24"/>
          <w:szCs w:val="24"/>
        </w:rPr>
      </w:pPr>
    </w:p>
    <w:p w14:paraId="4E1BB533" w14:textId="77777777" w:rsidR="00D00859" w:rsidRDefault="00D00859"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Įdomu tai, jog trumpalaikių įsipareigojimų koeficientas, kuris paprastai lyginamas su bendrojo likvidumo koeficientu kito priešingai. 2008-2009 metų rodiklio reikšmė išaugo nuo -0,2 iki 0,1, o </w:t>
      </w:r>
      <w:r>
        <w:rPr>
          <w:rFonts w:ascii="Times New Roman" w:hAnsi="Times New Roman" w:cs="Times New Roman"/>
          <w:sz w:val="24"/>
          <w:szCs w:val="24"/>
        </w:rPr>
        <w:lastRenderedPageBreak/>
        <w:t xml:space="preserve">sekančiais 2009-2011 metais turėjo tendenciją mažėti. Tačiau 2012 m. rodiklio reikšmė ženkliai padidėjo, kas byloja apie gerėjančią finansinę būklę. Atkreiptinas dėmesys, nors rodiklių reikšmės žemos, tačiau visi likvidumo dinamikai tirti nagrinėjami rodikliai didžiausias reikšmes įgijo 2012 m., kas rodo teigiamą įmonės poslinkį likvidumo valdyme. Tačiau dėl sąlyginai nedidelio šių rodiklių augimo vis dar egzistuoja didelė rizika dėl įmonės veiklos tęstinumo. </w:t>
      </w:r>
    </w:p>
    <w:p w14:paraId="180349A2"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p>
    <w:p w14:paraId="512C991A" w14:textId="77777777" w:rsidR="00D00859" w:rsidRDefault="00D00859" w:rsidP="00D00859">
      <w:pPr>
        <w:tabs>
          <w:tab w:val="left" w:pos="4337"/>
        </w:tabs>
        <w:spacing w:after="0" w:line="360" w:lineRule="auto"/>
        <w:jc w:val="both"/>
        <w:rPr>
          <w:rFonts w:ascii="Times New Roman" w:hAnsi="Times New Roman" w:cs="Times New Roman"/>
          <w:b/>
          <w:sz w:val="24"/>
          <w:szCs w:val="24"/>
        </w:rPr>
      </w:pPr>
      <w:r w:rsidRPr="00EB3F59">
        <w:rPr>
          <w:rFonts w:ascii="Times New Roman" w:hAnsi="Times New Roman" w:cs="Times New Roman"/>
          <w:b/>
          <w:sz w:val="24"/>
          <w:szCs w:val="24"/>
        </w:rPr>
        <w:t>AB „Anykščių vynas“</w:t>
      </w:r>
    </w:p>
    <w:p w14:paraId="36FA5EB3" w14:textId="77777777" w:rsidR="00D00859" w:rsidRDefault="00D00859"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AB „Anykščių vynas“ likvidumo rodiklių dinamika atsispindi </w:t>
      </w:r>
      <w:r w:rsidR="00846558">
        <w:rPr>
          <w:rFonts w:ascii="Times New Roman" w:hAnsi="Times New Roman" w:cs="Times New Roman"/>
          <w:sz w:val="24"/>
          <w:szCs w:val="24"/>
        </w:rPr>
        <w:t>6</w:t>
      </w:r>
      <w:r>
        <w:rPr>
          <w:rFonts w:ascii="Times New Roman" w:hAnsi="Times New Roman" w:cs="Times New Roman"/>
          <w:sz w:val="24"/>
          <w:szCs w:val="24"/>
        </w:rPr>
        <w:t xml:space="preserve"> paveiksle. Nagrinėjamu laikotarpiu bendrojo likvidumo koeficientas kasmet ženkliai mažėjo ir nuo 2008 iki 2012 m. nukrito 3,89 karto.</w:t>
      </w:r>
    </w:p>
    <w:p w14:paraId="3E0FD437" w14:textId="77777777" w:rsidR="00846558" w:rsidRPr="00EB3F59" w:rsidRDefault="00846558" w:rsidP="007C32DB">
      <w:pPr>
        <w:tabs>
          <w:tab w:val="left" w:pos="4337"/>
        </w:tabs>
        <w:spacing w:after="0" w:line="360" w:lineRule="auto"/>
        <w:ind w:firstLine="567"/>
        <w:jc w:val="both"/>
        <w:rPr>
          <w:rFonts w:ascii="Times New Roman" w:hAnsi="Times New Roman" w:cs="Times New Roman"/>
          <w:b/>
          <w:sz w:val="24"/>
          <w:szCs w:val="24"/>
        </w:rPr>
      </w:pPr>
    </w:p>
    <w:p w14:paraId="004D1DFF" w14:textId="77777777" w:rsidR="00D00859" w:rsidRDefault="00D00859" w:rsidP="007C32DB">
      <w:pPr>
        <w:tabs>
          <w:tab w:val="left" w:pos="4337"/>
        </w:tabs>
        <w:spacing w:after="0" w:line="360" w:lineRule="auto"/>
        <w:jc w:val="center"/>
        <w:rPr>
          <w:rFonts w:ascii="Times New Roman" w:hAnsi="Times New Roman" w:cs="Times New Roman"/>
          <w:sz w:val="24"/>
          <w:szCs w:val="24"/>
        </w:rPr>
      </w:pPr>
      <w:r w:rsidRPr="00E33D28">
        <w:rPr>
          <w:rFonts w:ascii="Times New Roman" w:hAnsi="Times New Roman" w:cs="Times New Roman"/>
          <w:noProof/>
          <w:sz w:val="24"/>
          <w:szCs w:val="24"/>
          <w:lang w:val="en-US"/>
        </w:rPr>
        <w:drawing>
          <wp:inline distT="0" distB="0" distL="0" distR="0" wp14:anchorId="4D202AD5" wp14:editId="66181A06">
            <wp:extent cx="4860000" cy="1980000"/>
            <wp:effectExtent l="0" t="0" r="0" b="127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9847536" w14:textId="77777777" w:rsidR="00846558" w:rsidRPr="007F2B73" w:rsidRDefault="00846558" w:rsidP="007F2B73">
      <w:pPr>
        <w:pStyle w:val="Caption"/>
        <w:rPr>
          <w:szCs w:val="24"/>
        </w:rPr>
      </w:pPr>
      <w:bookmarkStart w:id="71" w:name="_Toc227593862"/>
      <w:bookmarkStart w:id="72" w:name="_Toc227594503"/>
      <w:r w:rsidRPr="007F2B73">
        <w:rPr>
          <w:szCs w:val="24"/>
        </w:rPr>
        <w:t>6 pav. AB „Anykščių vynas“ likvidumo rodiklių dinamika 2008-2012 m.</w:t>
      </w:r>
      <w:bookmarkEnd w:id="71"/>
      <w:bookmarkEnd w:id="72"/>
    </w:p>
    <w:p w14:paraId="59916D96" w14:textId="77777777" w:rsidR="00846558" w:rsidRDefault="00846558" w:rsidP="007C32DB">
      <w:pPr>
        <w:tabs>
          <w:tab w:val="left" w:pos="4337"/>
        </w:tabs>
        <w:spacing w:after="0" w:line="360" w:lineRule="auto"/>
        <w:jc w:val="center"/>
        <w:rPr>
          <w:rFonts w:ascii="Times New Roman" w:hAnsi="Times New Roman" w:cs="Times New Roman"/>
          <w:b/>
          <w:sz w:val="24"/>
          <w:szCs w:val="24"/>
        </w:rPr>
      </w:pPr>
    </w:p>
    <w:p w14:paraId="3B25FAF8" w14:textId="77777777" w:rsidR="00D00859" w:rsidRDefault="00D00859"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Panašiai kito ir greitojo likvidumo koeficientas, kurio padidėjimas buvo tik 2009 m., kuomet reikšmė išaugo 0,23. Kritinio likvidumo koeficientas nagrinėjamu laikotarpiu praktiškai nekito ir svyravo nuo 0 iki 0,02.</w:t>
      </w:r>
    </w:p>
    <w:p w14:paraId="3B19D004"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Kiek kitokią įmonės likvidumo situaciją rodė trumpalaikių įsipareigojimų apmokėjimo pinigais koeficientas, kuris tendencingai augo</w:t>
      </w:r>
      <w:r w:rsidR="00846558">
        <w:rPr>
          <w:rFonts w:ascii="Times New Roman" w:hAnsi="Times New Roman" w:cs="Times New Roman"/>
          <w:sz w:val="24"/>
          <w:szCs w:val="24"/>
        </w:rPr>
        <w:t>,</w:t>
      </w:r>
      <w:r>
        <w:rPr>
          <w:rFonts w:ascii="Times New Roman" w:hAnsi="Times New Roman" w:cs="Times New Roman"/>
          <w:sz w:val="24"/>
          <w:szCs w:val="24"/>
        </w:rPr>
        <w:t xml:space="preserve"> neskaitant 2011 m. Ypatingai ženklūs šio rodiklio pokyčiai įvyko 2009-2011 m.. Pastebėtina, jog 2010 m. stipriai išaugęs rodiklis, 2011 m. sumažėjo beveik tokia pačia reikšme. Bendrai, įmonės likvidumo rodikliai yra žemi ir nagrinėjamu laikotarpiu tendencingai mažėjo, kas įtakoja išaugusią riziką dėl įmonės veiklos tęstinumo.</w:t>
      </w:r>
    </w:p>
    <w:p w14:paraId="684DEDB6"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p>
    <w:p w14:paraId="10A54B2B" w14:textId="77777777" w:rsidR="00D00859" w:rsidRDefault="00D00859" w:rsidP="00D00859">
      <w:pPr>
        <w:tabs>
          <w:tab w:val="left" w:pos="4337"/>
        </w:tabs>
        <w:spacing w:after="0" w:line="360" w:lineRule="auto"/>
        <w:jc w:val="both"/>
        <w:rPr>
          <w:rFonts w:ascii="Times New Roman" w:hAnsi="Times New Roman" w:cs="Times New Roman"/>
          <w:b/>
          <w:sz w:val="24"/>
          <w:szCs w:val="24"/>
        </w:rPr>
      </w:pPr>
      <w:r w:rsidRPr="000A2B48">
        <w:rPr>
          <w:rFonts w:ascii="Times New Roman" w:hAnsi="Times New Roman" w:cs="Times New Roman"/>
          <w:b/>
          <w:sz w:val="24"/>
          <w:szCs w:val="24"/>
        </w:rPr>
        <w:t>APB „Apranga“</w:t>
      </w:r>
    </w:p>
    <w:p w14:paraId="30416140" w14:textId="77777777" w:rsidR="00D00859" w:rsidRDefault="00846558"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00859">
        <w:rPr>
          <w:rFonts w:ascii="Times New Roman" w:hAnsi="Times New Roman" w:cs="Times New Roman"/>
          <w:sz w:val="24"/>
          <w:szCs w:val="24"/>
        </w:rPr>
        <w:t xml:space="preserve"> paveikslas atspindi APB „Apranga“ likvidumo rodiklių dinamiką. Atkreiptinas dėmesys, kad vienintelis greitojo likvidumo rodiklis visą analizuojamą laikotarpį augo. Didžiausias šio rodiklio pokytis buvo 2010-2011 m.</w:t>
      </w:r>
      <w:r>
        <w:rPr>
          <w:rFonts w:ascii="Times New Roman" w:hAnsi="Times New Roman" w:cs="Times New Roman"/>
          <w:sz w:val="24"/>
          <w:szCs w:val="24"/>
        </w:rPr>
        <w:t>,</w:t>
      </w:r>
      <w:r w:rsidR="00D00859">
        <w:rPr>
          <w:rFonts w:ascii="Times New Roman" w:hAnsi="Times New Roman" w:cs="Times New Roman"/>
          <w:sz w:val="24"/>
          <w:szCs w:val="24"/>
        </w:rPr>
        <w:t xml:space="preserve"> kuomet jo reikšmė padidėjo 0,4. Tiek bendrasis likvidumas, tiek kritinis likvidumas didėjo iki 2011 m., o 2012 m. šių koefici</w:t>
      </w:r>
      <w:r>
        <w:rPr>
          <w:rFonts w:ascii="Times New Roman" w:hAnsi="Times New Roman" w:cs="Times New Roman"/>
          <w:sz w:val="24"/>
          <w:szCs w:val="24"/>
        </w:rPr>
        <w:t>e</w:t>
      </w:r>
      <w:r w:rsidR="00D00859">
        <w:rPr>
          <w:rFonts w:ascii="Times New Roman" w:hAnsi="Times New Roman" w:cs="Times New Roman"/>
          <w:sz w:val="24"/>
          <w:szCs w:val="24"/>
        </w:rPr>
        <w:t>ntų reikšmės sumažėjo.</w:t>
      </w:r>
    </w:p>
    <w:p w14:paraId="573CA9AB" w14:textId="77777777" w:rsidR="00846558" w:rsidRPr="000A2B48" w:rsidRDefault="00846558" w:rsidP="007C32DB">
      <w:pPr>
        <w:tabs>
          <w:tab w:val="left" w:pos="4337"/>
        </w:tabs>
        <w:spacing w:after="0" w:line="360" w:lineRule="auto"/>
        <w:ind w:firstLine="567"/>
        <w:jc w:val="both"/>
        <w:rPr>
          <w:rFonts w:ascii="Times New Roman" w:hAnsi="Times New Roman" w:cs="Times New Roman"/>
          <w:b/>
          <w:sz w:val="24"/>
          <w:szCs w:val="24"/>
        </w:rPr>
      </w:pPr>
    </w:p>
    <w:p w14:paraId="4D45E1A8" w14:textId="77777777" w:rsidR="00D00859" w:rsidRDefault="00D00859" w:rsidP="007C32DB">
      <w:pPr>
        <w:tabs>
          <w:tab w:val="left" w:pos="4337"/>
        </w:tabs>
        <w:spacing w:after="0" w:line="360" w:lineRule="auto"/>
        <w:jc w:val="center"/>
        <w:rPr>
          <w:rFonts w:ascii="Times New Roman" w:hAnsi="Times New Roman" w:cs="Times New Roman"/>
          <w:sz w:val="24"/>
          <w:szCs w:val="24"/>
        </w:rPr>
      </w:pPr>
      <w:r w:rsidRPr="00E33D28">
        <w:rPr>
          <w:rFonts w:ascii="Times New Roman" w:hAnsi="Times New Roman" w:cs="Times New Roman"/>
          <w:noProof/>
          <w:sz w:val="24"/>
          <w:szCs w:val="24"/>
          <w:lang w:val="en-US"/>
        </w:rPr>
        <w:drawing>
          <wp:inline distT="0" distB="0" distL="0" distR="0" wp14:anchorId="45AB408E" wp14:editId="55D86266">
            <wp:extent cx="4860000" cy="1980000"/>
            <wp:effectExtent l="0" t="0" r="0" b="127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CEED063" w14:textId="77777777" w:rsidR="00846558" w:rsidRPr="007F2B73" w:rsidRDefault="00846558" w:rsidP="007F2B73">
      <w:pPr>
        <w:pStyle w:val="Caption"/>
        <w:rPr>
          <w:szCs w:val="24"/>
        </w:rPr>
      </w:pPr>
      <w:bookmarkStart w:id="73" w:name="_Toc227593863"/>
      <w:bookmarkStart w:id="74" w:name="_Toc227594504"/>
      <w:r w:rsidRPr="007F2B73">
        <w:rPr>
          <w:szCs w:val="24"/>
        </w:rPr>
        <w:t>7 pav. APB „Apranga“ likvidumo rodiklių dinamika 2008-2012 m.</w:t>
      </w:r>
      <w:bookmarkEnd w:id="73"/>
      <w:bookmarkEnd w:id="74"/>
    </w:p>
    <w:p w14:paraId="40BD1E16" w14:textId="77777777" w:rsidR="00846558" w:rsidRDefault="00846558" w:rsidP="007C32DB">
      <w:pPr>
        <w:tabs>
          <w:tab w:val="left" w:pos="4337"/>
        </w:tabs>
        <w:spacing w:after="0" w:line="360" w:lineRule="auto"/>
        <w:jc w:val="center"/>
        <w:rPr>
          <w:rFonts w:ascii="Times New Roman" w:hAnsi="Times New Roman" w:cs="Times New Roman"/>
          <w:sz w:val="24"/>
          <w:szCs w:val="24"/>
        </w:rPr>
      </w:pPr>
    </w:p>
    <w:p w14:paraId="32380DB5" w14:textId="77777777" w:rsidR="00D00859" w:rsidRDefault="00D00859"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Trumpalaikių įsipareigojimų apmokėjimo pinigais koeficientas rodė kiek kitokius rezultatus – iki 2010 m. šis rodiklis augo, ypatingai pastebimas šuolis 2010 metais, tuo tarpu sekančiais laikotarpiais mažėjo. Vertinant bendrą likvidumo rodiklių dinamiką, galima teigti, jog įmonės likvidumas yra pakankamai aukštas ir artimiausios perspektyvos yra pozityvios.</w:t>
      </w:r>
    </w:p>
    <w:p w14:paraId="2B7298D2" w14:textId="77777777" w:rsidR="00D00859" w:rsidRDefault="00D00859" w:rsidP="00D00859">
      <w:pPr>
        <w:tabs>
          <w:tab w:val="left" w:pos="433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5D6F60" w14:textId="77777777" w:rsidR="00D00859" w:rsidRPr="00823BA2" w:rsidRDefault="00D00859" w:rsidP="00D00859">
      <w:pPr>
        <w:tabs>
          <w:tab w:val="left" w:pos="4337"/>
        </w:tabs>
        <w:spacing w:after="0" w:line="360" w:lineRule="auto"/>
        <w:jc w:val="both"/>
        <w:rPr>
          <w:rFonts w:ascii="Times New Roman" w:hAnsi="Times New Roman" w:cs="Times New Roman"/>
          <w:sz w:val="24"/>
          <w:szCs w:val="24"/>
        </w:rPr>
      </w:pPr>
      <w:r w:rsidRPr="008F5B34">
        <w:rPr>
          <w:rFonts w:ascii="Times New Roman" w:hAnsi="Times New Roman" w:cs="Times New Roman"/>
          <w:b/>
          <w:sz w:val="24"/>
          <w:szCs w:val="24"/>
        </w:rPr>
        <w:t>AB „City service“</w:t>
      </w:r>
    </w:p>
    <w:p w14:paraId="2986B3D5" w14:textId="77777777" w:rsidR="00D00859" w:rsidRDefault="00D00859" w:rsidP="007C32DB">
      <w:pPr>
        <w:tabs>
          <w:tab w:val="left" w:pos="1942"/>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Įmonės bendrojo likvidumo ir greitojo likvidumo koeficientų reikšmės nagrinėjamu laikotarpiu identiškos (</w:t>
      </w:r>
      <w:r w:rsidR="00FD03B1">
        <w:rPr>
          <w:rFonts w:ascii="Times New Roman" w:hAnsi="Times New Roman" w:cs="Times New Roman"/>
          <w:sz w:val="24"/>
          <w:szCs w:val="24"/>
        </w:rPr>
        <w:t>žr. 8</w:t>
      </w:r>
      <w:r>
        <w:rPr>
          <w:rFonts w:ascii="Times New Roman" w:hAnsi="Times New Roman" w:cs="Times New Roman"/>
          <w:sz w:val="24"/>
          <w:szCs w:val="24"/>
        </w:rPr>
        <w:t xml:space="preserve"> pav.). Šių rodiklių tendencingo didėjimo ar mažėjimo nebuvo. Jei vienais metais rodiklis išaugdavo, tai sekančiais metais jo reikšmės sumažėjimas buvo didesnis nei ankstesnių metų augimas. Pavyzdžiui, 2009 m. bendrojo likvidumo koeficientas išaugo 0,17, tuo tarpu jau 2010 m. šis rodiklis sumažėjo 0,31, 2011 m. vėl padidėjo 0,24, o jau 2012 m. nukrito 0,62. Tai rodo nestabilią įmonės likvidumo padėtį</w:t>
      </w:r>
    </w:p>
    <w:p w14:paraId="2FADB2D2" w14:textId="77777777" w:rsidR="00FD03B1" w:rsidRPr="00F932BF" w:rsidRDefault="00FD03B1" w:rsidP="007C32DB">
      <w:pPr>
        <w:tabs>
          <w:tab w:val="left" w:pos="1942"/>
        </w:tabs>
        <w:spacing w:after="0" w:line="360" w:lineRule="auto"/>
        <w:ind w:firstLine="567"/>
        <w:jc w:val="both"/>
        <w:rPr>
          <w:rFonts w:ascii="Times New Roman" w:hAnsi="Times New Roman" w:cs="Times New Roman"/>
          <w:sz w:val="24"/>
          <w:szCs w:val="24"/>
        </w:rPr>
      </w:pPr>
    </w:p>
    <w:p w14:paraId="35B1DDDC" w14:textId="77777777" w:rsidR="00D00859" w:rsidRDefault="00D00859" w:rsidP="007C32DB">
      <w:pPr>
        <w:tabs>
          <w:tab w:val="left" w:pos="4337"/>
        </w:tabs>
        <w:spacing w:after="0" w:line="360" w:lineRule="auto"/>
        <w:jc w:val="center"/>
        <w:rPr>
          <w:rFonts w:ascii="Times New Roman" w:hAnsi="Times New Roman" w:cs="Times New Roman"/>
          <w:sz w:val="24"/>
          <w:szCs w:val="24"/>
        </w:rPr>
      </w:pPr>
      <w:r w:rsidRPr="00E33D28">
        <w:rPr>
          <w:rFonts w:ascii="Times New Roman" w:hAnsi="Times New Roman" w:cs="Times New Roman"/>
          <w:noProof/>
          <w:sz w:val="24"/>
          <w:szCs w:val="24"/>
          <w:lang w:val="en-US"/>
        </w:rPr>
        <w:drawing>
          <wp:inline distT="0" distB="0" distL="0" distR="0" wp14:anchorId="6943C296" wp14:editId="678CE508">
            <wp:extent cx="4860000" cy="1980000"/>
            <wp:effectExtent l="0" t="0" r="0" b="127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39903E9" w14:textId="77777777" w:rsidR="00846558" w:rsidRDefault="00846558" w:rsidP="007F2B73">
      <w:pPr>
        <w:pStyle w:val="Caption"/>
        <w:rPr>
          <w:szCs w:val="24"/>
        </w:rPr>
      </w:pPr>
      <w:bookmarkStart w:id="75" w:name="_Toc227593864"/>
      <w:bookmarkStart w:id="76" w:name="_Toc227594505"/>
      <w:r w:rsidRPr="007F2B73">
        <w:rPr>
          <w:szCs w:val="24"/>
        </w:rPr>
        <w:t>8 pav. AB „City service“ likvidumo rodiklių dinamika 2008-2012 m.</w:t>
      </w:r>
      <w:bookmarkEnd w:id="75"/>
      <w:bookmarkEnd w:id="76"/>
    </w:p>
    <w:p w14:paraId="2037C3F5" w14:textId="77777777" w:rsidR="007F2B73" w:rsidRPr="007F2B73" w:rsidRDefault="007F2B73" w:rsidP="007F2B73"/>
    <w:p w14:paraId="16655E54" w14:textId="77777777" w:rsidR="00D00859" w:rsidRDefault="00FD03B1"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Visiškai kitokią</w:t>
      </w:r>
      <w:r w:rsidR="00D00859">
        <w:rPr>
          <w:rFonts w:ascii="Times New Roman" w:hAnsi="Times New Roman" w:cs="Times New Roman"/>
          <w:sz w:val="24"/>
          <w:szCs w:val="24"/>
        </w:rPr>
        <w:t xml:space="preserve"> situacij</w:t>
      </w:r>
      <w:r>
        <w:rPr>
          <w:rFonts w:ascii="Times New Roman" w:hAnsi="Times New Roman" w:cs="Times New Roman"/>
          <w:sz w:val="24"/>
          <w:szCs w:val="24"/>
        </w:rPr>
        <w:t>ą</w:t>
      </w:r>
      <w:r w:rsidR="00D00859">
        <w:rPr>
          <w:rFonts w:ascii="Times New Roman" w:hAnsi="Times New Roman" w:cs="Times New Roman"/>
          <w:sz w:val="24"/>
          <w:szCs w:val="24"/>
        </w:rPr>
        <w:t xml:space="preserve"> </w:t>
      </w:r>
      <w:r>
        <w:rPr>
          <w:rFonts w:ascii="Times New Roman" w:hAnsi="Times New Roman" w:cs="Times New Roman"/>
          <w:sz w:val="24"/>
          <w:szCs w:val="24"/>
        </w:rPr>
        <w:t>rodo</w:t>
      </w:r>
      <w:r w:rsidR="00D00859">
        <w:rPr>
          <w:rFonts w:ascii="Times New Roman" w:hAnsi="Times New Roman" w:cs="Times New Roman"/>
          <w:sz w:val="24"/>
          <w:szCs w:val="24"/>
        </w:rPr>
        <w:t xml:space="preserve"> kritinio likvidumo rodikl</w:t>
      </w:r>
      <w:r>
        <w:rPr>
          <w:rFonts w:ascii="Times New Roman" w:hAnsi="Times New Roman" w:cs="Times New Roman"/>
          <w:sz w:val="24"/>
          <w:szCs w:val="24"/>
        </w:rPr>
        <w:t>is</w:t>
      </w:r>
      <w:r w:rsidR="00D00859">
        <w:rPr>
          <w:rFonts w:ascii="Times New Roman" w:hAnsi="Times New Roman" w:cs="Times New Roman"/>
          <w:sz w:val="24"/>
          <w:szCs w:val="24"/>
        </w:rPr>
        <w:t>. Šio rodiklio reikšmė 2008-2011 m. buvo stabiliai žema</w:t>
      </w:r>
      <w:r>
        <w:rPr>
          <w:rFonts w:ascii="Times New Roman" w:hAnsi="Times New Roman" w:cs="Times New Roman"/>
          <w:sz w:val="24"/>
          <w:szCs w:val="24"/>
        </w:rPr>
        <w:t xml:space="preserve"> –</w:t>
      </w:r>
      <w:r w:rsidR="00D00859">
        <w:rPr>
          <w:rFonts w:ascii="Times New Roman" w:hAnsi="Times New Roman" w:cs="Times New Roman"/>
          <w:sz w:val="24"/>
          <w:szCs w:val="24"/>
        </w:rPr>
        <w:t xml:space="preserve"> 0,1, tuo tarpu 2012 m. nukrito iki 0. Trumpalaikių įsipareigojimų apmokėjimo pinigais koeficientas 2008-2011 m. augo. Ypatingai didelis šuolis 2011 m. kuomet rodiklio reikšmė padidėjo 2,26 karto lyginant su 2010 m. Tačiau 2012 m. sekė dar didesnis rodiklio sumažėjimas, rodiklio reikšmė nukrito 0,71. </w:t>
      </w:r>
    </w:p>
    <w:p w14:paraId="49E08B91"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Apibendrinant AB „City service“ 2008-2012 m. likvidumo rodiklių dinamiką, galima teigti, jog teigiamas ar neigiamas perspektyvas įžvelgti sudėtinga, tačiau pastebėtina, jog dideli rodiklių svyravimai rodo nestabilų įmonės likvidumo valdymą.</w:t>
      </w:r>
    </w:p>
    <w:p w14:paraId="4657055A"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p>
    <w:p w14:paraId="13753912" w14:textId="77777777" w:rsidR="00D00859" w:rsidRDefault="00D00859" w:rsidP="00D00859">
      <w:pPr>
        <w:tabs>
          <w:tab w:val="left" w:pos="4337"/>
        </w:tabs>
        <w:spacing w:after="0" w:line="360" w:lineRule="auto"/>
        <w:jc w:val="both"/>
        <w:rPr>
          <w:rFonts w:ascii="Times New Roman" w:hAnsi="Times New Roman" w:cs="Times New Roman"/>
          <w:b/>
          <w:sz w:val="24"/>
          <w:szCs w:val="24"/>
        </w:rPr>
      </w:pPr>
      <w:r w:rsidRPr="00F932BF">
        <w:rPr>
          <w:rFonts w:ascii="Times New Roman" w:hAnsi="Times New Roman" w:cs="Times New Roman"/>
          <w:b/>
          <w:sz w:val="24"/>
          <w:szCs w:val="24"/>
        </w:rPr>
        <w:t>AB „Dvarčionių keramika“</w:t>
      </w:r>
    </w:p>
    <w:p w14:paraId="131B262F" w14:textId="77777777" w:rsidR="00464CDA" w:rsidRDefault="00D00859" w:rsidP="007C32DB">
      <w:pPr>
        <w:tabs>
          <w:tab w:val="left" w:pos="4337"/>
        </w:tabs>
        <w:spacing w:after="0" w:line="360" w:lineRule="auto"/>
        <w:ind w:firstLine="567"/>
        <w:jc w:val="both"/>
        <w:rPr>
          <w:rFonts w:ascii="Times New Roman" w:hAnsi="Times New Roman" w:cs="Times New Roman"/>
          <w:sz w:val="24"/>
          <w:szCs w:val="24"/>
        </w:rPr>
      </w:pPr>
      <w:r w:rsidRPr="00F932BF">
        <w:rPr>
          <w:rFonts w:ascii="Times New Roman" w:hAnsi="Times New Roman" w:cs="Times New Roman"/>
          <w:sz w:val="24"/>
          <w:szCs w:val="24"/>
        </w:rPr>
        <w:t>Įmonės likvidumo</w:t>
      </w:r>
      <w:r>
        <w:rPr>
          <w:rFonts w:ascii="Times New Roman" w:hAnsi="Times New Roman" w:cs="Times New Roman"/>
          <w:sz w:val="24"/>
          <w:szCs w:val="24"/>
        </w:rPr>
        <w:t xml:space="preserve"> rodiklių dinamika pavaizduota </w:t>
      </w:r>
      <w:r w:rsidR="001F7BD2">
        <w:rPr>
          <w:rFonts w:ascii="Times New Roman" w:hAnsi="Times New Roman" w:cs="Times New Roman"/>
          <w:sz w:val="24"/>
          <w:szCs w:val="24"/>
        </w:rPr>
        <w:t>9</w:t>
      </w:r>
      <w:r w:rsidRPr="00F932BF">
        <w:rPr>
          <w:rFonts w:ascii="Times New Roman" w:hAnsi="Times New Roman" w:cs="Times New Roman"/>
          <w:sz w:val="24"/>
          <w:szCs w:val="24"/>
        </w:rPr>
        <w:t xml:space="preserve"> paveiksle.</w:t>
      </w:r>
      <w:r>
        <w:rPr>
          <w:rFonts w:ascii="Times New Roman" w:hAnsi="Times New Roman" w:cs="Times New Roman"/>
          <w:sz w:val="24"/>
          <w:szCs w:val="24"/>
        </w:rPr>
        <w:t xml:space="preserve"> Nagrinėjamu laikotarpiu nuo 2009 m. visi likvidumo rodikliai tendencingai mažėjo, išskyrus kritinio likvidumo koeficientą, kuris visą laikotarpį išliko stabilus. Didžiausi neigiami pokyčiai įvyko 2009-2011 m. laikotarpiu, kuomet bendrojo likvidumo koeficientas sumažėjo 0,66, greitojo likvidumo koeficientas – 0,26, o trumpalaikių įsipareigojimų apmokėjimo pinigais koeficientas – 0,45.</w:t>
      </w:r>
    </w:p>
    <w:p w14:paraId="139486DC" w14:textId="77777777" w:rsidR="00D00859" w:rsidRPr="00464CDA" w:rsidRDefault="00D00859" w:rsidP="007C32DB">
      <w:pPr>
        <w:spacing w:after="0" w:line="360" w:lineRule="auto"/>
        <w:rPr>
          <w:rFonts w:ascii="Times New Roman" w:hAnsi="Times New Roman" w:cs="Times New Roman"/>
          <w:sz w:val="24"/>
          <w:szCs w:val="24"/>
        </w:rPr>
      </w:pPr>
    </w:p>
    <w:p w14:paraId="440658B9" w14:textId="77777777" w:rsidR="00D00859" w:rsidRDefault="00D00859" w:rsidP="007C32DB">
      <w:pPr>
        <w:tabs>
          <w:tab w:val="left" w:pos="4337"/>
        </w:tabs>
        <w:spacing w:after="0" w:line="360" w:lineRule="auto"/>
        <w:jc w:val="center"/>
        <w:rPr>
          <w:rFonts w:ascii="Times New Roman" w:hAnsi="Times New Roman" w:cs="Times New Roman"/>
          <w:sz w:val="24"/>
          <w:szCs w:val="24"/>
        </w:rPr>
      </w:pPr>
      <w:r w:rsidRPr="00E33D28">
        <w:rPr>
          <w:rFonts w:ascii="Times New Roman" w:hAnsi="Times New Roman" w:cs="Times New Roman"/>
          <w:noProof/>
          <w:sz w:val="24"/>
          <w:szCs w:val="24"/>
          <w:lang w:val="en-US"/>
        </w:rPr>
        <w:drawing>
          <wp:inline distT="0" distB="0" distL="0" distR="0" wp14:anchorId="233B5D5E" wp14:editId="3779A37C">
            <wp:extent cx="4860000" cy="1980000"/>
            <wp:effectExtent l="0" t="0" r="0" b="127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28690E4" w14:textId="77777777" w:rsidR="00846558" w:rsidRPr="007F2B73" w:rsidRDefault="00846558" w:rsidP="007F2B73">
      <w:pPr>
        <w:pStyle w:val="Caption"/>
        <w:rPr>
          <w:szCs w:val="24"/>
        </w:rPr>
      </w:pPr>
      <w:bookmarkStart w:id="77" w:name="_Toc227593865"/>
      <w:bookmarkStart w:id="78" w:name="_Toc227594506"/>
      <w:r w:rsidRPr="007F2B73">
        <w:rPr>
          <w:szCs w:val="24"/>
        </w:rPr>
        <w:t>9 pav. AB „Dvarčionių keramika“ likvidumo rodiklių dinamika 2008-2012 m.</w:t>
      </w:r>
      <w:bookmarkEnd w:id="77"/>
      <w:bookmarkEnd w:id="78"/>
    </w:p>
    <w:p w14:paraId="3F7152F2" w14:textId="77777777" w:rsidR="00846558" w:rsidRDefault="00846558" w:rsidP="007C32DB">
      <w:pPr>
        <w:tabs>
          <w:tab w:val="left" w:pos="4337"/>
        </w:tabs>
        <w:spacing w:after="0" w:line="360" w:lineRule="auto"/>
        <w:jc w:val="center"/>
        <w:rPr>
          <w:rFonts w:ascii="Times New Roman" w:hAnsi="Times New Roman" w:cs="Times New Roman"/>
          <w:sz w:val="24"/>
          <w:szCs w:val="24"/>
        </w:rPr>
      </w:pPr>
    </w:p>
    <w:p w14:paraId="7987D8C4" w14:textId="77777777" w:rsidR="00D00859" w:rsidRDefault="00D00859"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Galima teigti, jog likvidumo rodiklių reikšmės 2012 m. pasiekė žemą lygį ir artimiausios perspektyvos nėra teigiamos. Geriausiu atveju artimiausioje ateity galima tikėtis panašių likvidumo rodiklių kaip ir 2012 metais, tačiau egzistuoja didelė rizika dėl įmonės veiklos tęstinumo. </w:t>
      </w:r>
    </w:p>
    <w:p w14:paraId="6B93C2A6" w14:textId="77777777" w:rsidR="00D00859" w:rsidRDefault="00D00859" w:rsidP="008A4FC8">
      <w:pPr>
        <w:tabs>
          <w:tab w:val="left" w:pos="4337"/>
        </w:tabs>
        <w:spacing w:after="0" w:line="360" w:lineRule="auto"/>
        <w:ind w:firstLine="567"/>
        <w:jc w:val="both"/>
        <w:rPr>
          <w:rFonts w:ascii="Times New Roman" w:hAnsi="Times New Roman" w:cs="Times New Roman"/>
          <w:sz w:val="24"/>
          <w:szCs w:val="24"/>
        </w:rPr>
      </w:pPr>
    </w:p>
    <w:p w14:paraId="1E9F466E" w14:textId="77777777" w:rsidR="00D00859" w:rsidRDefault="00D00859" w:rsidP="008A4FC8">
      <w:pPr>
        <w:tabs>
          <w:tab w:val="left" w:pos="4337"/>
        </w:tabs>
        <w:spacing w:after="0" w:line="360" w:lineRule="auto"/>
        <w:jc w:val="both"/>
        <w:rPr>
          <w:rFonts w:ascii="Times New Roman" w:hAnsi="Times New Roman" w:cs="Times New Roman"/>
          <w:b/>
          <w:sz w:val="24"/>
          <w:szCs w:val="24"/>
        </w:rPr>
      </w:pPr>
      <w:r w:rsidRPr="00652DB2">
        <w:rPr>
          <w:rFonts w:ascii="Times New Roman" w:hAnsi="Times New Roman" w:cs="Times New Roman"/>
          <w:b/>
          <w:sz w:val="24"/>
          <w:szCs w:val="24"/>
        </w:rPr>
        <w:t>AB „Grigiškės“</w:t>
      </w:r>
    </w:p>
    <w:p w14:paraId="5F5DA1A2" w14:textId="77777777" w:rsidR="00D00859" w:rsidRDefault="00FD03B1" w:rsidP="008A4FC8">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D00859">
        <w:rPr>
          <w:rFonts w:ascii="Times New Roman" w:hAnsi="Times New Roman" w:cs="Times New Roman"/>
          <w:sz w:val="24"/>
          <w:szCs w:val="24"/>
        </w:rPr>
        <w:t xml:space="preserve"> paveikslas atspindi AB „Grigiškės“ likvidumo rodiklių kitimą. Galima pastebėti, jog didžiausi įmonės likvidumo rodiklių svyravimai buvo 2008-2010 m.. Jeigu 2009 m. visi likvidumo rodikliai ženkliai padidėjo lyginant su 2008 m. reikšmėmis, tai 2010 m. lyginant su 2009 m. koeficientai stipriai sumažėjo. Tik kritinio likvidumo koeficientas visą nagrinėjamą laikotarpį išlaikė tą patį žemą lygį.</w:t>
      </w:r>
    </w:p>
    <w:p w14:paraId="260E9C1E" w14:textId="77777777" w:rsidR="00D00859" w:rsidRDefault="00D00859" w:rsidP="00846558">
      <w:pPr>
        <w:tabs>
          <w:tab w:val="left" w:pos="4337"/>
        </w:tabs>
        <w:jc w:val="center"/>
        <w:rPr>
          <w:rFonts w:ascii="Times New Roman" w:hAnsi="Times New Roman" w:cs="Times New Roman"/>
          <w:sz w:val="24"/>
          <w:szCs w:val="24"/>
        </w:rPr>
      </w:pPr>
      <w:r w:rsidRPr="00F9460B">
        <w:rPr>
          <w:rFonts w:ascii="Times New Roman" w:hAnsi="Times New Roman" w:cs="Times New Roman"/>
          <w:noProof/>
          <w:sz w:val="24"/>
          <w:szCs w:val="24"/>
          <w:lang w:val="en-US"/>
        </w:rPr>
        <w:lastRenderedPageBreak/>
        <w:drawing>
          <wp:inline distT="0" distB="0" distL="0" distR="0" wp14:anchorId="508198B3" wp14:editId="16CBDDE7">
            <wp:extent cx="4860000" cy="1980000"/>
            <wp:effectExtent l="0" t="0" r="0" b="127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98803B1" w14:textId="77777777" w:rsidR="00846558" w:rsidRPr="007F2B73" w:rsidRDefault="00FD03B1" w:rsidP="007F2B73">
      <w:pPr>
        <w:pStyle w:val="Caption"/>
        <w:rPr>
          <w:szCs w:val="24"/>
        </w:rPr>
      </w:pPr>
      <w:bookmarkStart w:id="79" w:name="_Toc227593866"/>
      <w:bookmarkStart w:id="80" w:name="_Toc227594507"/>
      <w:r w:rsidRPr="007F2B73">
        <w:rPr>
          <w:szCs w:val="24"/>
        </w:rPr>
        <w:t>10</w:t>
      </w:r>
      <w:r w:rsidR="00846558" w:rsidRPr="007F2B73">
        <w:rPr>
          <w:szCs w:val="24"/>
        </w:rPr>
        <w:t xml:space="preserve"> pav. </w:t>
      </w:r>
      <w:r w:rsidRPr="007F2B73">
        <w:rPr>
          <w:szCs w:val="24"/>
        </w:rPr>
        <w:t>AB „Grigiškės“</w:t>
      </w:r>
      <w:r w:rsidR="00846558" w:rsidRPr="007F2B73">
        <w:rPr>
          <w:szCs w:val="24"/>
        </w:rPr>
        <w:t xml:space="preserve"> likvidumo rodiklių dinamika 2008-2012 m.</w:t>
      </w:r>
      <w:bookmarkEnd w:id="79"/>
      <w:bookmarkEnd w:id="80"/>
    </w:p>
    <w:p w14:paraId="12025A25" w14:textId="77777777" w:rsidR="00FD03B1" w:rsidRDefault="00FD03B1" w:rsidP="007C32DB">
      <w:pPr>
        <w:tabs>
          <w:tab w:val="left" w:pos="4337"/>
        </w:tabs>
        <w:spacing w:after="0" w:line="360" w:lineRule="auto"/>
        <w:jc w:val="center"/>
        <w:rPr>
          <w:rFonts w:ascii="Times New Roman" w:hAnsi="Times New Roman" w:cs="Times New Roman"/>
          <w:sz w:val="24"/>
          <w:szCs w:val="24"/>
        </w:rPr>
      </w:pPr>
    </w:p>
    <w:p w14:paraId="7F4903CC" w14:textId="77777777" w:rsidR="00FD03B1" w:rsidRPr="00D93322" w:rsidRDefault="00FD03B1" w:rsidP="00FD03B1">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2010-2012 m. laikotarpiu AB „Grigiškės“ likvidumo rodikliai išlaikė panašų lygį ir praktiškai nekito. Bendrojo likvidumo koeficientas svyravo tarp 0,63 ir 0,71; greitojo likvidumo koeficientas – tarp 0,43 ir 0,49; kritinio likvidumo koeficientas beveik nekito; trumpalaikių įsipareigojimų pinigais koeficientas svyravo tarp 0,58 ir 0,59. Žvelgiant į artimiausias perspektyvas, įmonė turėtų išlaikyti panašų likvidumo lygį.</w:t>
      </w:r>
    </w:p>
    <w:p w14:paraId="2F239874" w14:textId="77777777" w:rsidR="00D00859" w:rsidRDefault="00D00859" w:rsidP="008A4FC8">
      <w:pPr>
        <w:tabs>
          <w:tab w:val="left" w:pos="4337"/>
        </w:tabs>
        <w:spacing w:after="0" w:line="360" w:lineRule="auto"/>
        <w:jc w:val="both"/>
        <w:rPr>
          <w:rFonts w:ascii="Times New Roman" w:hAnsi="Times New Roman" w:cs="Times New Roman"/>
          <w:sz w:val="24"/>
          <w:szCs w:val="24"/>
        </w:rPr>
      </w:pPr>
    </w:p>
    <w:p w14:paraId="039C70FD" w14:textId="77777777" w:rsidR="00D00859" w:rsidRDefault="00D00859" w:rsidP="008A4FC8">
      <w:pPr>
        <w:tabs>
          <w:tab w:val="left" w:pos="4337"/>
        </w:tabs>
        <w:spacing w:after="0" w:line="360" w:lineRule="auto"/>
        <w:jc w:val="both"/>
        <w:rPr>
          <w:rFonts w:ascii="Times New Roman" w:hAnsi="Times New Roman" w:cs="Times New Roman"/>
          <w:b/>
          <w:sz w:val="24"/>
          <w:szCs w:val="24"/>
        </w:rPr>
      </w:pPr>
      <w:r w:rsidRPr="00C576D2">
        <w:rPr>
          <w:rFonts w:ascii="Times New Roman" w:hAnsi="Times New Roman" w:cs="Times New Roman"/>
          <w:b/>
          <w:sz w:val="24"/>
          <w:szCs w:val="24"/>
        </w:rPr>
        <w:t>AB „Gubernija“</w:t>
      </w:r>
    </w:p>
    <w:p w14:paraId="23A73B08" w14:textId="77777777" w:rsidR="00D00859" w:rsidRDefault="00D00859" w:rsidP="007C32DB">
      <w:pPr>
        <w:tabs>
          <w:tab w:val="left" w:pos="4337"/>
        </w:tabs>
        <w:spacing w:after="0" w:line="360" w:lineRule="auto"/>
        <w:ind w:firstLine="567"/>
        <w:jc w:val="both"/>
        <w:rPr>
          <w:rFonts w:ascii="Times New Roman" w:hAnsi="Times New Roman" w:cs="Times New Roman"/>
          <w:sz w:val="24"/>
          <w:szCs w:val="24"/>
        </w:rPr>
      </w:pPr>
      <w:r w:rsidRPr="00C576D2">
        <w:rPr>
          <w:rFonts w:ascii="Times New Roman" w:hAnsi="Times New Roman" w:cs="Times New Roman"/>
          <w:sz w:val="24"/>
          <w:szCs w:val="24"/>
        </w:rPr>
        <w:t>Įmon</w:t>
      </w:r>
      <w:r>
        <w:rPr>
          <w:rFonts w:ascii="Times New Roman" w:hAnsi="Times New Roman" w:cs="Times New Roman"/>
          <w:sz w:val="24"/>
          <w:szCs w:val="24"/>
        </w:rPr>
        <w:t>ės likvidumo dinamiką atspindi 1</w:t>
      </w:r>
      <w:r w:rsidR="00FD03B1">
        <w:rPr>
          <w:rFonts w:ascii="Times New Roman" w:hAnsi="Times New Roman" w:cs="Times New Roman"/>
          <w:sz w:val="24"/>
          <w:szCs w:val="24"/>
        </w:rPr>
        <w:t>1</w:t>
      </w:r>
      <w:r w:rsidRPr="00C576D2">
        <w:rPr>
          <w:rFonts w:ascii="Times New Roman" w:hAnsi="Times New Roman" w:cs="Times New Roman"/>
          <w:sz w:val="24"/>
          <w:szCs w:val="24"/>
        </w:rPr>
        <w:t xml:space="preserve"> paveikslas.</w:t>
      </w:r>
      <w:r>
        <w:rPr>
          <w:rFonts w:ascii="Times New Roman" w:hAnsi="Times New Roman" w:cs="Times New Roman"/>
          <w:sz w:val="24"/>
          <w:szCs w:val="24"/>
        </w:rPr>
        <w:t xml:space="preserve"> Jeigu tradiciniai likvidumo rodikliai didžiausią reikšmę buvo įgiję nagrinėjamo laikotarpio pradžioje 2008 m., tai trumpalaikių įsipareigojimų apmokėjimo pinigais rodiklis didžiausias buvo 2012 m. Pastarasis koeficientas visą nagrinėjamą laikotarpį nuosekliai augo, bet didžiausias šuolis aukštyn buvo 2009 m. ir 2010 m. </w:t>
      </w:r>
    </w:p>
    <w:p w14:paraId="61906052" w14:textId="77777777" w:rsidR="00FD03B1" w:rsidRPr="00C576D2" w:rsidRDefault="00FD03B1" w:rsidP="007C32DB">
      <w:pPr>
        <w:tabs>
          <w:tab w:val="left" w:pos="4337"/>
        </w:tabs>
        <w:spacing w:after="0" w:line="360" w:lineRule="auto"/>
        <w:ind w:firstLine="567"/>
        <w:jc w:val="both"/>
        <w:rPr>
          <w:rFonts w:ascii="Times New Roman" w:hAnsi="Times New Roman" w:cs="Times New Roman"/>
          <w:sz w:val="24"/>
          <w:szCs w:val="24"/>
        </w:rPr>
      </w:pPr>
    </w:p>
    <w:p w14:paraId="7ACC0F63" w14:textId="77777777" w:rsidR="00D00859" w:rsidRDefault="00D00859" w:rsidP="007C32DB">
      <w:pPr>
        <w:spacing w:after="0" w:line="360" w:lineRule="auto"/>
        <w:ind w:firstLine="567"/>
        <w:jc w:val="center"/>
        <w:rPr>
          <w:rFonts w:ascii="Times New Roman" w:hAnsi="Times New Roman" w:cs="Times New Roman"/>
          <w:sz w:val="24"/>
          <w:szCs w:val="24"/>
        </w:rPr>
      </w:pPr>
      <w:r w:rsidRPr="00E33D28">
        <w:rPr>
          <w:rFonts w:ascii="Times New Roman" w:hAnsi="Times New Roman" w:cs="Times New Roman"/>
          <w:noProof/>
          <w:sz w:val="24"/>
          <w:szCs w:val="24"/>
          <w:lang w:val="en-US"/>
        </w:rPr>
        <w:drawing>
          <wp:inline distT="0" distB="0" distL="0" distR="0" wp14:anchorId="260C9659" wp14:editId="4BF0AD59">
            <wp:extent cx="4860000" cy="1980000"/>
            <wp:effectExtent l="0" t="0" r="0" b="127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17754DC" w14:textId="77777777" w:rsidR="00846558" w:rsidRPr="007F2B73" w:rsidRDefault="00FD03B1" w:rsidP="007F2B73">
      <w:pPr>
        <w:pStyle w:val="Caption"/>
        <w:rPr>
          <w:szCs w:val="24"/>
        </w:rPr>
      </w:pPr>
      <w:bookmarkStart w:id="81" w:name="_Toc227593867"/>
      <w:bookmarkStart w:id="82" w:name="_Toc227594508"/>
      <w:r w:rsidRPr="007F2B73">
        <w:rPr>
          <w:szCs w:val="24"/>
        </w:rPr>
        <w:t>11</w:t>
      </w:r>
      <w:r w:rsidR="00846558" w:rsidRPr="007F2B73">
        <w:rPr>
          <w:szCs w:val="24"/>
        </w:rPr>
        <w:t xml:space="preserve"> pav. AB </w:t>
      </w:r>
      <w:r w:rsidRPr="007F2B73">
        <w:rPr>
          <w:szCs w:val="24"/>
        </w:rPr>
        <w:t>AB „Gubernija“</w:t>
      </w:r>
      <w:r w:rsidR="00846558" w:rsidRPr="007F2B73">
        <w:rPr>
          <w:szCs w:val="24"/>
        </w:rPr>
        <w:t xml:space="preserve"> likvidumo rodiklių dinamika 2008-2012 m.</w:t>
      </w:r>
      <w:bookmarkEnd w:id="81"/>
      <w:bookmarkEnd w:id="82"/>
    </w:p>
    <w:p w14:paraId="59FF3431" w14:textId="77777777" w:rsidR="007C32DB" w:rsidRDefault="007C32DB" w:rsidP="007C32DB">
      <w:pPr>
        <w:spacing w:after="0" w:line="360" w:lineRule="auto"/>
        <w:ind w:firstLine="567"/>
        <w:jc w:val="center"/>
        <w:rPr>
          <w:rFonts w:ascii="Times New Roman" w:hAnsi="Times New Roman" w:cs="Times New Roman"/>
          <w:sz w:val="24"/>
          <w:szCs w:val="24"/>
        </w:rPr>
      </w:pPr>
    </w:p>
    <w:p w14:paraId="2E822574" w14:textId="77777777" w:rsidR="001F7BD2" w:rsidRDefault="001F7BD2" w:rsidP="007C32DB">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Kritinio likvidumo koeficientas visą laikotarpį išliko stabiliai nedidelis ir nežymiai svyravo ties nuline riba. Vertinant bendrojo ir greitojo likvidumo rodiklių dinamiką galima teigti, jog nagrinėjimu laikotarpiu ženklių pasikeitimų nė į vieną pusę nebuvo ir rodikliai sąlyginai išlaikė stabilias neaukštas </w:t>
      </w:r>
      <w:r>
        <w:rPr>
          <w:rFonts w:ascii="Times New Roman" w:hAnsi="Times New Roman" w:cs="Times New Roman"/>
          <w:sz w:val="24"/>
          <w:szCs w:val="24"/>
        </w:rPr>
        <w:lastRenderedPageBreak/>
        <w:t>reikšmes. Bendrai, likvidumo rodikliai išlaiko stabiliai žemas reikšmes ir tai reiškia didelę įmonės likvidumo riziką.</w:t>
      </w:r>
    </w:p>
    <w:p w14:paraId="51E3966D" w14:textId="77777777" w:rsidR="00D00859" w:rsidRDefault="00D00859" w:rsidP="001F7BD2">
      <w:pPr>
        <w:spacing w:after="0"/>
        <w:ind w:firstLine="567"/>
        <w:jc w:val="both"/>
        <w:rPr>
          <w:rFonts w:ascii="Times New Roman" w:hAnsi="Times New Roman" w:cs="Times New Roman"/>
          <w:sz w:val="24"/>
          <w:szCs w:val="24"/>
        </w:rPr>
      </w:pPr>
    </w:p>
    <w:p w14:paraId="230EB1C9" w14:textId="77777777" w:rsidR="00D00859" w:rsidRDefault="00FD03B1" w:rsidP="001F7B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Įmonių grupė „Alita“, </w:t>
      </w:r>
      <w:r w:rsidR="00D00859" w:rsidRPr="009A46D4">
        <w:rPr>
          <w:rFonts w:ascii="Times New Roman" w:hAnsi="Times New Roman" w:cs="Times New Roman"/>
          <w:b/>
          <w:sz w:val="24"/>
          <w:szCs w:val="24"/>
        </w:rPr>
        <w:t>AB</w:t>
      </w:r>
    </w:p>
    <w:p w14:paraId="05C72BDD" w14:textId="77777777" w:rsidR="00D00859" w:rsidRDefault="00D00859" w:rsidP="008A4FC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Šios įmonės likvidumo dinamika atsispindi 1</w:t>
      </w:r>
      <w:r w:rsidR="00FD03B1">
        <w:rPr>
          <w:rFonts w:ascii="Times New Roman" w:hAnsi="Times New Roman" w:cs="Times New Roman"/>
          <w:sz w:val="24"/>
          <w:szCs w:val="24"/>
        </w:rPr>
        <w:t>2</w:t>
      </w:r>
      <w:r>
        <w:rPr>
          <w:rFonts w:ascii="Times New Roman" w:hAnsi="Times New Roman" w:cs="Times New Roman"/>
          <w:sz w:val="24"/>
          <w:szCs w:val="24"/>
        </w:rPr>
        <w:t xml:space="preserve"> paveiksle. Kadangi įmonė įregis</w:t>
      </w:r>
      <w:r w:rsidR="00FD03B1">
        <w:rPr>
          <w:rFonts w:ascii="Times New Roman" w:hAnsi="Times New Roman" w:cs="Times New Roman"/>
          <w:sz w:val="24"/>
          <w:szCs w:val="24"/>
        </w:rPr>
        <w:t>truota 2009 m. antroje pusėje,</w:t>
      </w:r>
      <w:r>
        <w:rPr>
          <w:rFonts w:ascii="Times New Roman" w:hAnsi="Times New Roman" w:cs="Times New Roman"/>
          <w:sz w:val="24"/>
          <w:szCs w:val="24"/>
        </w:rPr>
        <w:t xml:space="preserve"> analizuojamas laikotarpis </w:t>
      </w:r>
      <w:r w:rsidR="00FD03B1">
        <w:rPr>
          <w:rFonts w:ascii="Times New Roman" w:hAnsi="Times New Roman" w:cs="Times New Roman"/>
          <w:sz w:val="24"/>
          <w:szCs w:val="24"/>
        </w:rPr>
        <w:t xml:space="preserve">nuo 2009 iki </w:t>
      </w:r>
      <w:r>
        <w:rPr>
          <w:rFonts w:ascii="Times New Roman" w:hAnsi="Times New Roman" w:cs="Times New Roman"/>
          <w:sz w:val="24"/>
          <w:szCs w:val="24"/>
        </w:rPr>
        <w:t>2012 m. Įmonių grupės „Alita“ bendrojo ir greitojo likvidumo rodikliai kito lygiagrečiai</w:t>
      </w:r>
      <w:r w:rsidR="00FD03B1">
        <w:rPr>
          <w:rFonts w:ascii="Times New Roman" w:hAnsi="Times New Roman" w:cs="Times New Roman"/>
          <w:sz w:val="24"/>
          <w:szCs w:val="24"/>
        </w:rPr>
        <w:t>,</w:t>
      </w:r>
      <w:r>
        <w:rPr>
          <w:rFonts w:ascii="Times New Roman" w:hAnsi="Times New Roman" w:cs="Times New Roman"/>
          <w:sz w:val="24"/>
          <w:szCs w:val="24"/>
        </w:rPr>
        <w:t xml:space="preserve"> išskyrus 2012 m., kuomet bendrasis likvidumas padidėjo 0,04, kai tuo tarpu greitojo likvidumo rodiklis sumažėjo 0,03. Didžiausi šių koeficientų pokyčiai užfiksuoti 2010 m., kai bendrojo likvidumo koeficientas sumažėjo beveik 2,5 karto, o greitojo likvidumo koeficientas sumažėjo 2,2 karto; ir 2011 m., kuomet abu rodikliai šoktelėjo 3,8 karto. </w:t>
      </w:r>
    </w:p>
    <w:p w14:paraId="44EA6778" w14:textId="77777777" w:rsidR="00D00859" w:rsidRDefault="00D00859" w:rsidP="007C32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Tuo tarpu kritinio likvidumo rodiklio reikšmė nagrinėjamu laikotarpiu buvo nedidelė, </w:t>
      </w:r>
      <w:r w:rsidR="00FD03B1">
        <w:rPr>
          <w:rFonts w:ascii="Times New Roman" w:hAnsi="Times New Roman" w:cs="Times New Roman"/>
          <w:sz w:val="24"/>
          <w:szCs w:val="24"/>
        </w:rPr>
        <w:t>bet</w:t>
      </w:r>
      <w:r>
        <w:rPr>
          <w:rFonts w:ascii="Times New Roman" w:hAnsi="Times New Roman" w:cs="Times New Roman"/>
          <w:sz w:val="24"/>
          <w:szCs w:val="24"/>
        </w:rPr>
        <w:t xml:space="preserve"> nors ir nežymiai, tačiau tendencingai augo. 2012 m. lyginant su 2011 m. kritinis likvidumas padidėjo 0,3. </w:t>
      </w:r>
    </w:p>
    <w:p w14:paraId="6F904A8C" w14:textId="77777777" w:rsidR="007C32DB" w:rsidRDefault="007C32DB" w:rsidP="007C32DB">
      <w:pPr>
        <w:spacing w:after="0" w:line="360" w:lineRule="auto"/>
        <w:ind w:firstLine="567"/>
        <w:jc w:val="both"/>
        <w:rPr>
          <w:rFonts w:ascii="Times New Roman" w:hAnsi="Times New Roman" w:cs="Times New Roman"/>
          <w:sz w:val="24"/>
          <w:szCs w:val="24"/>
        </w:rPr>
      </w:pPr>
    </w:p>
    <w:p w14:paraId="0D88C28A" w14:textId="77777777" w:rsidR="00D00859" w:rsidRDefault="00D00859" w:rsidP="007C32DB">
      <w:pPr>
        <w:spacing w:after="0" w:line="360" w:lineRule="auto"/>
        <w:ind w:firstLine="567"/>
        <w:jc w:val="center"/>
        <w:rPr>
          <w:rFonts w:ascii="Times New Roman" w:hAnsi="Times New Roman" w:cs="Times New Roman"/>
          <w:sz w:val="24"/>
          <w:szCs w:val="24"/>
        </w:rPr>
      </w:pPr>
      <w:r w:rsidRPr="00E33D28">
        <w:rPr>
          <w:rFonts w:ascii="Times New Roman" w:hAnsi="Times New Roman" w:cs="Times New Roman"/>
          <w:noProof/>
          <w:sz w:val="24"/>
          <w:szCs w:val="24"/>
          <w:lang w:val="en-US"/>
        </w:rPr>
        <w:drawing>
          <wp:inline distT="0" distB="0" distL="0" distR="0" wp14:anchorId="6B370114" wp14:editId="38313CA0">
            <wp:extent cx="4576431" cy="1998921"/>
            <wp:effectExtent l="0" t="0" r="0" b="1905"/>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29BEE57" w14:textId="77777777" w:rsidR="00846558" w:rsidRPr="007F2B73" w:rsidRDefault="00FD03B1" w:rsidP="007F2B73">
      <w:pPr>
        <w:pStyle w:val="Caption"/>
        <w:rPr>
          <w:szCs w:val="24"/>
        </w:rPr>
      </w:pPr>
      <w:bookmarkStart w:id="83" w:name="_Toc227593868"/>
      <w:bookmarkStart w:id="84" w:name="_Toc227594509"/>
      <w:r w:rsidRPr="007F2B73">
        <w:rPr>
          <w:szCs w:val="24"/>
        </w:rPr>
        <w:t>12</w:t>
      </w:r>
      <w:r w:rsidR="00846558" w:rsidRPr="007F2B73">
        <w:rPr>
          <w:szCs w:val="24"/>
        </w:rPr>
        <w:t xml:space="preserve"> pav. </w:t>
      </w:r>
      <w:r w:rsidR="001F7BD2" w:rsidRPr="007F2B73">
        <w:rPr>
          <w:szCs w:val="24"/>
        </w:rPr>
        <w:t>Įmonių grupės „Alita“, AB</w:t>
      </w:r>
      <w:r w:rsidR="00846558" w:rsidRPr="007F2B73">
        <w:rPr>
          <w:szCs w:val="24"/>
        </w:rPr>
        <w:t xml:space="preserve"> likvidumo rodiklių dinamika 2008-2012 m.</w:t>
      </w:r>
      <w:bookmarkEnd w:id="83"/>
      <w:bookmarkEnd w:id="84"/>
    </w:p>
    <w:p w14:paraId="43136103" w14:textId="77777777" w:rsidR="007C32DB" w:rsidRDefault="007C32DB" w:rsidP="007C32DB">
      <w:pPr>
        <w:spacing w:after="0" w:line="360" w:lineRule="auto"/>
        <w:ind w:firstLine="567"/>
        <w:jc w:val="center"/>
        <w:rPr>
          <w:rFonts w:ascii="Times New Roman" w:hAnsi="Times New Roman" w:cs="Times New Roman"/>
          <w:sz w:val="24"/>
          <w:szCs w:val="24"/>
        </w:rPr>
      </w:pPr>
    </w:p>
    <w:p w14:paraId="597D8F06" w14:textId="77777777" w:rsidR="00D00859" w:rsidRDefault="00D00859" w:rsidP="007C32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Atkreiptinas dėmesys, kad trumpalaikių įsipareigojimų apmokėjimo pinigais koeficientas visą tiriamą laikotarpį rodė prastesnę įmonės likvidumo būklę ir kito skirtingai nei tradiciniai likvidumo rodikliai. Vertinant tik tradicinių likvidumo rodiklių reikšmes</w:t>
      </w:r>
      <w:r w:rsidR="001F7BD2">
        <w:rPr>
          <w:rFonts w:ascii="Times New Roman" w:hAnsi="Times New Roman" w:cs="Times New Roman"/>
          <w:sz w:val="24"/>
          <w:szCs w:val="24"/>
        </w:rPr>
        <w:t>,</w:t>
      </w:r>
      <w:r>
        <w:rPr>
          <w:rFonts w:ascii="Times New Roman" w:hAnsi="Times New Roman" w:cs="Times New Roman"/>
          <w:sz w:val="24"/>
          <w:szCs w:val="24"/>
        </w:rPr>
        <w:t xml:space="preserve"> </w:t>
      </w:r>
      <w:r w:rsidR="001F7BD2">
        <w:rPr>
          <w:rFonts w:ascii="Times New Roman" w:hAnsi="Times New Roman" w:cs="Times New Roman"/>
          <w:sz w:val="24"/>
          <w:szCs w:val="24"/>
        </w:rPr>
        <w:t>atrodytų</w:t>
      </w:r>
      <w:r>
        <w:rPr>
          <w:rFonts w:ascii="Times New Roman" w:hAnsi="Times New Roman" w:cs="Times New Roman"/>
          <w:sz w:val="24"/>
          <w:szCs w:val="24"/>
        </w:rPr>
        <w:t xml:space="preserve">, jog įmonė palaiko stabilų likvidumo lygį, tačiau trumpalaikių įsipareigojimų apmokėjimo pinigais koeficientas kelia abejonių.  </w:t>
      </w:r>
    </w:p>
    <w:p w14:paraId="40E4B857" w14:textId="77777777" w:rsidR="00D00859" w:rsidRPr="009A46D4" w:rsidRDefault="00D00859" w:rsidP="00D00859">
      <w:pPr>
        <w:spacing w:after="0" w:line="360" w:lineRule="auto"/>
        <w:ind w:firstLine="567"/>
        <w:jc w:val="both"/>
        <w:rPr>
          <w:rFonts w:ascii="Times New Roman" w:hAnsi="Times New Roman" w:cs="Times New Roman"/>
          <w:sz w:val="24"/>
          <w:szCs w:val="24"/>
        </w:rPr>
      </w:pPr>
    </w:p>
    <w:p w14:paraId="2180AF4F" w14:textId="77777777" w:rsidR="00D00859" w:rsidRPr="00B21CEE" w:rsidRDefault="00D00859" w:rsidP="008A4FC8">
      <w:pPr>
        <w:spacing w:after="0" w:line="360" w:lineRule="auto"/>
        <w:jc w:val="both"/>
        <w:rPr>
          <w:rFonts w:ascii="Times New Roman" w:hAnsi="Times New Roman" w:cs="Times New Roman"/>
          <w:b/>
          <w:sz w:val="24"/>
          <w:szCs w:val="24"/>
        </w:rPr>
      </w:pPr>
      <w:r w:rsidRPr="00B21CEE">
        <w:rPr>
          <w:rFonts w:ascii="Times New Roman" w:hAnsi="Times New Roman" w:cs="Times New Roman"/>
          <w:b/>
          <w:sz w:val="24"/>
          <w:szCs w:val="24"/>
        </w:rPr>
        <w:t>AB „Invalda“</w:t>
      </w:r>
    </w:p>
    <w:p w14:paraId="60D22B09" w14:textId="77777777" w:rsidR="00D00859" w:rsidRDefault="00D00859" w:rsidP="0004087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Skirtingai negu anksčiau nagrinėtų įmonių, AB „Invalda“ likvidumo dinamiką atspindi </w:t>
      </w:r>
      <w:r w:rsidR="001F7BD2">
        <w:rPr>
          <w:rFonts w:ascii="Times New Roman" w:hAnsi="Times New Roman" w:cs="Times New Roman"/>
          <w:sz w:val="24"/>
          <w:szCs w:val="24"/>
        </w:rPr>
        <w:t>3</w:t>
      </w:r>
      <w:r>
        <w:rPr>
          <w:rFonts w:ascii="Times New Roman" w:hAnsi="Times New Roman" w:cs="Times New Roman"/>
          <w:sz w:val="24"/>
          <w:szCs w:val="24"/>
        </w:rPr>
        <w:t xml:space="preserve"> lentelė. Iš pateiktos lentelės matyti, jog bendrojo ir greitojo likvidumo koeficientai identiški, kas reiškia, jog ši įmonė savo veikloje atsargų neturi. Pastebėtinas nuoseklus ir ženklus minėtųjų rodiklių augimas nuo 2009 m. Šie rodikliai didžiausią reikšmę pasiekė 2012 m., kuomet lyginant su 2011 m. išaugo daugiau nei 3 kartus.</w:t>
      </w:r>
    </w:p>
    <w:p w14:paraId="79C9E117" w14:textId="77777777" w:rsidR="001F7BD2" w:rsidRDefault="001F7BD2" w:rsidP="0004087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Tuo tarpu trumpalaikių įsipareigojimų apmokėjimo pinigais koeficientas nuo 2009 m., kuomet ženkliai išaugo lyginant su 2008 m., stabiliai prastėjo ir 2012 m. pasiekė 2008 m. lygį.</w:t>
      </w:r>
    </w:p>
    <w:p w14:paraId="50CD33FA" w14:textId="77777777" w:rsidR="0004087B" w:rsidRDefault="0004087B" w:rsidP="0004087B">
      <w:pPr>
        <w:spacing w:after="0" w:line="360" w:lineRule="auto"/>
        <w:jc w:val="center"/>
        <w:rPr>
          <w:rFonts w:ascii="Times New Roman" w:hAnsi="Times New Roman" w:cs="Times New Roman"/>
          <w:b/>
          <w:sz w:val="24"/>
          <w:szCs w:val="24"/>
        </w:rPr>
      </w:pPr>
    </w:p>
    <w:p w14:paraId="6B4FEB23" w14:textId="77777777" w:rsidR="0004087B" w:rsidRPr="009900EC" w:rsidRDefault="001F7BD2" w:rsidP="009900EC">
      <w:pPr>
        <w:pStyle w:val="1ant"/>
        <w:rPr>
          <w:sz w:val="24"/>
          <w:szCs w:val="24"/>
        </w:rPr>
      </w:pPr>
      <w:bookmarkStart w:id="85" w:name="_Toc227595959"/>
      <w:r w:rsidRPr="009900EC">
        <w:rPr>
          <w:sz w:val="24"/>
          <w:szCs w:val="24"/>
        </w:rPr>
        <w:t>3 lentelė. AB „Invalda“ likvidumo rodiklių dinamika 2008-2012 m.</w:t>
      </w:r>
      <w:bookmarkEnd w:id="85"/>
    </w:p>
    <w:tbl>
      <w:tblPr>
        <w:tblW w:w="7169" w:type="dxa"/>
        <w:jc w:val="center"/>
        <w:tblInd w:w="103" w:type="dxa"/>
        <w:tblLook w:val="04A0" w:firstRow="1" w:lastRow="0" w:firstColumn="1" w:lastColumn="0" w:noHBand="0" w:noVBand="1"/>
      </w:tblPr>
      <w:tblGrid>
        <w:gridCol w:w="3471"/>
        <w:gridCol w:w="733"/>
        <w:gridCol w:w="733"/>
        <w:gridCol w:w="733"/>
        <w:gridCol w:w="733"/>
        <w:gridCol w:w="766"/>
      </w:tblGrid>
      <w:tr w:rsidR="00D00859" w:rsidRPr="00011EB5" w14:paraId="03E30276" w14:textId="77777777" w:rsidTr="00F53335">
        <w:trPr>
          <w:trHeight w:val="300"/>
          <w:jc w:val="center"/>
        </w:trPr>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C9E70" w14:textId="77777777" w:rsidR="00D00859" w:rsidRPr="00F53335" w:rsidRDefault="00D00859" w:rsidP="0004087B">
            <w:pPr>
              <w:spacing w:after="0" w:line="360" w:lineRule="auto"/>
              <w:rPr>
                <w:rFonts w:ascii="Times New Roman" w:eastAsia="Times New Roman" w:hAnsi="Times New Roman" w:cs="Times New Roman"/>
                <w:b/>
                <w:bCs/>
                <w:color w:val="000000"/>
                <w:sz w:val="20"/>
                <w:szCs w:val="20"/>
                <w:lang w:eastAsia="lt-LT"/>
              </w:rPr>
            </w:pPr>
            <w:r w:rsidRPr="00F53335">
              <w:rPr>
                <w:rFonts w:ascii="Times New Roman" w:eastAsia="Times New Roman" w:hAnsi="Times New Roman" w:cs="Times New Roman"/>
                <w:b/>
                <w:bCs/>
                <w:color w:val="000000"/>
                <w:sz w:val="20"/>
                <w:szCs w:val="20"/>
                <w:lang w:eastAsia="lt-LT"/>
              </w:rPr>
              <w:t>Rodiklis\Metai</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3D57314A"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2008</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550AAE6F"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2009</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15D2CE44"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2010</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533FB66E"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2011</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4E468ED9"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2012</w:t>
            </w:r>
          </w:p>
        </w:tc>
      </w:tr>
      <w:tr w:rsidR="00D00859" w:rsidRPr="00011EB5" w14:paraId="0A595D1C"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36E2245C" w14:textId="77777777" w:rsidR="00D00859" w:rsidRPr="00F53335" w:rsidRDefault="00D00859" w:rsidP="0004087B">
            <w:pPr>
              <w:spacing w:after="0" w:line="360" w:lineRule="auto"/>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Bendrasis likvidumas</w:t>
            </w:r>
          </w:p>
        </w:tc>
        <w:tc>
          <w:tcPr>
            <w:tcW w:w="733" w:type="dxa"/>
            <w:tcBorders>
              <w:top w:val="nil"/>
              <w:left w:val="nil"/>
              <w:bottom w:val="single" w:sz="4" w:space="0" w:color="auto"/>
              <w:right w:val="single" w:sz="4" w:space="0" w:color="auto"/>
            </w:tcBorders>
            <w:shd w:val="clear" w:color="auto" w:fill="auto"/>
            <w:noWrap/>
            <w:vAlign w:val="bottom"/>
            <w:hideMark/>
          </w:tcPr>
          <w:p w14:paraId="1C99BFCE"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0,45</w:t>
            </w:r>
          </w:p>
        </w:tc>
        <w:tc>
          <w:tcPr>
            <w:tcW w:w="733" w:type="dxa"/>
            <w:tcBorders>
              <w:top w:val="nil"/>
              <w:left w:val="nil"/>
              <w:bottom w:val="single" w:sz="4" w:space="0" w:color="auto"/>
              <w:right w:val="single" w:sz="4" w:space="0" w:color="auto"/>
            </w:tcBorders>
            <w:shd w:val="clear" w:color="auto" w:fill="auto"/>
            <w:noWrap/>
            <w:vAlign w:val="bottom"/>
            <w:hideMark/>
          </w:tcPr>
          <w:p w14:paraId="51600845"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0,32</w:t>
            </w:r>
          </w:p>
        </w:tc>
        <w:tc>
          <w:tcPr>
            <w:tcW w:w="733" w:type="dxa"/>
            <w:tcBorders>
              <w:top w:val="nil"/>
              <w:left w:val="nil"/>
              <w:bottom w:val="single" w:sz="4" w:space="0" w:color="auto"/>
              <w:right w:val="single" w:sz="4" w:space="0" w:color="auto"/>
            </w:tcBorders>
            <w:shd w:val="clear" w:color="auto" w:fill="auto"/>
            <w:noWrap/>
            <w:vAlign w:val="bottom"/>
            <w:hideMark/>
          </w:tcPr>
          <w:p w14:paraId="6C2A0F03"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0,81</w:t>
            </w:r>
          </w:p>
        </w:tc>
        <w:tc>
          <w:tcPr>
            <w:tcW w:w="733" w:type="dxa"/>
            <w:tcBorders>
              <w:top w:val="nil"/>
              <w:left w:val="nil"/>
              <w:bottom w:val="single" w:sz="4" w:space="0" w:color="auto"/>
              <w:right w:val="single" w:sz="4" w:space="0" w:color="auto"/>
            </w:tcBorders>
            <w:shd w:val="clear" w:color="auto" w:fill="auto"/>
            <w:noWrap/>
            <w:vAlign w:val="bottom"/>
            <w:hideMark/>
          </w:tcPr>
          <w:p w14:paraId="248EDF07"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7,03</w:t>
            </w:r>
          </w:p>
        </w:tc>
        <w:tc>
          <w:tcPr>
            <w:tcW w:w="766" w:type="dxa"/>
            <w:tcBorders>
              <w:top w:val="nil"/>
              <w:left w:val="nil"/>
              <w:bottom w:val="single" w:sz="4" w:space="0" w:color="auto"/>
              <w:right w:val="single" w:sz="4" w:space="0" w:color="auto"/>
            </w:tcBorders>
            <w:shd w:val="clear" w:color="auto" w:fill="auto"/>
            <w:noWrap/>
            <w:vAlign w:val="bottom"/>
            <w:hideMark/>
          </w:tcPr>
          <w:p w14:paraId="180EC99D"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21,95</w:t>
            </w:r>
          </w:p>
        </w:tc>
      </w:tr>
      <w:tr w:rsidR="00D00859" w:rsidRPr="00011EB5" w14:paraId="4ED7F0FB"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2155C32E" w14:textId="77777777" w:rsidR="00D00859" w:rsidRPr="00F53335" w:rsidRDefault="00D00859" w:rsidP="0004087B">
            <w:pPr>
              <w:spacing w:after="0" w:line="360" w:lineRule="auto"/>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Greitasis likvidumas</w:t>
            </w:r>
          </w:p>
        </w:tc>
        <w:tc>
          <w:tcPr>
            <w:tcW w:w="733" w:type="dxa"/>
            <w:tcBorders>
              <w:top w:val="nil"/>
              <w:left w:val="nil"/>
              <w:bottom w:val="single" w:sz="4" w:space="0" w:color="auto"/>
              <w:right w:val="single" w:sz="4" w:space="0" w:color="auto"/>
            </w:tcBorders>
            <w:shd w:val="clear" w:color="auto" w:fill="auto"/>
            <w:noWrap/>
            <w:vAlign w:val="bottom"/>
            <w:hideMark/>
          </w:tcPr>
          <w:p w14:paraId="722D848A"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0,45</w:t>
            </w:r>
          </w:p>
        </w:tc>
        <w:tc>
          <w:tcPr>
            <w:tcW w:w="733" w:type="dxa"/>
            <w:tcBorders>
              <w:top w:val="nil"/>
              <w:left w:val="nil"/>
              <w:bottom w:val="single" w:sz="4" w:space="0" w:color="auto"/>
              <w:right w:val="single" w:sz="4" w:space="0" w:color="auto"/>
            </w:tcBorders>
            <w:shd w:val="clear" w:color="auto" w:fill="auto"/>
            <w:noWrap/>
            <w:vAlign w:val="bottom"/>
            <w:hideMark/>
          </w:tcPr>
          <w:p w14:paraId="57429140"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0,32</w:t>
            </w:r>
          </w:p>
        </w:tc>
        <w:tc>
          <w:tcPr>
            <w:tcW w:w="733" w:type="dxa"/>
            <w:tcBorders>
              <w:top w:val="nil"/>
              <w:left w:val="nil"/>
              <w:bottom w:val="single" w:sz="4" w:space="0" w:color="auto"/>
              <w:right w:val="single" w:sz="4" w:space="0" w:color="auto"/>
            </w:tcBorders>
            <w:shd w:val="clear" w:color="auto" w:fill="auto"/>
            <w:noWrap/>
            <w:vAlign w:val="bottom"/>
            <w:hideMark/>
          </w:tcPr>
          <w:p w14:paraId="2FCB2C7A"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0,81</w:t>
            </w:r>
          </w:p>
        </w:tc>
        <w:tc>
          <w:tcPr>
            <w:tcW w:w="733" w:type="dxa"/>
            <w:tcBorders>
              <w:top w:val="nil"/>
              <w:left w:val="nil"/>
              <w:bottom w:val="single" w:sz="4" w:space="0" w:color="auto"/>
              <w:right w:val="single" w:sz="4" w:space="0" w:color="auto"/>
            </w:tcBorders>
            <w:shd w:val="clear" w:color="auto" w:fill="auto"/>
            <w:noWrap/>
            <w:vAlign w:val="bottom"/>
            <w:hideMark/>
          </w:tcPr>
          <w:p w14:paraId="20761133"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7,03</w:t>
            </w:r>
          </w:p>
        </w:tc>
        <w:tc>
          <w:tcPr>
            <w:tcW w:w="766" w:type="dxa"/>
            <w:tcBorders>
              <w:top w:val="nil"/>
              <w:left w:val="nil"/>
              <w:bottom w:val="single" w:sz="4" w:space="0" w:color="auto"/>
              <w:right w:val="single" w:sz="4" w:space="0" w:color="auto"/>
            </w:tcBorders>
            <w:shd w:val="clear" w:color="auto" w:fill="auto"/>
            <w:noWrap/>
            <w:vAlign w:val="bottom"/>
            <w:hideMark/>
          </w:tcPr>
          <w:p w14:paraId="6C7E92F0"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21,95</w:t>
            </w:r>
          </w:p>
        </w:tc>
      </w:tr>
      <w:tr w:rsidR="00D00859" w:rsidRPr="00011EB5" w14:paraId="79B01851"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4D44A752" w14:textId="77777777" w:rsidR="00D00859" w:rsidRPr="00F53335" w:rsidRDefault="00D00859" w:rsidP="0004087B">
            <w:pPr>
              <w:spacing w:after="0" w:line="360" w:lineRule="auto"/>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Kritinis likvidumas</w:t>
            </w:r>
          </w:p>
        </w:tc>
        <w:tc>
          <w:tcPr>
            <w:tcW w:w="733" w:type="dxa"/>
            <w:tcBorders>
              <w:top w:val="nil"/>
              <w:left w:val="nil"/>
              <w:bottom w:val="single" w:sz="4" w:space="0" w:color="auto"/>
              <w:right w:val="single" w:sz="4" w:space="0" w:color="auto"/>
            </w:tcBorders>
            <w:shd w:val="clear" w:color="auto" w:fill="auto"/>
            <w:noWrap/>
            <w:vAlign w:val="bottom"/>
            <w:hideMark/>
          </w:tcPr>
          <w:p w14:paraId="5DD3E255"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0,00</w:t>
            </w:r>
          </w:p>
        </w:tc>
        <w:tc>
          <w:tcPr>
            <w:tcW w:w="733" w:type="dxa"/>
            <w:tcBorders>
              <w:top w:val="nil"/>
              <w:left w:val="nil"/>
              <w:bottom w:val="single" w:sz="4" w:space="0" w:color="auto"/>
              <w:right w:val="single" w:sz="4" w:space="0" w:color="auto"/>
            </w:tcBorders>
            <w:shd w:val="clear" w:color="auto" w:fill="auto"/>
            <w:noWrap/>
            <w:vAlign w:val="bottom"/>
            <w:hideMark/>
          </w:tcPr>
          <w:p w14:paraId="249EC626"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0,00</w:t>
            </w:r>
          </w:p>
        </w:tc>
        <w:tc>
          <w:tcPr>
            <w:tcW w:w="733" w:type="dxa"/>
            <w:tcBorders>
              <w:top w:val="nil"/>
              <w:left w:val="nil"/>
              <w:bottom w:val="single" w:sz="4" w:space="0" w:color="auto"/>
              <w:right w:val="single" w:sz="4" w:space="0" w:color="auto"/>
            </w:tcBorders>
            <w:shd w:val="clear" w:color="auto" w:fill="auto"/>
            <w:noWrap/>
            <w:vAlign w:val="bottom"/>
            <w:hideMark/>
          </w:tcPr>
          <w:p w14:paraId="7A246F86"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0,00</w:t>
            </w:r>
          </w:p>
        </w:tc>
        <w:tc>
          <w:tcPr>
            <w:tcW w:w="733" w:type="dxa"/>
            <w:tcBorders>
              <w:top w:val="nil"/>
              <w:left w:val="nil"/>
              <w:bottom w:val="single" w:sz="4" w:space="0" w:color="auto"/>
              <w:right w:val="single" w:sz="4" w:space="0" w:color="auto"/>
            </w:tcBorders>
            <w:shd w:val="clear" w:color="auto" w:fill="auto"/>
            <w:noWrap/>
            <w:vAlign w:val="bottom"/>
            <w:hideMark/>
          </w:tcPr>
          <w:p w14:paraId="62D77212"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0,31</w:t>
            </w:r>
          </w:p>
        </w:tc>
        <w:tc>
          <w:tcPr>
            <w:tcW w:w="766" w:type="dxa"/>
            <w:tcBorders>
              <w:top w:val="nil"/>
              <w:left w:val="nil"/>
              <w:bottom w:val="single" w:sz="4" w:space="0" w:color="auto"/>
              <w:right w:val="single" w:sz="4" w:space="0" w:color="auto"/>
            </w:tcBorders>
            <w:shd w:val="clear" w:color="auto" w:fill="auto"/>
            <w:noWrap/>
            <w:vAlign w:val="bottom"/>
            <w:hideMark/>
          </w:tcPr>
          <w:p w14:paraId="7E400942"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2,9</w:t>
            </w:r>
          </w:p>
        </w:tc>
      </w:tr>
      <w:tr w:rsidR="00D00859" w:rsidRPr="00011EB5" w14:paraId="73825F10"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73A1D8A1" w14:textId="77777777" w:rsidR="00D00859" w:rsidRPr="00F53335" w:rsidRDefault="00D00859" w:rsidP="0004087B">
            <w:pPr>
              <w:spacing w:after="0" w:line="360" w:lineRule="auto"/>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Tr. Į. apmokėjimo pinigais koeficientas</w:t>
            </w:r>
          </w:p>
        </w:tc>
        <w:tc>
          <w:tcPr>
            <w:tcW w:w="733" w:type="dxa"/>
            <w:tcBorders>
              <w:top w:val="nil"/>
              <w:left w:val="nil"/>
              <w:bottom w:val="single" w:sz="4" w:space="0" w:color="auto"/>
              <w:right w:val="single" w:sz="4" w:space="0" w:color="auto"/>
            </w:tcBorders>
            <w:shd w:val="clear" w:color="auto" w:fill="auto"/>
            <w:noWrap/>
            <w:vAlign w:val="bottom"/>
            <w:hideMark/>
          </w:tcPr>
          <w:p w14:paraId="23008669"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-0,43</w:t>
            </w:r>
          </w:p>
        </w:tc>
        <w:tc>
          <w:tcPr>
            <w:tcW w:w="733" w:type="dxa"/>
            <w:tcBorders>
              <w:top w:val="nil"/>
              <w:left w:val="nil"/>
              <w:bottom w:val="single" w:sz="4" w:space="0" w:color="auto"/>
              <w:right w:val="single" w:sz="4" w:space="0" w:color="auto"/>
            </w:tcBorders>
            <w:shd w:val="clear" w:color="auto" w:fill="auto"/>
            <w:noWrap/>
            <w:vAlign w:val="bottom"/>
            <w:hideMark/>
          </w:tcPr>
          <w:p w14:paraId="66312F9A"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-0,02</w:t>
            </w:r>
          </w:p>
        </w:tc>
        <w:tc>
          <w:tcPr>
            <w:tcW w:w="733" w:type="dxa"/>
            <w:tcBorders>
              <w:top w:val="nil"/>
              <w:left w:val="nil"/>
              <w:bottom w:val="single" w:sz="4" w:space="0" w:color="auto"/>
              <w:right w:val="single" w:sz="4" w:space="0" w:color="auto"/>
            </w:tcBorders>
            <w:shd w:val="clear" w:color="auto" w:fill="auto"/>
            <w:noWrap/>
            <w:vAlign w:val="bottom"/>
            <w:hideMark/>
          </w:tcPr>
          <w:p w14:paraId="07FC0F66"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-0,03</w:t>
            </w:r>
          </w:p>
        </w:tc>
        <w:tc>
          <w:tcPr>
            <w:tcW w:w="733" w:type="dxa"/>
            <w:tcBorders>
              <w:top w:val="nil"/>
              <w:left w:val="nil"/>
              <w:bottom w:val="single" w:sz="4" w:space="0" w:color="auto"/>
              <w:right w:val="single" w:sz="4" w:space="0" w:color="auto"/>
            </w:tcBorders>
            <w:shd w:val="clear" w:color="auto" w:fill="auto"/>
            <w:noWrap/>
            <w:vAlign w:val="bottom"/>
            <w:hideMark/>
          </w:tcPr>
          <w:p w14:paraId="6BE77778"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-0,12</w:t>
            </w:r>
          </w:p>
        </w:tc>
        <w:tc>
          <w:tcPr>
            <w:tcW w:w="766" w:type="dxa"/>
            <w:tcBorders>
              <w:top w:val="nil"/>
              <w:left w:val="nil"/>
              <w:bottom w:val="single" w:sz="4" w:space="0" w:color="auto"/>
              <w:right w:val="single" w:sz="4" w:space="0" w:color="auto"/>
            </w:tcBorders>
            <w:shd w:val="clear" w:color="auto" w:fill="auto"/>
            <w:noWrap/>
            <w:vAlign w:val="bottom"/>
            <w:hideMark/>
          </w:tcPr>
          <w:p w14:paraId="29DF385F" w14:textId="77777777" w:rsidR="00D00859" w:rsidRPr="00F53335" w:rsidRDefault="00D00859" w:rsidP="0004087B">
            <w:pPr>
              <w:spacing w:after="0" w:line="360" w:lineRule="auto"/>
              <w:jc w:val="right"/>
              <w:rPr>
                <w:rFonts w:ascii="Times New Roman" w:eastAsia="Times New Roman" w:hAnsi="Times New Roman" w:cs="Times New Roman"/>
                <w:color w:val="000000"/>
                <w:sz w:val="20"/>
                <w:szCs w:val="20"/>
                <w:lang w:eastAsia="lt-LT"/>
              </w:rPr>
            </w:pPr>
            <w:r w:rsidRPr="00F53335">
              <w:rPr>
                <w:rFonts w:ascii="Times New Roman" w:eastAsia="Times New Roman" w:hAnsi="Times New Roman" w:cs="Times New Roman"/>
                <w:color w:val="000000"/>
                <w:sz w:val="20"/>
                <w:szCs w:val="20"/>
                <w:lang w:eastAsia="lt-LT"/>
              </w:rPr>
              <w:t>-0,44</w:t>
            </w:r>
          </w:p>
        </w:tc>
      </w:tr>
    </w:tbl>
    <w:p w14:paraId="6B85DEBF" w14:textId="77777777" w:rsidR="00D00859" w:rsidRDefault="00D00859" w:rsidP="0004087B">
      <w:pPr>
        <w:spacing w:after="0" w:line="360" w:lineRule="auto"/>
        <w:ind w:firstLine="567"/>
        <w:jc w:val="both"/>
        <w:rPr>
          <w:rFonts w:ascii="Times New Roman" w:hAnsi="Times New Roman" w:cs="Times New Roman"/>
          <w:sz w:val="24"/>
          <w:szCs w:val="24"/>
        </w:rPr>
      </w:pPr>
    </w:p>
    <w:p w14:paraId="09BF41FF" w14:textId="77777777" w:rsidR="00D00859" w:rsidRDefault="00D00859" w:rsidP="0004087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AB „Invalda“ </w:t>
      </w:r>
      <w:r w:rsidR="001F7BD2">
        <w:rPr>
          <w:rFonts w:ascii="Times New Roman" w:hAnsi="Times New Roman" w:cs="Times New Roman"/>
          <w:sz w:val="24"/>
          <w:szCs w:val="24"/>
        </w:rPr>
        <w:t xml:space="preserve">yra </w:t>
      </w:r>
      <w:r>
        <w:rPr>
          <w:rFonts w:ascii="Times New Roman" w:hAnsi="Times New Roman" w:cs="Times New Roman"/>
          <w:sz w:val="24"/>
          <w:szCs w:val="24"/>
        </w:rPr>
        <w:t xml:space="preserve">dar viena įmonė, kurios tradiciniai rodikliai rodo skirtingą perspektyvą lyginant su rodikliu paremtu pinigų srautais. </w:t>
      </w:r>
    </w:p>
    <w:p w14:paraId="095389D0" w14:textId="77777777" w:rsidR="00D00859" w:rsidRDefault="00D00859" w:rsidP="0004087B">
      <w:pPr>
        <w:spacing w:after="0" w:line="360" w:lineRule="auto"/>
        <w:jc w:val="both"/>
        <w:rPr>
          <w:rFonts w:ascii="Times New Roman" w:hAnsi="Times New Roman" w:cs="Times New Roman"/>
          <w:sz w:val="24"/>
          <w:szCs w:val="24"/>
        </w:rPr>
      </w:pPr>
    </w:p>
    <w:p w14:paraId="64DAB08D" w14:textId="77777777" w:rsidR="00D00859" w:rsidRDefault="00D00859" w:rsidP="0004087B">
      <w:pPr>
        <w:spacing w:after="0" w:line="360" w:lineRule="auto"/>
        <w:jc w:val="both"/>
        <w:rPr>
          <w:rFonts w:ascii="Times New Roman" w:hAnsi="Times New Roman" w:cs="Times New Roman"/>
          <w:b/>
          <w:sz w:val="24"/>
          <w:szCs w:val="24"/>
        </w:rPr>
      </w:pPr>
      <w:r w:rsidRPr="007A6CE9">
        <w:rPr>
          <w:rFonts w:ascii="Times New Roman" w:hAnsi="Times New Roman" w:cs="Times New Roman"/>
          <w:b/>
          <w:sz w:val="24"/>
          <w:szCs w:val="24"/>
        </w:rPr>
        <w:t xml:space="preserve">AB „Kauno energija“ </w:t>
      </w:r>
    </w:p>
    <w:p w14:paraId="34B3EFB5" w14:textId="77777777" w:rsidR="00D00859" w:rsidRDefault="00D00859" w:rsidP="001F7BD2">
      <w:pPr>
        <w:spacing w:after="0" w:line="360" w:lineRule="auto"/>
        <w:ind w:firstLine="567"/>
        <w:jc w:val="both"/>
        <w:rPr>
          <w:rFonts w:ascii="Times New Roman" w:hAnsi="Times New Roman" w:cs="Times New Roman"/>
          <w:sz w:val="24"/>
          <w:szCs w:val="24"/>
        </w:rPr>
      </w:pPr>
      <w:r w:rsidRPr="00CC1B71">
        <w:rPr>
          <w:rFonts w:ascii="Times New Roman" w:hAnsi="Times New Roman" w:cs="Times New Roman"/>
          <w:sz w:val="24"/>
          <w:szCs w:val="24"/>
        </w:rPr>
        <w:t>Įmonės</w:t>
      </w:r>
      <w:r>
        <w:rPr>
          <w:rFonts w:ascii="Times New Roman" w:hAnsi="Times New Roman" w:cs="Times New Roman"/>
          <w:sz w:val="24"/>
          <w:szCs w:val="24"/>
        </w:rPr>
        <w:t xml:space="preserve"> likvidumo dinamiką atspindi 1</w:t>
      </w:r>
      <w:r w:rsidR="001F7BD2">
        <w:rPr>
          <w:rFonts w:ascii="Times New Roman" w:hAnsi="Times New Roman" w:cs="Times New Roman"/>
          <w:sz w:val="24"/>
          <w:szCs w:val="24"/>
        </w:rPr>
        <w:t>3</w:t>
      </w:r>
      <w:r>
        <w:rPr>
          <w:rFonts w:ascii="Times New Roman" w:hAnsi="Times New Roman" w:cs="Times New Roman"/>
          <w:sz w:val="24"/>
          <w:szCs w:val="24"/>
        </w:rPr>
        <w:t xml:space="preserve"> paveikslas. Bendrojo, greitojo ir kritinio likvidumo rodikliai nagrinėjamu laikotarpiu svyravo neženkliai. Jeigu kritinis likvidumas turėjo tendenciją didėti, tai bendrojo ir greitojo likvidumo rodikliai</w:t>
      </w:r>
      <w:r w:rsidR="001F7BD2">
        <w:rPr>
          <w:rFonts w:ascii="Times New Roman" w:hAnsi="Times New Roman" w:cs="Times New Roman"/>
          <w:sz w:val="24"/>
          <w:szCs w:val="24"/>
        </w:rPr>
        <w:t>,</w:t>
      </w:r>
      <w:r>
        <w:rPr>
          <w:rFonts w:ascii="Times New Roman" w:hAnsi="Times New Roman" w:cs="Times New Roman"/>
          <w:sz w:val="24"/>
          <w:szCs w:val="24"/>
        </w:rPr>
        <w:t xml:space="preserve"> lyginant nagrinėjamo laikotarpio pradžią 2008 m. ir pabaigą 2012 m., išliko praktiškai nepakitę, </w:t>
      </w:r>
      <w:r w:rsidR="001F7BD2">
        <w:rPr>
          <w:rFonts w:ascii="Times New Roman" w:hAnsi="Times New Roman" w:cs="Times New Roman"/>
          <w:sz w:val="24"/>
          <w:szCs w:val="24"/>
        </w:rPr>
        <w:t>t. y.</w:t>
      </w:r>
      <w:r>
        <w:rPr>
          <w:rFonts w:ascii="Times New Roman" w:hAnsi="Times New Roman" w:cs="Times New Roman"/>
          <w:sz w:val="24"/>
          <w:szCs w:val="24"/>
        </w:rPr>
        <w:t xml:space="preserve"> bendrojo likvidumo koeficientas sumažėjo 0,05, greitojo likvidumo koeficientas sumažėjo 0,02. </w:t>
      </w:r>
    </w:p>
    <w:p w14:paraId="75FFCE77" w14:textId="77777777" w:rsidR="001F7BD2" w:rsidRDefault="001F7BD2" w:rsidP="001F7BD2">
      <w:pPr>
        <w:spacing w:after="0" w:line="360" w:lineRule="auto"/>
        <w:ind w:firstLine="567"/>
        <w:jc w:val="both"/>
        <w:rPr>
          <w:rFonts w:ascii="Times New Roman" w:hAnsi="Times New Roman" w:cs="Times New Roman"/>
          <w:sz w:val="24"/>
          <w:szCs w:val="24"/>
        </w:rPr>
      </w:pPr>
    </w:p>
    <w:p w14:paraId="71A091A8" w14:textId="77777777" w:rsidR="00D00859" w:rsidRDefault="00D00859" w:rsidP="001F7BD2">
      <w:pPr>
        <w:spacing w:after="0"/>
        <w:ind w:firstLine="567"/>
        <w:jc w:val="center"/>
        <w:rPr>
          <w:rFonts w:ascii="Times New Roman" w:hAnsi="Times New Roman" w:cs="Times New Roman"/>
          <w:sz w:val="24"/>
          <w:szCs w:val="24"/>
        </w:rPr>
      </w:pPr>
      <w:r w:rsidRPr="00E33D28">
        <w:rPr>
          <w:rFonts w:ascii="Times New Roman" w:hAnsi="Times New Roman" w:cs="Times New Roman"/>
          <w:noProof/>
          <w:sz w:val="24"/>
          <w:szCs w:val="24"/>
          <w:lang w:val="en-US"/>
        </w:rPr>
        <w:drawing>
          <wp:inline distT="0" distB="0" distL="0" distR="0" wp14:anchorId="53EF9061" wp14:editId="2882B34E">
            <wp:extent cx="4576431" cy="2126512"/>
            <wp:effectExtent l="0" t="0" r="0" b="762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800BF8F" w14:textId="77777777" w:rsidR="00846558" w:rsidRPr="007F2B73" w:rsidRDefault="00FD03B1" w:rsidP="007F2B73">
      <w:pPr>
        <w:pStyle w:val="Caption"/>
        <w:rPr>
          <w:szCs w:val="24"/>
        </w:rPr>
      </w:pPr>
      <w:bookmarkStart w:id="86" w:name="_Toc227593869"/>
      <w:bookmarkStart w:id="87" w:name="_Toc227594510"/>
      <w:r w:rsidRPr="007F2B73">
        <w:rPr>
          <w:szCs w:val="24"/>
        </w:rPr>
        <w:t>13</w:t>
      </w:r>
      <w:r w:rsidR="00846558" w:rsidRPr="007F2B73">
        <w:rPr>
          <w:szCs w:val="24"/>
        </w:rPr>
        <w:t xml:space="preserve"> pav. </w:t>
      </w:r>
      <w:r w:rsidR="001F7BD2" w:rsidRPr="007F2B73">
        <w:rPr>
          <w:szCs w:val="24"/>
        </w:rPr>
        <w:t>AB „Kauno energija“</w:t>
      </w:r>
      <w:r w:rsidR="00846558" w:rsidRPr="007F2B73">
        <w:rPr>
          <w:szCs w:val="24"/>
        </w:rPr>
        <w:t xml:space="preserve"> likvidumo rodiklių dinamika 2008-2012 m.</w:t>
      </w:r>
      <w:bookmarkEnd w:id="86"/>
      <w:bookmarkEnd w:id="87"/>
    </w:p>
    <w:p w14:paraId="0FC1AF96" w14:textId="77777777" w:rsidR="001F7BD2" w:rsidRDefault="001F7BD2" w:rsidP="001F7BD2">
      <w:pPr>
        <w:spacing w:after="0"/>
        <w:ind w:firstLine="567"/>
        <w:jc w:val="center"/>
        <w:rPr>
          <w:rFonts w:ascii="Times New Roman" w:hAnsi="Times New Roman" w:cs="Times New Roman"/>
          <w:sz w:val="24"/>
          <w:szCs w:val="24"/>
        </w:rPr>
      </w:pPr>
    </w:p>
    <w:p w14:paraId="1479D0C8" w14:textId="77777777" w:rsidR="00D00859" w:rsidRPr="00CC1B71" w:rsidRDefault="00D00859" w:rsidP="001F7B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Trumpalaikių įsipareigojimų padengimo pinigais koeficientas nuo 2008 m. iki 2010 m. augo neženkliai. Bendras pokytis per dvejus metus siekė 0,08. Tuo tarpu 2011 m. rodiklio reikšmė stipriai išaugo ir 2012 m. dar stipriau nukrito. </w:t>
      </w:r>
    </w:p>
    <w:p w14:paraId="204B407B" w14:textId="77777777" w:rsidR="00D00859" w:rsidRDefault="00D00859" w:rsidP="001F7B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2008-2012 m. laikotarpiu įmonės likvidumas išliko stabilus ir pagal tai galima daryti prielaidą, kad artimiausioje perspektyvoje didelių pokyčių neturėtų būti.</w:t>
      </w:r>
    </w:p>
    <w:p w14:paraId="01F56E87" w14:textId="77777777" w:rsidR="00D00859" w:rsidRDefault="00D00859" w:rsidP="001F7BD2">
      <w:pPr>
        <w:spacing w:after="0" w:line="360" w:lineRule="auto"/>
        <w:ind w:firstLine="567"/>
        <w:jc w:val="both"/>
        <w:rPr>
          <w:rFonts w:ascii="Times New Roman" w:hAnsi="Times New Roman" w:cs="Times New Roman"/>
          <w:sz w:val="24"/>
          <w:szCs w:val="24"/>
        </w:rPr>
      </w:pPr>
    </w:p>
    <w:p w14:paraId="25F02407" w14:textId="77777777" w:rsidR="007F2B73" w:rsidRDefault="007F2B73" w:rsidP="001F7BD2">
      <w:pPr>
        <w:spacing w:after="0" w:line="360" w:lineRule="auto"/>
        <w:jc w:val="both"/>
        <w:rPr>
          <w:rFonts w:ascii="Times New Roman" w:hAnsi="Times New Roman" w:cs="Times New Roman"/>
          <w:b/>
          <w:sz w:val="24"/>
          <w:szCs w:val="24"/>
        </w:rPr>
      </w:pPr>
    </w:p>
    <w:p w14:paraId="08A2F6DD" w14:textId="77777777" w:rsidR="00D00859" w:rsidRDefault="00D00859" w:rsidP="001F7BD2">
      <w:pPr>
        <w:spacing w:after="0" w:line="360" w:lineRule="auto"/>
        <w:jc w:val="both"/>
        <w:rPr>
          <w:rFonts w:ascii="Times New Roman" w:hAnsi="Times New Roman" w:cs="Times New Roman"/>
          <w:b/>
          <w:sz w:val="24"/>
          <w:szCs w:val="24"/>
        </w:rPr>
      </w:pPr>
      <w:r w:rsidRPr="00D72076">
        <w:rPr>
          <w:rFonts w:ascii="Times New Roman" w:hAnsi="Times New Roman" w:cs="Times New Roman"/>
          <w:b/>
          <w:sz w:val="24"/>
          <w:szCs w:val="24"/>
        </w:rPr>
        <w:t>AB „Klaipėdos baldai“</w:t>
      </w:r>
    </w:p>
    <w:p w14:paraId="6EE53959" w14:textId="77777777" w:rsidR="00D00859" w:rsidRDefault="00D00859" w:rsidP="001F7B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Šios įmonės likvidumo kitimą atspindi 1</w:t>
      </w:r>
      <w:r w:rsidR="001F7BD2">
        <w:rPr>
          <w:rFonts w:ascii="Times New Roman" w:hAnsi="Times New Roman" w:cs="Times New Roman"/>
          <w:sz w:val="24"/>
          <w:szCs w:val="24"/>
        </w:rPr>
        <w:t>4</w:t>
      </w:r>
      <w:r>
        <w:rPr>
          <w:rFonts w:ascii="Times New Roman" w:hAnsi="Times New Roman" w:cs="Times New Roman"/>
          <w:sz w:val="24"/>
          <w:szCs w:val="24"/>
        </w:rPr>
        <w:t xml:space="preserve"> paveikslas. Vertinant bendrojo ir greitojo likvidumo rodiklių dinamiką</w:t>
      </w:r>
      <w:r w:rsidR="001F7BD2">
        <w:rPr>
          <w:rFonts w:ascii="Times New Roman" w:hAnsi="Times New Roman" w:cs="Times New Roman"/>
          <w:sz w:val="24"/>
          <w:szCs w:val="24"/>
        </w:rPr>
        <w:t>,</w:t>
      </w:r>
      <w:r>
        <w:rPr>
          <w:rFonts w:ascii="Times New Roman" w:hAnsi="Times New Roman" w:cs="Times New Roman"/>
          <w:sz w:val="24"/>
          <w:szCs w:val="24"/>
        </w:rPr>
        <w:t xml:space="preserve"> galima įžve</w:t>
      </w:r>
      <w:r w:rsidR="001F7BD2">
        <w:rPr>
          <w:rFonts w:ascii="Times New Roman" w:hAnsi="Times New Roman" w:cs="Times New Roman"/>
          <w:sz w:val="24"/>
          <w:szCs w:val="24"/>
        </w:rPr>
        <w:t>l</w:t>
      </w:r>
      <w:r>
        <w:rPr>
          <w:rFonts w:ascii="Times New Roman" w:hAnsi="Times New Roman" w:cs="Times New Roman"/>
          <w:sz w:val="24"/>
          <w:szCs w:val="24"/>
        </w:rPr>
        <w:t>gti piramidę, kurios viršūnė buvo 2008 m. Šiais metais minėtieji rodikliai pasiekė didžiausias reikšmes ir tuomet sekė staigus šuolis į apačią. Tiesa, atkreiptinas dėmesys, jog įmonės bendrojo ir greitojo likvidumo rodiklių reikšmės visą nagrinėjamą laikotarpį buvo aukštos.</w:t>
      </w:r>
    </w:p>
    <w:p w14:paraId="6AD60CF5" w14:textId="77777777" w:rsidR="001F7BD2" w:rsidRDefault="001F7BD2" w:rsidP="001F7BD2">
      <w:pPr>
        <w:spacing w:after="0" w:line="360" w:lineRule="auto"/>
        <w:ind w:firstLine="567"/>
        <w:jc w:val="both"/>
        <w:rPr>
          <w:rFonts w:ascii="Times New Roman" w:hAnsi="Times New Roman" w:cs="Times New Roman"/>
          <w:sz w:val="24"/>
          <w:szCs w:val="24"/>
        </w:rPr>
      </w:pPr>
    </w:p>
    <w:p w14:paraId="30BBF623" w14:textId="77777777" w:rsidR="00D00859" w:rsidRDefault="00D00859" w:rsidP="001F7BD2">
      <w:pPr>
        <w:spacing w:after="0"/>
        <w:ind w:firstLine="567"/>
        <w:jc w:val="center"/>
        <w:rPr>
          <w:rFonts w:ascii="Times New Roman" w:hAnsi="Times New Roman" w:cs="Times New Roman"/>
          <w:sz w:val="24"/>
          <w:szCs w:val="24"/>
        </w:rPr>
      </w:pPr>
      <w:r w:rsidRPr="00627BDA">
        <w:rPr>
          <w:rFonts w:ascii="Times New Roman" w:hAnsi="Times New Roman" w:cs="Times New Roman"/>
          <w:noProof/>
          <w:sz w:val="24"/>
          <w:szCs w:val="24"/>
          <w:lang w:val="en-US"/>
        </w:rPr>
        <w:drawing>
          <wp:inline distT="0" distB="0" distL="0" distR="0" wp14:anchorId="3925778D" wp14:editId="6D68293F">
            <wp:extent cx="4860000" cy="1980000"/>
            <wp:effectExtent l="0" t="0" r="0" b="127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5DE5C2E" w14:textId="77777777" w:rsidR="00846558" w:rsidRPr="007F2B73" w:rsidRDefault="00FD03B1" w:rsidP="007F2B73">
      <w:pPr>
        <w:pStyle w:val="Caption"/>
        <w:rPr>
          <w:szCs w:val="24"/>
        </w:rPr>
      </w:pPr>
      <w:bookmarkStart w:id="88" w:name="_Toc227593870"/>
      <w:bookmarkStart w:id="89" w:name="_Toc227594511"/>
      <w:r w:rsidRPr="007F2B73">
        <w:rPr>
          <w:szCs w:val="24"/>
        </w:rPr>
        <w:t>14</w:t>
      </w:r>
      <w:r w:rsidR="00846558" w:rsidRPr="007F2B73">
        <w:rPr>
          <w:szCs w:val="24"/>
        </w:rPr>
        <w:t xml:space="preserve"> pav. </w:t>
      </w:r>
      <w:r w:rsidR="001F7BD2" w:rsidRPr="007F2B73">
        <w:rPr>
          <w:szCs w:val="24"/>
        </w:rPr>
        <w:t>AB „Klaipėdos baldai“</w:t>
      </w:r>
      <w:r w:rsidR="00846558" w:rsidRPr="007F2B73">
        <w:rPr>
          <w:szCs w:val="24"/>
        </w:rPr>
        <w:t xml:space="preserve"> likvidumo rodiklių dinamika 2008-2012 m.</w:t>
      </w:r>
      <w:bookmarkEnd w:id="88"/>
      <w:bookmarkEnd w:id="89"/>
    </w:p>
    <w:p w14:paraId="2E8324C8" w14:textId="77777777" w:rsidR="001F7BD2" w:rsidRDefault="001F7BD2" w:rsidP="001F7BD2">
      <w:pPr>
        <w:spacing w:after="0"/>
        <w:ind w:firstLine="567"/>
        <w:jc w:val="center"/>
        <w:rPr>
          <w:rFonts w:ascii="Times New Roman" w:hAnsi="Times New Roman" w:cs="Times New Roman"/>
          <w:sz w:val="24"/>
          <w:szCs w:val="24"/>
        </w:rPr>
      </w:pPr>
    </w:p>
    <w:p w14:paraId="7826DED9" w14:textId="77777777" w:rsidR="001F7BD2" w:rsidRPr="00D72076" w:rsidRDefault="001F7BD2" w:rsidP="001F7B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Kritinio likvidumo koeficientas 2008-2012 m. išliko apie 0. Tuo tarpu trumpalaikių įsipareigojimų padengimo koeficientas iki 2011 m. didėjo, o 2012 m. sumažėjo 2,5 karto ir pasiekė 2008 m. lygį. Apibendrinant galima teigti, jog paskutiniais metais įmonės likvidumo rodikliai turėjo tendenciją mažėti, tačiau rodiklių lygis yra geras.</w:t>
      </w:r>
    </w:p>
    <w:p w14:paraId="06403501" w14:textId="77777777" w:rsidR="00D00859" w:rsidRDefault="00D00859" w:rsidP="001F7BD2">
      <w:pPr>
        <w:spacing w:after="0"/>
        <w:jc w:val="both"/>
        <w:rPr>
          <w:rFonts w:ascii="Times New Roman" w:hAnsi="Times New Roman" w:cs="Times New Roman"/>
          <w:b/>
          <w:sz w:val="24"/>
          <w:szCs w:val="24"/>
        </w:rPr>
      </w:pPr>
    </w:p>
    <w:p w14:paraId="683E18BD" w14:textId="77777777" w:rsidR="00D00859" w:rsidRDefault="00D00859" w:rsidP="001F7BD2">
      <w:pPr>
        <w:spacing w:after="0"/>
        <w:jc w:val="both"/>
        <w:rPr>
          <w:rFonts w:ascii="Times New Roman" w:hAnsi="Times New Roman" w:cs="Times New Roman"/>
          <w:b/>
          <w:sz w:val="24"/>
          <w:szCs w:val="24"/>
        </w:rPr>
      </w:pPr>
      <w:r w:rsidRPr="007E627F">
        <w:rPr>
          <w:rFonts w:ascii="Times New Roman" w:hAnsi="Times New Roman" w:cs="Times New Roman"/>
          <w:b/>
          <w:sz w:val="24"/>
          <w:szCs w:val="24"/>
        </w:rPr>
        <w:t>AB „Klaipėdos nafta“</w:t>
      </w:r>
    </w:p>
    <w:p w14:paraId="3147FF66" w14:textId="77777777" w:rsidR="00D00859" w:rsidRDefault="001F7BD2" w:rsidP="001F7BD2">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D00859">
        <w:rPr>
          <w:rFonts w:ascii="Times New Roman" w:hAnsi="Times New Roman" w:cs="Times New Roman"/>
          <w:sz w:val="24"/>
          <w:szCs w:val="24"/>
        </w:rPr>
        <w:t xml:space="preserve"> lentelė atspindi AB „Klaipėdos nafta“ likvidumo rodiklių kitimo tendencijas.</w:t>
      </w:r>
    </w:p>
    <w:p w14:paraId="321DC5BF" w14:textId="77777777" w:rsidR="001F7BD2" w:rsidRDefault="001F7BD2" w:rsidP="007C32DB">
      <w:pPr>
        <w:spacing w:after="0" w:line="360" w:lineRule="auto"/>
        <w:ind w:firstLine="567"/>
        <w:jc w:val="both"/>
        <w:rPr>
          <w:rFonts w:ascii="Times New Roman" w:hAnsi="Times New Roman" w:cs="Times New Roman"/>
          <w:sz w:val="24"/>
          <w:szCs w:val="24"/>
        </w:rPr>
      </w:pPr>
    </w:p>
    <w:p w14:paraId="3B37F41F" w14:textId="77777777" w:rsidR="001F7BD2" w:rsidRPr="009900EC" w:rsidRDefault="001F7BD2" w:rsidP="009900EC">
      <w:pPr>
        <w:pStyle w:val="1ant"/>
        <w:rPr>
          <w:sz w:val="24"/>
          <w:szCs w:val="24"/>
        </w:rPr>
      </w:pPr>
      <w:bookmarkStart w:id="90" w:name="_Toc227595960"/>
      <w:r w:rsidRPr="009900EC">
        <w:rPr>
          <w:sz w:val="24"/>
          <w:szCs w:val="24"/>
        </w:rPr>
        <w:t xml:space="preserve">4 lentelė. </w:t>
      </w:r>
      <w:r w:rsidR="007C32DB" w:rsidRPr="009900EC">
        <w:rPr>
          <w:sz w:val="24"/>
          <w:szCs w:val="24"/>
        </w:rPr>
        <w:t>AB „Klaipėdos nafta“</w:t>
      </w:r>
      <w:r w:rsidRPr="009900EC">
        <w:rPr>
          <w:sz w:val="24"/>
          <w:szCs w:val="24"/>
        </w:rPr>
        <w:t xml:space="preserve"> likvidumo rodiklių dinamika 2008-2012 m.</w:t>
      </w:r>
      <w:bookmarkEnd w:id="90"/>
    </w:p>
    <w:tbl>
      <w:tblPr>
        <w:tblW w:w="7101" w:type="dxa"/>
        <w:jc w:val="center"/>
        <w:tblInd w:w="103" w:type="dxa"/>
        <w:tblLook w:val="04A0" w:firstRow="1" w:lastRow="0" w:firstColumn="1" w:lastColumn="0" w:noHBand="0" w:noVBand="1"/>
      </w:tblPr>
      <w:tblGrid>
        <w:gridCol w:w="3471"/>
        <w:gridCol w:w="716"/>
        <w:gridCol w:w="716"/>
        <w:gridCol w:w="716"/>
        <w:gridCol w:w="766"/>
        <w:gridCol w:w="716"/>
      </w:tblGrid>
      <w:tr w:rsidR="00D00859" w:rsidRPr="00011EB5" w14:paraId="75E25495" w14:textId="77777777" w:rsidTr="00F53335">
        <w:trPr>
          <w:trHeight w:val="300"/>
          <w:jc w:val="center"/>
        </w:trPr>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D2AE4" w14:textId="77777777" w:rsidR="00D00859" w:rsidRPr="00011EB5" w:rsidRDefault="00D00859" w:rsidP="001F7BD2">
            <w:pPr>
              <w:spacing w:after="0" w:line="240" w:lineRule="auto"/>
              <w:rPr>
                <w:rFonts w:ascii="Times New Roman" w:eastAsia="Times New Roman" w:hAnsi="Times New Roman" w:cs="Times New Roman"/>
                <w:b/>
                <w:bCs/>
                <w:color w:val="000000"/>
                <w:sz w:val="20"/>
                <w:szCs w:val="20"/>
                <w:lang w:eastAsia="lt-LT"/>
              </w:rPr>
            </w:pPr>
            <w:r w:rsidRPr="00011EB5">
              <w:rPr>
                <w:rFonts w:ascii="Times New Roman" w:eastAsia="Times New Roman" w:hAnsi="Times New Roman" w:cs="Times New Roman"/>
                <w:b/>
                <w:bCs/>
                <w:color w:val="000000"/>
                <w:sz w:val="20"/>
                <w:szCs w:val="20"/>
                <w:lang w:eastAsia="lt-LT"/>
              </w:rPr>
              <w:t>Rodiklis\Metai</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648360AA"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2008</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1F205312"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2009</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361F8FF0"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2010</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73E1BF14"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2011</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366C5AC0"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2012</w:t>
            </w:r>
          </w:p>
        </w:tc>
      </w:tr>
      <w:tr w:rsidR="00D00859" w:rsidRPr="00011EB5" w14:paraId="226E0288"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6D3DA5C" w14:textId="77777777" w:rsidR="00D00859" w:rsidRPr="00011EB5" w:rsidRDefault="00D00859" w:rsidP="001F7BD2">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Bendrasis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086CA336"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2,16</w:t>
            </w:r>
          </w:p>
        </w:tc>
        <w:tc>
          <w:tcPr>
            <w:tcW w:w="716" w:type="dxa"/>
            <w:tcBorders>
              <w:top w:val="nil"/>
              <w:left w:val="nil"/>
              <w:bottom w:val="single" w:sz="4" w:space="0" w:color="auto"/>
              <w:right w:val="single" w:sz="4" w:space="0" w:color="auto"/>
            </w:tcBorders>
            <w:shd w:val="clear" w:color="auto" w:fill="auto"/>
            <w:noWrap/>
            <w:vAlign w:val="bottom"/>
            <w:hideMark/>
          </w:tcPr>
          <w:p w14:paraId="4ABE1367"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5,71</w:t>
            </w:r>
          </w:p>
        </w:tc>
        <w:tc>
          <w:tcPr>
            <w:tcW w:w="716" w:type="dxa"/>
            <w:tcBorders>
              <w:top w:val="nil"/>
              <w:left w:val="nil"/>
              <w:bottom w:val="single" w:sz="4" w:space="0" w:color="auto"/>
              <w:right w:val="single" w:sz="4" w:space="0" w:color="auto"/>
            </w:tcBorders>
            <w:shd w:val="clear" w:color="auto" w:fill="auto"/>
            <w:noWrap/>
            <w:vAlign w:val="bottom"/>
            <w:hideMark/>
          </w:tcPr>
          <w:p w14:paraId="78FB2683"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8,08</w:t>
            </w:r>
          </w:p>
        </w:tc>
        <w:tc>
          <w:tcPr>
            <w:tcW w:w="766" w:type="dxa"/>
            <w:tcBorders>
              <w:top w:val="nil"/>
              <w:left w:val="nil"/>
              <w:bottom w:val="single" w:sz="4" w:space="0" w:color="auto"/>
              <w:right w:val="single" w:sz="4" w:space="0" w:color="auto"/>
            </w:tcBorders>
            <w:shd w:val="clear" w:color="auto" w:fill="auto"/>
            <w:noWrap/>
            <w:vAlign w:val="bottom"/>
            <w:hideMark/>
          </w:tcPr>
          <w:p w14:paraId="56017676"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12,20</w:t>
            </w:r>
          </w:p>
        </w:tc>
        <w:tc>
          <w:tcPr>
            <w:tcW w:w="716" w:type="dxa"/>
            <w:tcBorders>
              <w:top w:val="nil"/>
              <w:left w:val="nil"/>
              <w:bottom w:val="single" w:sz="4" w:space="0" w:color="auto"/>
              <w:right w:val="single" w:sz="4" w:space="0" w:color="auto"/>
            </w:tcBorders>
            <w:shd w:val="clear" w:color="auto" w:fill="auto"/>
            <w:noWrap/>
            <w:vAlign w:val="bottom"/>
            <w:hideMark/>
          </w:tcPr>
          <w:p w14:paraId="112A64E9"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6,86</w:t>
            </w:r>
          </w:p>
        </w:tc>
      </w:tr>
      <w:tr w:rsidR="00D00859" w:rsidRPr="00011EB5" w14:paraId="5795891B"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7163E49C" w14:textId="77777777" w:rsidR="00D00859" w:rsidRPr="00011EB5" w:rsidRDefault="00D00859" w:rsidP="001F7BD2">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Greitasis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20462045"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1,98</w:t>
            </w:r>
          </w:p>
        </w:tc>
        <w:tc>
          <w:tcPr>
            <w:tcW w:w="716" w:type="dxa"/>
            <w:tcBorders>
              <w:top w:val="nil"/>
              <w:left w:val="nil"/>
              <w:bottom w:val="single" w:sz="4" w:space="0" w:color="auto"/>
              <w:right w:val="single" w:sz="4" w:space="0" w:color="auto"/>
            </w:tcBorders>
            <w:shd w:val="clear" w:color="auto" w:fill="auto"/>
            <w:noWrap/>
            <w:vAlign w:val="bottom"/>
            <w:hideMark/>
          </w:tcPr>
          <w:p w14:paraId="3D50CA9D"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5,36</w:t>
            </w:r>
          </w:p>
        </w:tc>
        <w:tc>
          <w:tcPr>
            <w:tcW w:w="716" w:type="dxa"/>
            <w:tcBorders>
              <w:top w:val="nil"/>
              <w:left w:val="nil"/>
              <w:bottom w:val="single" w:sz="4" w:space="0" w:color="auto"/>
              <w:right w:val="single" w:sz="4" w:space="0" w:color="auto"/>
            </w:tcBorders>
            <w:shd w:val="clear" w:color="auto" w:fill="auto"/>
            <w:noWrap/>
            <w:vAlign w:val="bottom"/>
            <w:hideMark/>
          </w:tcPr>
          <w:p w14:paraId="5F79B0D1"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7,66</w:t>
            </w:r>
          </w:p>
        </w:tc>
        <w:tc>
          <w:tcPr>
            <w:tcW w:w="766" w:type="dxa"/>
            <w:tcBorders>
              <w:top w:val="nil"/>
              <w:left w:val="nil"/>
              <w:bottom w:val="single" w:sz="4" w:space="0" w:color="auto"/>
              <w:right w:val="single" w:sz="4" w:space="0" w:color="auto"/>
            </w:tcBorders>
            <w:shd w:val="clear" w:color="auto" w:fill="auto"/>
            <w:noWrap/>
            <w:vAlign w:val="bottom"/>
            <w:hideMark/>
          </w:tcPr>
          <w:p w14:paraId="5A811C37"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12,04</w:t>
            </w:r>
          </w:p>
        </w:tc>
        <w:tc>
          <w:tcPr>
            <w:tcW w:w="716" w:type="dxa"/>
            <w:tcBorders>
              <w:top w:val="nil"/>
              <w:left w:val="nil"/>
              <w:bottom w:val="single" w:sz="4" w:space="0" w:color="auto"/>
              <w:right w:val="single" w:sz="4" w:space="0" w:color="auto"/>
            </w:tcBorders>
            <w:shd w:val="clear" w:color="auto" w:fill="auto"/>
            <w:noWrap/>
            <w:vAlign w:val="bottom"/>
            <w:hideMark/>
          </w:tcPr>
          <w:p w14:paraId="26243F1A"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6,78</w:t>
            </w:r>
          </w:p>
        </w:tc>
      </w:tr>
      <w:tr w:rsidR="00D00859" w:rsidRPr="00011EB5" w14:paraId="07380E3C"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1EB9C7A6" w14:textId="77777777" w:rsidR="00D00859" w:rsidRPr="00011EB5" w:rsidRDefault="00D00859" w:rsidP="001F7BD2">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Kritinis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582CE1ED"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0,45</w:t>
            </w:r>
          </w:p>
        </w:tc>
        <w:tc>
          <w:tcPr>
            <w:tcW w:w="716" w:type="dxa"/>
            <w:tcBorders>
              <w:top w:val="nil"/>
              <w:left w:val="nil"/>
              <w:bottom w:val="single" w:sz="4" w:space="0" w:color="auto"/>
              <w:right w:val="single" w:sz="4" w:space="0" w:color="auto"/>
            </w:tcBorders>
            <w:shd w:val="clear" w:color="auto" w:fill="auto"/>
            <w:noWrap/>
            <w:vAlign w:val="bottom"/>
            <w:hideMark/>
          </w:tcPr>
          <w:p w14:paraId="4CE42AE5"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4,23</w:t>
            </w:r>
          </w:p>
        </w:tc>
        <w:tc>
          <w:tcPr>
            <w:tcW w:w="716" w:type="dxa"/>
            <w:tcBorders>
              <w:top w:val="nil"/>
              <w:left w:val="nil"/>
              <w:bottom w:val="single" w:sz="4" w:space="0" w:color="auto"/>
              <w:right w:val="single" w:sz="4" w:space="0" w:color="auto"/>
            </w:tcBorders>
            <w:shd w:val="clear" w:color="auto" w:fill="auto"/>
            <w:noWrap/>
            <w:vAlign w:val="bottom"/>
            <w:hideMark/>
          </w:tcPr>
          <w:p w14:paraId="684E7F50"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3,07</w:t>
            </w:r>
          </w:p>
        </w:tc>
        <w:tc>
          <w:tcPr>
            <w:tcW w:w="766" w:type="dxa"/>
            <w:tcBorders>
              <w:top w:val="nil"/>
              <w:left w:val="nil"/>
              <w:bottom w:val="single" w:sz="4" w:space="0" w:color="auto"/>
              <w:right w:val="single" w:sz="4" w:space="0" w:color="auto"/>
            </w:tcBorders>
            <w:shd w:val="clear" w:color="auto" w:fill="auto"/>
            <w:noWrap/>
            <w:vAlign w:val="bottom"/>
            <w:hideMark/>
          </w:tcPr>
          <w:p w14:paraId="2676FE06"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0,94</w:t>
            </w:r>
          </w:p>
        </w:tc>
        <w:tc>
          <w:tcPr>
            <w:tcW w:w="716" w:type="dxa"/>
            <w:tcBorders>
              <w:top w:val="nil"/>
              <w:left w:val="nil"/>
              <w:bottom w:val="single" w:sz="4" w:space="0" w:color="auto"/>
              <w:right w:val="single" w:sz="4" w:space="0" w:color="auto"/>
            </w:tcBorders>
            <w:shd w:val="clear" w:color="auto" w:fill="auto"/>
            <w:noWrap/>
            <w:vAlign w:val="bottom"/>
            <w:hideMark/>
          </w:tcPr>
          <w:p w14:paraId="3DFBFD7A"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4,52</w:t>
            </w:r>
          </w:p>
        </w:tc>
      </w:tr>
      <w:tr w:rsidR="00D00859" w:rsidRPr="00011EB5" w14:paraId="6800507C"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C86D044" w14:textId="77777777" w:rsidR="00D00859" w:rsidRPr="00011EB5" w:rsidRDefault="00D00859" w:rsidP="001F7BD2">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Tr. Į. apmokėjimo pinigais koeficientas</w:t>
            </w:r>
          </w:p>
        </w:tc>
        <w:tc>
          <w:tcPr>
            <w:tcW w:w="716" w:type="dxa"/>
            <w:tcBorders>
              <w:top w:val="nil"/>
              <w:left w:val="nil"/>
              <w:bottom w:val="single" w:sz="4" w:space="0" w:color="auto"/>
              <w:right w:val="single" w:sz="4" w:space="0" w:color="auto"/>
            </w:tcBorders>
            <w:shd w:val="clear" w:color="auto" w:fill="auto"/>
            <w:noWrap/>
            <w:vAlign w:val="bottom"/>
            <w:hideMark/>
          </w:tcPr>
          <w:p w14:paraId="2AF08A96"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2,72</w:t>
            </w:r>
          </w:p>
        </w:tc>
        <w:tc>
          <w:tcPr>
            <w:tcW w:w="716" w:type="dxa"/>
            <w:tcBorders>
              <w:top w:val="nil"/>
              <w:left w:val="nil"/>
              <w:bottom w:val="single" w:sz="4" w:space="0" w:color="auto"/>
              <w:right w:val="single" w:sz="4" w:space="0" w:color="auto"/>
            </w:tcBorders>
            <w:shd w:val="clear" w:color="auto" w:fill="auto"/>
            <w:noWrap/>
            <w:vAlign w:val="bottom"/>
            <w:hideMark/>
          </w:tcPr>
          <w:p w14:paraId="690153B6"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5,91</w:t>
            </w:r>
          </w:p>
        </w:tc>
        <w:tc>
          <w:tcPr>
            <w:tcW w:w="716" w:type="dxa"/>
            <w:tcBorders>
              <w:top w:val="nil"/>
              <w:left w:val="nil"/>
              <w:bottom w:val="single" w:sz="4" w:space="0" w:color="auto"/>
              <w:right w:val="single" w:sz="4" w:space="0" w:color="auto"/>
            </w:tcBorders>
            <w:shd w:val="clear" w:color="auto" w:fill="auto"/>
            <w:noWrap/>
            <w:vAlign w:val="bottom"/>
            <w:hideMark/>
          </w:tcPr>
          <w:p w14:paraId="72F5684C"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6,17</w:t>
            </w:r>
          </w:p>
        </w:tc>
        <w:tc>
          <w:tcPr>
            <w:tcW w:w="766" w:type="dxa"/>
            <w:tcBorders>
              <w:top w:val="nil"/>
              <w:left w:val="nil"/>
              <w:bottom w:val="single" w:sz="4" w:space="0" w:color="auto"/>
              <w:right w:val="single" w:sz="4" w:space="0" w:color="auto"/>
            </w:tcBorders>
            <w:shd w:val="clear" w:color="auto" w:fill="auto"/>
            <w:noWrap/>
            <w:vAlign w:val="bottom"/>
            <w:hideMark/>
          </w:tcPr>
          <w:p w14:paraId="4BAF1D20"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6,37</w:t>
            </w:r>
          </w:p>
        </w:tc>
        <w:tc>
          <w:tcPr>
            <w:tcW w:w="716" w:type="dxa"/>
            <w:tcBorders>
              <w:top w:val="nil"/>
              <w:left w:val="nil"/>
              <w:bottom w:val="single" w:sz="4" w:space="0" w:color="auto"/>
              <w:right w:val="single" w:sz="4" w:space="0" w:color="auto"/>
            </w:tcBorders>
            <w:shd w:val="clear" w:color="auto" w:fill="auto"/>
            <w:noWrap/>
            <w:vAlign w:val="bottom"/>
            <w:hideMark/>
          </w:tcPr>
          <w:p w14:paraId="17FD35A9" w14:textId="77777777" w:rsidR="00D00859" w:rsidRPr="00011EB5" w:rsidRDefault="00D00859" w:rsidP="001F7BD2">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3,59</w:t>
            </w:r>
          </w:p>
        </w:tc>
      </w:tr>
    </w:tbl>
    <w:p w14:paraId="6F1C98CF" w14:textId="77777777" w:rsidR="00D00859" w:rsidRDefault="00D00859" w:rsidP="001F7BD2">
      <w:pPr>
        <w:spacing w:after="0"/>
        <w:ind w:firstLine="567"/>
        <w:jc w:val="both"/>
        <w:rPr>
          <w:rFonts w:ascii="Times New Roman" w:hAnsi="Times New Roman" w:cs="Times New Roman"/>
          <w:sz w:val="24"/>
          <w:szCs w:val="24"/>
        </w:rPr>
      </w:pPr>
    </w:p>
    <w:p w14:paraId="371F2F64" w14:textId="77777777" w:rsidR="00D00859" w:rsidRDefault="00D00859" w:rsidP="0004087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Atkreiptinas dėmesys, kad visą nagrinėjamą laikotarpį įmonė išlaikė aukštus likvidumo koeficientus. Nuo 2008 m. iki 2011 m. augo tiek bendrojo likvidumo, tiek greitojo likvidumo, tiek trumpalaikių įsipareigojimų pinigais rodikliai. 2012 m. visi šie rodikliai sumažėjo beveik dvigubai. Tuo tarpu kritinio likvidumo koeficientas nagrinėjamu laikotarpiu svyravo, tačiau buvo p</w:t>
      </w:r>
      <w:r w:rsidR="007C32DB">
        <w:rPr>
          <w:rFonts w:ascii="Times New Roman" w:hAnsi="Times New Roman" w:cs="Times New Roman"/>
          <w:sz w:val="24"/>
          <w:szCs w:val="24"/>
        </w:rPr>
        <w:t>akankamai aukštas. Ypatingai šis</w:t>
      </w:r>
      <w:r>
        <w:rPr>
          <w:rFonts w:ascii="Times New Roman" w:hAnsi="Times New Roman" w:cs="Times New Roman"/>
          <w:sz w:val="24"/>
          <w:szCs w:val="24"/>
        </w:rPr>
        <w:t xml:space="preserve"> rod</w:t>
      </w:r>
      <w:r w:rsidR="007C32DB">
        <w:rPr>
          <w:rFonts w:ascii="Times New Roman" w:hAnsi="Times New Roman" w:cs="Times New Roman"/>
          <w:sz w:val="24"/>
          <w:szCs w:val="24"/>
        </w:rPr>
        <w:t>iklis</w:t>
      </w:r>
      <w:r>
        <w:rPr>
          <w:rFonts w:ascii="Times New Roman" w:hAnsi="Times New Roman" w:cs="Times New Roman"/>
          <w:sz w:val="24"/>
          <w:szCs w:val="24"/>
        </w:rPr>
        <w:t xml:space="preserve"> išaugo 2009 m. ir 2012 m., kuomet padidėjo atitinkamai 3,78 ir 3,58. </w:t>
      </w:r>
      <w:r>
        <w:rPr>
          <w:rFonts w:ascii="Times New Roman" w:hAnsi="Times New Roman" w:cs="Times New Roman"/>
          <w:sz w:val="24"/>
          <w:szCs w:val="24"/>
        </w:rPr>
        <w:lastRenderedPageBreak/>
        <w:t>Bendrai įmonės likvidumo pozicija yra gera ir artimiausiu metu neturėtų nukristi iki ribos</w:t>
      </w:r>
      <w:r w:rsidR="007C32DB">
        <w:rPr>
          <w:rFonts w:ascii="Times New Roman" w:hAnsi="Times New Roman" w:cs="Times New Roman"/>
          <w:sz w:val="24"/>
          <w:szCs w:val="24"/>
        </w:rPr>
        <w:t>,</w:t>
      </w:r>
      <w:r>
        <w:rPr>
          <w:rFonts w:ascii="Times New Roman" w:hAnsi="Times New Roman" w:cs="Times New Roman"/>
          <w:sz w:val="24"/>
          <w:szCs w:val="24"/>
        </w:rPr>
        <w:t xml:space="preserve"> keliančios grėsmę įmonės veiklai.</w:t>
      </w:r>
    </w:p>
    <w:p w14:paraId="4269E246" w14:textId="77777777" w:rsidR="00D00859" w:rsidRDefault="00D00859" w:rsidP="0004087B">
      <w:pPr>
        <w:spacing w:after="0" w:line="360" w:lineRule="auto"/>
        <w:jc w:val="both"/>
        <w:rPr>
          <w:rFonts w:ascii="Times New Roman" w:hAnsi="Times New Roman" w:cs="Times New Roman"/>
          <w:sz w:val="24"/>
          <w:szCs w:val="24"/>
        </w:rPr>
      </w:pPr>
    </w:p>
    <w:p w14:paraId="731A7430" w14:textId="77777777" w:rsidR="00D00859" w:rsidRPr="002D52D6" w:rsidRDefault="00D00859" w:rsidP="0004087B">
      <w:pPr>
        <w:spacing w:after="0" w:line="360" w:lineRule="auto"/>
        <w:jc w:val="both"/>
        <w:rPr>
          <w:rFonts w:ascii="Times New Roman" w:hAnsi="Times New Roman" w:cs="Times New Roman"/>
          <w:b/>
          <w:sz w:val="24"/>
          <w:szCs w:val="24"/>
        </w:rPr>
      </w:pPr>
      <w:r w:rsidRPr="002D52D6">
        <w:rPr>
          <w:rFonts w:ascii="Times New Roman" w:hAnsi="Times New Roman" w:cs="Times New Roman"/>
          <w:b/>
          <w:sz w:val="24"/>
          <w:szCs w:val="24"/>
        </w:rPr>
        <w:t>AB „Lesto“</w:t>
      </w:r>
    </w:p>
    <w:p w14:paraId="58E850B1" w14:textId="77777777" w:rsidR="00D00859" w:rsidRDefault="00D00859" w:rsidP="0004087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AB „Lesto“ likvidumo dinamiką atspindi </w:t>
      </w:r>
      <w:r w:rsidR="007C32DB">
        <w:rPr>
          <w:rFonts w:ascii="Times New Roman" w:hAnsi="Times New Roman" w:cs="Times New Roman"/>
          <w:sz w:val="24"/>
          <w:szCs w:val="24"/>
        </w:rPr>
        <w:t>5</w:t>
      </w:r>
      <w:r>
        <w:rPr>
          <w:rFonts w:ascii="Times New Roman" w:hAnsi="Times New Roman" w:cs="Times New Roman"/>
          <w:sz w:val="24"/>
          <w:szCs w:val="24"/>
        </w:rPr>
        <w:t xml:space="preserve"> lentelė. Kadangi įmonė įregistruota 2010 m., todėl tiriama 2010-2012 m. laikotarpio likvidumo dinamika.</w:t>
      </w:r>
    </w:p>
    <w:p w14:paraId="636C8EDC" w14:textId="77777777" w:rsidR="007C32DB" w:rsidRDefault="007C32DB" w:rsidP="0004087B">
      <w:pPr>
        <w:spacing w:after="0" w:line="360" w:lineRule="auto"/>
        <w:ind w:firstLine="567"/>
        <w:jc w:val="both"/>
        <w:rPr>
          <w:rFonts w:ascii="Times New Roman" w:hAnsi="Times New Roman" w:cs="Times New Roman"/>
          <w:sz w:val="24"/>
          <w:szCs w:val="24"/>
        </w:rPr>
      </w:pPr>
    </w:p>
    <w:p w14:paraId="56B171BA" w14:textId="77777777" w:rsidR="007C32DB" w:rsidRPr="009900EC" w:rsidRDefault="007C32DB" w:rsidP="009900EC">
      <w:pPr>
        <w:pStyle w:val="1ant"/>
        <w:rPr>
          <w:sz w:val="24"/>
          <w:szCs w:val="24"/>
        </w:rPr>
      </w:pPr>
      <w:bookmarkStart w:id="91" w:name="_Toc227595961"/>
      <w:r w:rsidRPr="009900EC">
        <w:rPr>
          <w:sz w:val="24"/>
          <w:szCs w:val="24"/>
        </w:rPr>
        <w:t>5 lentelė. AB „Lesto“ likvidumo rodiklių dinamika 2008-2012 m.</w:t>
      </w:r>
      <w:bookmarkEnd w:id="91"/>
    </w:p>
    <w:tbl>
      <w:tblPr>
        <w:tblW w:w="5723" w:type="dxa"/>
        <w:jc w:val="center"/>
        <w:tblInd w:w="91" w:type="dxa"/>
        <w:tblLook w:val="04A0" w:firstRow="1" w:lastRow="0" w:firstColumn="1" w:lastColumn="0" w:noHBand="0" w:noVBand="1"/>
      </w:tblPr>
      <w:tblGrid>
        <w:gridCol w:w="3471"/>
        <w:gridCol w:w="716"/>
        <w:gridCol w:w="820"/>
        <w:gridCol w:w="716"/>
      </w:tblGrid>
      <w:tr w:rsidR="00D00859" w:rsidRPr="00011EB5" w14:paraId="6B03CEDE" w14:textId="77777777" w:rsidTr="00F53335">
        <w:trPr>
          <w:trHeight w:val="300"/>
          <w:jc w:val="center"/>
        </w:trPr>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4C44F" w14:textId="77777777" w:rsidR="00D00859" w:rsidRPr="00011EB5" w:rsidRDefault="00D00859" w:rsidP="00D00859">
            <w:pPr>
              <w:spacing w:after="0" w:line="240" w:lineRule="auto"/>
              <w:rPr>
                <w:rFonts w:ascii="Times New Roman" w:eastAsia="Times New Roman" w:hAnsi="Times New Roman" w:cs="Times New Roman"/>
                <w:b/>
                <w:bCs/>
                <w:color w:val="000000"/>
                <w:sz w:val="20"/>
                <w:szCs w:val="20"/>
                <w:lang w:eastAsia="lt-LT"/>
              </w:rPr>
            </w:pPr>
            <w:r w:rsidRPr="00011EB5">
              <w:rPr>
                <w:rFonts w:ascii="Times New Roman" w:eastAsia="Times New Roman" w:hAnsi="Times New Roman" w:cs="Times New Roman"/>
                <w:b/>
                <w:bCs/>
                <w:color w:val="000000"/>
                <w:sz w:val="20"/>
                <w:szCs w:val="20"/>
                <w:lang w:eastAsia="lt-LT"/>
              </w:rPr>
              <w:t>Rodiklis\Metai</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64CBFF70"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2010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1134588"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2011</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5B5F1DB7"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2012</w:t>
            </w:r>
          </w:p>
        </w:tc>
      </w:tr>
      <w:tr w:rsidR="00D00859" w:rsidRPr="00011EB5" w14:paraId="3EE69237"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C241AB4" w14:textId="77777777" w:rsidR="00D00859" w:rsidRPr="00011EB5" w:rsidRDefault="00D00859" w:rsidP="00D00859">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Bendrasis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60212F33"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0,51</w:t>
            </w:r>
          </w:p>
        </w:tc>
        <w:tc>
          <w:tcPr>
            <w:tcW w:w="820" w:type="dxa"/>
            <w:tcBorders>
              <w:top w:val="nil"/>
              <w:left w:val="nil"/>
              <w:bottom w:val="single" w:sz="4" w:space="0" w:color="auto"/>
              <w:right w:val="single" w:sz="4" w:space="0" w:color="auto"/>
            </w:tcBorders>
            <w:shd w:val="clear" w:color="auto" w:fill="auto"/>
            <w:noWrap/>
            <w:vAlign w:val="bottom"/>
            <w:hideMark/>
          </w:tcPr>
          <w:p w14:paraId="741CA020"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0,48</w:t>
            </w:r>
          </w:p>
        </w:tc>
        <w:tc>
          <w:tcPr>
            <w:tcW w:w="716" w:type="dxa"/>
            <w:tcBorders>
              <w:top w:val="nil"/>
              <w:left w:val="nil"/>
              <w:bottom w:val="single" w:sz="4" w:space="0" w:color="auto"/>
              <w:right w:val="single" w:sz="4" w:space="0" w:color="auto"/>
            </w:tcBorders>
            <w:shd w:val="clear" w:color="auto" w:fill="auto"/>
            <w:noWrap/>
            <w:vAlign w:val="bottom"/>
            <w:hideMark/>
          </w:tcPr>
          <w:p w14:paraId="0937DB59"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0,37</w:t>
            </w:r>
          </w:p>
        </w:tc>
      </w:tr>
      <w:tr w:rsidR="00D00859" w:rsidRPr="00011EB5" w14:paraId="799A70DF"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2E841A41" w14:textId="77777777" w:rsidR="00D00859" w:rsidRPr="00011EB5" w:rsidRDefault="00D00859" w:rsidP="00D00859">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Greitasis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1CEFF406"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0,5</w:t>
            </w:r>
            <w:r>
              <w:rPr>
                <w:rFonts w:ascii="Times New Roman" w:eastAsia="Times New Roman" w:hAnsi="Times New Roman" w:cs="Times New Roman"/>
                <w:color w:val="000000"/>
                <w:sz w:val="20"/>
                <w:szCs w:val="20"/>
                <w:lang w:eastAsia="lt-LT"/>
              </w:rPr>
              <w:t>0</w:t>
            </w:r>
          </w:p>
        </w:tc>
        <w:tc>
          <w:tcPr>
            <w:tcW w:w="820" w:type="dxa"/>
            <w:tcBorders>
              <w:top w:val="nil"/>
              <w:left w:val="nil"/>
              <w:bottom w:val="single" w:sz="4" w:space="0" w:color="auto"/>
              <w:right w:val="single" w:sz="4" w:space="0" w:color="auto"/>
            </w:tcBorders>
            <w:shd w:val="clear" w:color="auto" w:fill="auto"/>
            <w:noWrap/>
            <w:vAlign w:val="bottom"/>
            <w:hideMark/>
          </w:tcPr>
          <w:p w14:paraId="3C715DCD"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0,46</w:t>
            </w:r>
          </w:p>
        </w:tc>
        <w:tc>
          <w:tcPr>
            <w:tcW w:w="716" w:type="dxa"/>
            <w:tcBorders>
              <w:top w:val="nil"/>
              <w:left w:val="nil"/>
              <w:bottom w:val="single" w:sz="4" w:space="0" w:color="auto"/>
              <w:right w:val="single" w:sz="4" w:space="0" w:color="auto"/>
            </w:tcBorders>
            <w:shd w:val="clear" w:color="auto" w:fill="auto"/>
            <w:noWrap/>
            <w:vAlign w:val="bottom"/>
            <w:hideMark/>
          </w:tcPr>
          <w:p w14:paraId="64285038"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0,36</w:t>
            </w:r>
          </w:p>
        </w:tc>
      </w:tr>
      <w:tr w:rsidR="00D00859" w:rsidRPr="00011EB5" w14:paraId="49D22C67"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34E916DF" w14:textId="77777777" w:rsidR="00D00859" w:rsidRPr="00011EB5" w:rsidRDefault="00D00859" w:rsidP="00D00859">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Kritinis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6D1F263A"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0,18</w:t>
            </w:r>
          </w:p>
        </w:tc>
        <w:tc>
          <w:tcPr>
            <w:tcW w:w="820" w:type="dxa"/>
            <w:tcBorders>
              <w:top w:val="nil"/>
              <w:left w:val="nil"/>
              <w:bottom w:val="single" w:sz="4" w:space="0" w:color="auto"/>
              <w:right w:val="single" w:sz="4" w:space="0" w:color="auto"/>
            </w:tcBorders>
            <w:shd w:val="clear" w:color="auto" w:fill="auto"/>
            <w:noWrap/>
            <w:vAlign w:val="bottom"/>
            <w:hideMark/>
          </w:tcPr>
          <w:p w14:paraId="5F0A6845"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0,08</w:t>
            </w:r>
          </w:p>
        </w:tc>
        <w:tc>
          <w:tcPr>
            <w:tcW w:w="716" w:type="dxa"/>
            <w:tcBorders>
              <w:top w:val="nil"/>
              <w:left w:val="nil"/>
              <w:bottom w:val="single" w:sz="4" w:space="0" w:color="auto"/>
              <w:right w:val="single" w:sz="4" w:space="0" w:color="auto"/>
            </w:tcBorders>
            <w:shd w:val="clear" w:color="auto" w:fill="auto"/>
            <w:noWrap/>
            <w:vAlign w:val="bottom"/>
            <w:hideMark/>
          </w:tcPr>
          <w:p w14:paraId="2D4EF9CE"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0,02</w:t>
            </w:r>
          </w:p>
        </w:tc>
      </w:tr>
      <w:tr w:rsidR="00D00859" w:rsidRPr="00011EB5" w14:paraId="3846D8C2"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1EFE39B8" w14:textId="77777777" w:rsidR="00D00859" w:rsidRPr="00011EB5" w:rsidRDefault="00D00859" w:rsidP="00D00859">
            <w:pPr>
              <w:spacing w:after="0" w:line="240" w:lineRule="auto"/>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Tr. Į. apmokėjimo pinigais koeficientas</w:t>
            </w:r>
          </w:p>
        </w:tc>
        <w:tc>
          <w:tcPr>
            <w:tcW w:w="716" w:type="dxa"/>
            <w:tcBorders>
              <w:top w:val="nil"/>
              <w:left w:val="nil"/>
              <w:bottom w:val="single" w:sz="4" w:space="0" w:color="auto"/>
              <w:right w:val="single" w:sz="4" w:space="0" w:color="auto"/>
            </w:tcBorders>
            <w:shd w:val="clear" w:color="auto" w:fill="auto"/>
            <w:noWrap/>
            <w:vAlign w:val="bottom"/>
            <w:hideMark/>
          </w:tcPr>
          <w:p w14:paraId="19F91A91"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0,51</w:t>
            </w:r>
          </w:p>
        </w:tc>
        <w:tc>
          <w:tcPr>
            <w:tcW w:w="820" w:type="dxa"/>
            <w:tcBorders>
              <w:top w:val="nil"/>
              <w:left w:val="nil"/>
              <w:bottom w:val="single" w:sz="4" w:space="0" w:color="auto"/>
              <w:right w:val="single" w:sz="4" w:space="0" w:color="auto"/>
            </w:tcBorders>
            <w:shd w:val="clear" w:color="auto" w:fill="auto"/>
            <w:noWrap/>
            <w:vAlign w:val="bottom"/>
            <w:hideMark/>
          </w:tcPr>
          <w:p w14:paraId="047CF489"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0,68</w:t>
            </w:r>
          </w:p>
        </w:tc>
        <w:tc>
          <w:tcPr>
            <w:tcW w:w="716" w:type="dxa"/>
            <w:tcBorders>
              <w:top w:val="nil"/>
              <w:left w:val="nil"/>
              <w:bottom w:val="single" w:sz="4" w:space="0" w:color="auto"/>
              <w:right w:val="single" w:sz="4" w:space="0" w:color="auto"/>
            </w:tcBorders>
            <w:shd w:val="clear" w:color="auto" w:fill="auto"/>
            <w:noWrap/>
            <w:vAlign w:val="bottom"/>
            <w:hideMark/>
          </w:tcPr>
          <w:p w14:paraId="48BDE6AA" w14:textId="77777777" w:rsidR="00D00859" w:rsidRPr="00011EB5"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11EB5">
              <w:rPr>
                <w:rFonts w:ascii="Times New Roman" w:eastAsia="Times New Roman" w:hAnsi="Times New Roman" w:cs="Times New Roman"/>
                <w:color w:val="000000"/>
                <w:sz w:val="20"/>
                <w:szCs w:val="20"/>
                <w:lang w:eastAsia="lt-LT"/>
              </w:rPr>
              <w:t>0,54</w:t>
            </w:r>
          </w:p>
        </w:tc>
      </w:tr>
    </w:tbl>
    <w:p w14:paraId="10F64B84" w14:textId="77777777" w:rsidR="00D00859" w:rsidRDefault="00D00859" w:rsidP="00D00859">
      <w:pPr>
        <w:spacing w:after="0" w:line="360" w:lineRule="auto"/>
        <w:ind w:firstLine="567"/>
        <w:jc w:val="both"/>
        <w:rPr>
          <w:rFonts w:ascii="Times New Roman" w:hAnsi="Times New Roman" w:cs="Times New Roman"/>
          <w:sz w:val="24"/>
          <w:szCs w:val="24"/>
        </w:rPr>
      </w:pPr>
    </w:p>
    <w:p w14:paraId="53BBD3E7" w14:textId="77777777" w:rsidR="00D00859" w:rsidRDefault="00D00859" w:rsidP="00D0085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Galima pastebėti, jog bendrojo likvidumo ir greitojo likvidumo rodiklių reikšmės nagrinėjamu laikotarpiu buvo panašios. Tai įtakoj</w:t>
      </w:r>
      <w:r w:rsidR="0004087B">
        <w:rPr>
          <w:rFonts w:ascii="Times New Roman" w:hAnsi="Times New Roman" w:cs="Times New Roman"/>
          <w:sz w:val="24"/>
          <w:szCs w:val="24"/>
        </w:rPr>
        <w:t>o</w:t>
      </w:r>
      <w:r>
        <w:rPr>
          <w:rFonts w:ascii="Times New Roman" w:hAnsi="Times New Roman" w:cs="Times New Roman"/>
          <w:sz w:val="24"/>
          <w:szCs w:val="24"/>
        </w:rPr>
        <w:t xml:space="preserve"> nedidelė atsargų dalis trumpalaikiame turte. Nuo 2010 m. iki 2012 m. šie rodikliai tendencingai mažėjo, tačiau pokyčiai buvo sąlyginai nedideli: bendrojo likvidumo </w:t>
      </w:r>
      <w:r w:rsidR="0004087B">
        <w:rPr>
          <w:rFonts w:ascii="Times New Roman" w:hAnsi="Times New Roman" w:cs="Times New Roman"/>
          <w:sz w:val="24"/>
          <w:szCs w:val="24"/>
        </w:rPr>
        <w:t>–</w:t>
      </w:r>
      <w:r>
        <w:rPr>
          <w:rFonts w:ascii="Times New Roman" w:hAnsi="Times New Roman" w:cs="Times New Roman"/>
          <w:sz w:val="24"/>
          <w:szCs w:val="24"/>
        </w:rPr>
        <w:t xml:space="preserve"> 0,14, greitojo likvidumo – 0,14. Lygiai taip pat tendencingai mažėjo ir kritinio likvidumo reikšmė. Ji per nagrinėjamą laikotarpį nukrito 0,16. </w:t>
      </w:r>
    </w:p>
    <w:p w14:paraId="67BD33A9" w14:textId="77777777" w:rsidR="00D00859" w:rsidRDefault="00D00859" w:rsidP="0004087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Trumpalaikių įsipareigojimų apmokėjimo grynaisiais pinigais koeficientas 2011 m. šiek tiek išaugo, bet 2012 m. grįžo į panašų lygį kaip ir 2010 m. Galima teigti, kad nors likvidumo rodiklių reikšmės nėra aukštos, tačiau jų pokyčiai yra nedideli ir jos nagrinėtu laikotarpiu išliko pakankamai stabilios. Galima daryti prielaidą, jog įmonė likvidumo valdymo politikos nekeičia ir artimiausioje ateityje didelių </w:t>
      </w:r>
      <w:r w:rsidR="0004087B">
        <w:rPr>
          <w:rFonts w:ascii="Times New Roman" w:hAnsi="Times New Roman" w:cs="Times New Roman"/>
          <w:sz w:val="24"/>
          <w:szCs w:val="24"/>
        </w:rPr>
        <w:t xml:space="preserve">šių rodiklių </w:t>
      </w:r>
      <w:r>
        <w:rPr>
          <w:rFonts w:ascii="Times New Roman" w:hAnsi="Times New Roman" w:cs="Times New Roman"/>
          <w:sz w:val="24"/>
          <w:szCs w:val="24"/>
        </w:rPr>
        <w:t>pokyčių tikėtis neverta.</w:t>
      </w:r>
    </w:p>
    <w:p w14:paraId="6073C611" w14:textId="77777777" w:rsidR="00D00859" w:rsidRDefault="00D00859" w:rsidP="0004087B">
      <w:pPr>
        <w:tabs>
          <w:tab w:val="left" w:pos="4136"/>
        </w:tabs>
        <w:spacing w:after="0" w:line="360" w:lineRule="auto"/>
        <w:jc w:val="both"/>
        <w:rPr>
          <w:rFonts w:ascii="Times New Roman" w:hAnsi="Times New Roman" w:cs="Times New Roman"/>
          <w:sz w:val="24"/>
          <w:szCs w:val="24"/>
        </w:rPr>
      </w:pPr>
    </w:p>
    <w:p w14:paraId="548254B0" w14:textId="77777777" w:rsidR="00D00859" w:rsidRDefault="00D00859" w:rsidP="0004087B">
      <w:pPr>
        <w:tabs>
          <w:tab w:val="left" w:pos="4136"/>
        </w:tabs>
        <w:spacing w:after="0" w:line="360" w:lineRule="auto"/>
        <w:jc w:val="both"/>
        <w:rPr>
          <w:rFonts w:ascii="Times New Roman" w:hAnsi="Times New Roman" w:cs="Times New Roman"/>
          <w:b/>
          <w:sz w:val="24"/>
          <w:szCs w:val="24"/>
        </w:rPr>
      </w:pPr>
      <w:r w:rsidRPr="008677C0">
        <w:rPr>
          <w:rFonts w:ascii="Times New Roman" w:hAnsi="Times New Roman" w:cs="Times New Roman"/>
          <w:b/>
          <w:sz w:val="24"/>
          <w:szCs w:val="24"/>
        </w:rPr>
        <w:t>AB „Lietuvos dujos“</w:t>
      </w:r>
    </w:p>
    <w:p w14:paraId="26F7CDF6" w14:textId="77777777" w:rsidR="00D00859" w:rsidRDefault="00D00859" w:rsidP="0004087B">
      <w:pPr>
        <w:tabs>
          <w:tab w:val="left" w:pos="413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Šios įmonės likvidumo pokyčius 2008-2012 m. laikotarpiu atspindi 1</w:t>
      </w:r>
      <w:r w:rsidR="0004087B">
        <w:rPr>
          <w:rFonts w:ascii="Times New Roman" w:hAnsi="Times New Roman" w:cs="Times New Roman"/>
          <w:sz w:val="24"/>
          <w:szCs w:val="24"/>
        </w:rPr>
        <w:t>5</w:t>
      </w:r>
      <w:r>
        <w:rPr>
          <w:rFonts w:ascii="Times New Roman" w:hAnsi="Times New Roman" w:cs="Times New Roman"/>
          <w:sz w:val="24"/>
          <w:szCs w:val="24"/>
        </w:rPr>
        <w:t xml:space="preserve"> paveikslas.</w:t>
      </w:r>
    </w:p>
    <w:p w14:paraId="0BA53109" w14:textId="77777777" w:rsidR="0004087B" w:rsidRDefault="0004087B" w:rsidP="0004087B">
      <w:pPr>
        <w:tabs>
          <w:tab w:val="left" w:pos="4136"/>
        </w:tabs>
        <w:spacing w:after="0" w:line="360" w:lineRule="auto"/>
        <w:ind w:firstLine="567"/>
        <w:jc w:val="both"/>
        <w:rPr>
          <w:rFonts w:ascii="Times New Roman" w:hAnsi="Times New Roman" w:cs="Times New Roman"/>
          <w:sz w:val="24"/>
          <w:szCs w:val="24"/>
        </w:rPr>
      </w:pPr>
    </w:p>
    <w:p w14:paraId="5B56D180" w14:textId="77777777" w:rsidR="00D00859" w:rsidRDefault="00D00859" w:rsidP="0004087B">
      <w:pPr>
        <w:tabs>
          <w:tab w:val="left" w:pos="4136"/>
        </w:tabs>
        <w:spacing w:after="0" w:line="360" w:lineRule="auto"/>
        <w:ind w:firstLine="567"/>
        <w:jc w:val="center"/>
        <w:rPr>
          <w:rFonts w:ascii="Times New Roman" w:hAnsi="Times New Roman" w:cs="Times New Roman"/>
          <w:sz w:val="24"/>
          <w:szCs w:val="24"/>
        </w:rPr>
      </w:pPr>
      <w:r w:rsidRPr="008677C0">
        <w:rPr>
          <w:rFonts w:ascii="Times New Roman" w:hAnsi="Times New Roman" w:cs="Times New Roman"/>
          <w:noProof/>
          <w:sz w:val="24"/>
          <w:szCs w:val="24"/>
          <w:lang w:val="en-US"/>
        </w:rPr>
        <w:drawing>
          <wp:inline distT="0" distB="0" distL="0" distR="0" wp14:anchorId="50034B99" wp14:editId="29781436">
            <wp:extent cx="4859079" cy="1924493"/>
            <wp:effectExtent l="0" t="0" r="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CB01449" w14:textId="77777777" w:rsidR="00846558" w:rsidRPr="007F2B73" w:rsidRDefault="00FD03B1" w:rsidP="007F2B73">
      <w:pPr>
        <w:pStyle w:val="Caption"/>
        <w:rPr>
          <w:szCs w:val="24"/>
        </w:rPr>
      </w:pPr>
      <w:bookmarkStart w:id="92" w:name="_Toc227593871"/>
      <w:bookmarkStart w:id="93" w:name="_Toc227594512"/>
      <w:r w:rsidRPr="007F2B73">
        <w:rPr>
          <w:szCs w:val="24"/>
        </w:rPr>
        <w:t>15</w:t>
      </w:r>
      <w:r w:rsidR="00846558" w:rsidRPr="007F2B73">
        <w:rPr>
          <w:szCs w:val="24"/>
        </w:rPr>
        <w:t xml:space="preserve"> pav. </w:t>
      </w:r>
      <w:r w:rsidR="0004087B" w:rsidRPr="007F2B73">
        <w:rPr>
          <w:szCs w:val="24"/>
        </w:rPr>
        <w:t>AB „Lietuvos dujos“</w:t>
      </w:r>
      <w:r w:rsidR="00846558" w:rsidRPr="007F2B73">
        <w:rPr>
          <w:szCs w:val="24"/>
        </w:rPr>
        <w:t xml:space="preserve"> likvidumo rodiklių dinamika 2008-2012 m.</w:t>
      </w:r>
      <w:bookmarkEnd w:id="92"/>
      <w:bookmarkEnd w:id="93"/>
    </w:p>
    <w:p w14:paraId="7A0706DD" w14:textId="77777777" w:rsidR="00D00859" w:rsidRDefault="00D00859" w:rsidP="00D00859">
      <w:pPr>
        <w:tabs>
          <w:tab w:val="left" w:pos="413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Bendrojo likvidumo koeficientas stabiliai didėjo, neskaitant 2010 m., kuomet buvo nereikšmingas sumažėjimas 0,04. Ypatingai šis rodiklis padidėjo 2012 m., kai jo reikšmė išaugo 1,4 karto. Analogiškai kito ir greitojo likvidumo koeficientas. Verta paminėti, jo</w:t>
      </w:r>
      <w:r w:rsidR="0004087B">
        <w:rPr>
          <w:rFonts w:ascii="Times New Roman" w:hAnsi="Times New Roman" w:cs="Times New Roman"/>
          <w:sz w:val="24"/>
          <w:szCs w:val="24"/>
        </w:rPr>
        <w:t>g</w:t>
      </w:r>
      <w:r>
        <w:rPr>
          <w:rFonts w:ascii="Times New Roman" w:hAnsi="Times New Roman" w:cs="Times New Roman"/>
          <w:sz w:val="24"/>
          <w:szCs w:val="24"/>
        </w:rPr>
        <w:t xml:space="preserve"> greitojo likvidumo koeficientas praktiškai tą pačią reikšmę išlaikė net </w:t>
      </w:r>
      <w:r w:rsidR="0004087B">
        <w:rPr>
          <w:rFonts w:ascii="Times New Roman" w:hAnsi="Times New Roman" w:cs="Times New Roman"/>
          <w:sz w:val="24"/>
          <w:szCs w:val="24"/>
        </w:rPr>
        <w:t>trejus</w:t>
      </w:r>
      <w:r>
        <w:rPr>
          <w:rFonts w:ascii="Times New Roman" w:hAnsi="Times New Roman" w:cs="Times New Roman"/>
          <w:sz w:val="24"/>
          <w:szCs w:val="24"/>
        </w:rPr>
        <w:t xml:space="preserve"> metus iš eilės. Tuo tarpu kritinio likvidumo koeficientas kiekvienais metais nereikšmingai svyravo ir 2012 m.</w:t>
      </w:r>
      <w:r w:rsidR="0004087B">
        <w:rPr>
          <w:rFonts w:ascii="Times New Roman" w:hAnsi="Times New Roman" w:cs="Times New Roman"/>
          <w:sz w:val="24"/>
          <w:szCs w:val="24"/>
        </w:rPr>
        <w:t>,</w:t>
      </w:r>
      <w:r>
        <w:rPr>
          <w:rFonts w:ascii="Times New Roman" w:hAnsi="Times New Roman" w:cs="Times New Roman"/>
          <w:sz w:val="24"/>
          <w:szCs w:val="24"/>
        </w:rPr>
        <w:t xml:space="preserve"> lyginant su 2008 m.</w:t>
      </w:r>
      <w:r w:rsidR="0004087B">
        <w:rPr>
          <w:rFonts w:ascii="Times New Roman" w:hAnsi="Times New Roman" w:cs="Times New Roman"/>
          <w:sz w:val="24"/>
          <w:szCs w:val="24"/>
        </w:rPr>
        <w:t>,</w:t>
      </w:r>
      <w:r>
        <w:rPr>
          <w:rFonts w:ascii="Times New Roman" w:hAnsi="Times New Roman" w:cs="Times New Roman"/>
          <w:sz w:val="24"/>
          <w:szCs w:val="24"/>
        </w:rPr>
        <w:t xml:space="preserve"> rodiklio reikšmė padidėjo 0,01.</w:t>
      </w:r>
    </w:p>
    <w:p w14:paraId="7A9F3E06" w14:textId="77777777" w:rsidR="00D00859" w:rsidRDefault="00D00859" w:rsidP="0004087B">
      <w:pPr>
        <w:tabs>
          <w:tab w:val="left" w:pos="413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Atkreiptinas dėmesys, jog trumpalaikių įsipareigojimų apmokėjimo pinigais koeficientas tiriamu laikotarpiu reagavo priešingai negu tradiciniai rodikliai ir tendencingai mažėjo</w:t>
      </w:r>
      <w:r w:rsidR="0004087B">
        <w:rPr>
          <w:rFonts w:ascii="Times New Roman" w:hAnsi="Times New Roman" w:cs="Times New Roman"/>
          <w:sz w:val="24"/>
          <w:szCs w:val="24"/>
        </w:rPr>
        <w:t>,</w:t>
      </w:r>
      <w:r>
        <w:rPr>
          <w:rFonts w:ascii="Times New Roman" w:hAnsi="Times New Roman" w:cs="Times New Roman"/>
          <w:sz w:val="24"/>
          <w:szCs w:val="24"/>
        </w:rPr>
        <w:t xml:space="preserve"> neskaitant 2010 m. Apibendrinant galima teigti, jog įmonė išlaiko stabilų aukštą likvidumo lygį ir artimiausioj</w:t>
      </w:r>
      <w:r w:rsidR="0004087B">
        <w:rPr>
          <w:rFonts w:ascii="Times New Roman" w:hAnsi="Times New Roman" w:cs="Times New Roman"/>
          <w:sz w:val="24"/>
          <w:szCs w:val="24"/>
        </w:rPr>
        <w:t>e</w:t>
      </w:r>
      <w:r>
        <w:rPr>
          <w:rFonts w:ascii="Times New Roman" w:hAnsi="Times New Roman" w:cs="Times New Roman"/>
          <w:sz w:val="24"/>
          <w:szCs w:val="24"/>
        </w:rPr>
        <w:t xml:space="preserve"> ateity</w:t>
      </w:r>
      <w:r w:rsidR="0004087B">
        <w:rPr>
          <w:rFonts w:ascii="Times New Roman" w:hAnsi="Times New Roman" w:cs="Times New Roman"/>
          <w:sz w:val="24"/>
          <w:szCs w:val="24"/>
        </w:rPr>
        <w:t>je</w:t>
      </w:r>
      <w:r>
        <w:rPr>
          <w:rFonts w:ascii="Times New Roman" w:hAnsi="Times New Roman" w:cs="Times New Roman"/>
          <w:sz w:val="24"/>
          <w:szCs w:val="24"/>
        </w:rPr>
        <w:t xml:space="preserve"> reikšmingų pokyčių įvykti neturėtų. </w:t>
      </w:r>
    </w:p>
    <w:p w14:paraId="4A1B6231" w14:textId="77777777" w:rsidR="00D00859" w:rsidRDefault="00D00859" w:rsidP="0004087B">
      <w:pPr>
        <w:tabs>
          <w:tab w:val="left" w:pos="4136"/>
        </w:tabs>
        <w:spacing w:after="0" w:line="360" w:lineRule="auto"/>
        <w:ind w:firstLine="567"/>
        <w:jc w:val="both"/>
        <w:rPr>
          <w:rFonts w:ascii="Times New Roman" w:hAnsi="Times New Roman" w:cs="Times New Roman"/>
          <w:sz w:val="24"/>
          <w:szCs w:val="24"/>
        </w:rPr>
      </w:pPr>
    </w:p>
    <w:p w14:paraId="1792CEF0" w14:textId="77777777" w:rsidR="00D00859" w:rsidRDefault="00D00859" w:rsidP="0004087B">
      <w:pPr>
        <w:tabs>
          <w:tab w:val="left" w:pos="4136"/>
        </w:tabs>
        <w:spacing w:after="0" w:line="360" w:lineRule="auto"/>
        <w:jc w:val="both"/>
        <w:rPr>
          <w:rFonts w:ascii="Times New Roman" w:hAnsi="Times New Roman" w:cs="Times New Roman"/>
          <w:b/>
          <w:sz w:val="24"/>
          <w:szCs w:val="24"/>
        </w:rPr>
      </w:pPr>
      <w:r w:rsidRPr="00CD2B49">
        <w:rPr>
          <w:rFonts w:ascii="Times New Roman" w:hAnsi="Times New Roman" w:cs="Times New Roman"/>
          <w:b/>
          <w:sz w:val="24"/>
          <w:szCs w:val="24"/>
        </w:rPr>
        <w:t>AB „Lietuvos energija</w:t>
      </w:r>
      <w:r w:rsidR="0004087B">
        <w:rPr>
          <w:rFonts w:ascii="Times New Roman" w:hAnsi="Times New Roman" w:cs="Times New Roman"/>
          <w:b/>
          <w:sz w:val="24"/>
          <w:szCs w:val="24"/>
        </w:rPr>
        <w:t>“</w:t>
      </w:r>
    </w:p>
    <w:p w14:paraId="76199E8F" w14:textId="77777777" w:rsidR="00D00859" w:rsidRDefault="00D00859" w:rsidP="0004087B">
      <w:pPr>
        <w:tabs>
          <w:tab w:val="left" w:pos="413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 įmonė įsteigta 2011 m. viduryje, todėl nėra galimybės įvertinti ilgesnio laikotarpio likvidumo dinamikos. Žemiau pateikti dvejų metų likvidumo rodikliai (</w:t>
      </w:r>
      <w:r w:rsidR="0004087B">
        <w:rPr>
          <w:rFonts w:ascii="Times New Roman" w:hAnsi="Times New Roman" w:cs="Times New Roman"/>
          <w:sz w:val="24"/>
          <w:szCs w:val="24"/>
        </w:rPr>
        <w:t>žr. 6</w:t>
      </w:r>
      <w:r>
        <w:rPr>
          <w:rFonts w:ascii="Times New Roman" w:hAnsi="Times New Roman" w:cs="Times New Roman"/>
          <w:sz w:val="24"/>
          <w:szCs w:val="24"/>
        </w:rPr>
        <w:t xml:space="preserve"> lent.).</w:t>
      </w:r>
    </w:p>
    <w:p w14:paraId="4FE4B7D4" w14:textId="77777777" w:rsidR="0004087B" w:rsidRDefault="0004087B" w:rsidP="0004087B">
      <w:pPr>
        <w:tabs>
          <w:tab w:val="left" w:pos="4136"/>
        </w:tabs>
        <w:spacing w:after="0" w:line="360" w:lineRule="auto"/>
        <w:ind w:firstLine="567"/>
        <w:jc w:val="both"/>
        <w:rPr>
          <w:rFonts w:ascii="Times New Roman" w:hAnsi="Times New Roman" w:cs="Times New Roman"/>
          <w:sz w:val="24"/>
          <w:szCs w:val="24"/>
        </w:rPr>
      </w:pPr>
    </w:p>
    <w:p w14:paraId="146D1ECE" w14:textId="77777777" w:rsidR="0004087B" w:rsidRPr="009900EC" w:rsidRDefault="0004087B" w:rsidP="009900EC">
      <w:pPr>
        <w:pStyle w:val="1ant"/>
        <w:rPr>
          <w:sz w:val="24"/>
          <w:szCs w:val="24"/>
        </w:rPr>
      </w:pPr>
      <w:bookmarkStart w:id="94" w:name="_Toc227595962"/>
      <w:r w:rsidRPr="009900EC">
        <w:rPr>
          <w:sz w:val="24"/>
          <w:szCs w:val="24"/>
        </w:rPr>
        <w:t>6 lentelė. AB „Lietuvos energija“ likvidumo rodiklių dinamika 2008-2012 m.</w:t>
      </w:r>
      <w:bookmarkEnd w:id="94"/>
    </w:p>
    <w:tbl>
      <w:tblPr>
        <w:tblW w:w="4903" w:type="dxa"/>
        <w:jc w:val="center"/>
        <w:tblInd w:w="91" w:type="dxa"/>
        <w:tblLook w:val="04A0" w:firstRow="1" w:lastRow="0" w:firstColumn="1" w:lastColumn="0" w:noHBand="0" w:noVBand="1"/>
      </w:tblPr>
      <w:tblGrid>
        <w:gridCol w:w="3471"/>
        <w:gridCol w:w="716"/>
        <w:gridCol w:w="716"/>
      </w:tblGrid>
      <w:tr w:rsidR="00D00859" w:rsidRPr="00CD2B49" w14:paraId="19250DFF" w14:textId="77777777" w:rsidTr="00F53335">
        <w:trPr>
          <w:trHeight w:val="300"/>
          <w:jc w:val="center"/>
        </w:trPr>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36FB2" w14:textId="77777777" w:rsidR="00D00859" w:rsidRPr="00CD2B49" w:rsidRDefault="00D00859" w:rsidP="0004087B">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Rodikliai\</w:t>
            </w:r>
            <w:r w:rsidRPr="00CD2B49">
              <w:rPr>
                <w:rFonts w:ascii="Times New Roman" w:eastAsia="Times New Roman" w:hAnsi="Times New Roman" w:cs="Times New Roman"/>
                <w:b/>
                <w:bCs/>
                <w:color w:val="000000"/>
                <w:sz w:val="20"/>
                <w:szCs w:val="20"/>
                <w:lang w:eastAsia="lt-LT"/>
              </w:rPr>
              <w:t>Metai</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6B20D59B"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2011</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65AF8242"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2012</w:t>
            </w:r>
          </w:p>
        </w:tc>
      </w:tr>
      <w:tr w:rsidR="00D00859" w:rsidRPr="00CD2B49" w14:paraId="2BD0BC8D"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3D96B851" w14:textId="77777777" w:rsidR="00D00859" w:rsidRPr="00CD2B49" w:rsidRDefault="00D00859" w:rsidP="0004087B">
            <w:pPr>
              <w:spacing w:after="0" w:line="240" w:lineRule="auto"/>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Bendrasis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5A29DC9B"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0,40</w:t>
            </w:r>
          </w:p>
        </w:tc>
        <w:tc>
          <w:tcPr>
            <w:tcW w:w="716" w:type="dxa"/>
            <w:tcBorders>
              <w:top w:val="nil"/>
              <w:left w:val="nil"/>
              <w:bottom w:val="single" w:sz="4" w:space="0" w:color="auto"/>
              <w:right w:val="single" w:sz="4" w:space="0" w:color="auto"/>
            </w:tcBorders>
            <w:shd w:val="clear" w:color="auto" w:fill="auto"/>
            <w:noWrap/>
            <w:vAlign w:val="bottom"/>
            <w:hideMark/>
          </w:tcPr>
          <w:p w14:paraId="130116B4"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1,13</w:t>
            </w:r>
          </w:p>
        </w:tc>
      </w:tr>
      <w:tr w:rsidR="00D00859" w:rsidRPr="00CD2B49" w14:paraId="1175C207"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1DE39CE" w14:textId="77777777" w:rsidR="00D00859" w:rsidRPr="00CD2B49" w:rsidRDefault="00D00859" w:rsidP="0004087B">
            <w:pPr>
              <w:spacing w:after="0" w:line="240" w:lineRule="auto"/>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Greitasis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455C3960"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0,26</w:t>
            </w:r>
          </w:p>
        </w:tc>
        <w:tc>
          <w:tcPr>
            <w:tcW w:w="716" w:type="dxa"/>
            <w:tcBorders>
              <w:top w:val="nil"/>
              <w:left w:val="nil"/>
              <w:bottom w:val="single" w:sz="4" w:space="0" w:color="auto"/>
              <w:right w:val="single" w:sz="4" w:space="0" w:color="auto"/>
            </w:tcBorders>
            <w:shd w:val="clear" w:color="auto" w:fill="auto"/>
            <w:noWrap/>
            <w:vAlign w:val="bottom"/>
            <w:hideMark/>
          </w:tcPr>
          <w:p w14:paraId="7E11F1CA"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0,93</w:t>
            </w:r>
          </w:p>
        </w:tc>
      </w:tr>
      <w:tr w:rsidR="00D00859" w:rsidRPr="00CD2B49" w14:paraId="44C408C2"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6DA152E4" w14:textId="77777777" w:rsidR="00D00859" w:rsidRPr="00CD2B49" w:rsidRDefault="00D00859" w:rsidP="0004087B">
            <w:pPr>
              <w:spacing w:after="0" w:line="240" w:lineRule="auto"/>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Kritinis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60F5F88D"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0,01</w:t>
            </w:r>
          </w:p>
        </w:tc>
        <w:tc>
          <w:tcPr>
            <w:tcW w:w="716" w:type="dxa"/>
            <w:tcBorders>
              <w:top w:val="nil"/>
              <w:left w:val="nil"/>
              <w:bottom w:val="single" w:sz="4" w:space="0" w:color="auto"/>
              <w:right w:val="single" w:sz="4" w:space="0" w:color="auto"/>
            </w:tcBorders>
            <w:shd w:val="clear" w:color="auto" w:fill="auto"/>
            <w:noWrap/>
            <w:vAlign w:val="bottom"/>
            <w:hideMark/>
          </w:tcPr>
          <w:p w14:paraId="574D1FA6"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0,03</w:t>
            </w:r>
          </w:p>
        </w:tc>
      </w:tr>
      <w:tr w:rsidR="00D00859" w:rsidRPr="00CD2B49" w14:paraId="51B24319"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2F90D212" w14:textId="77777777" w:rsidR="00D00859" w:rsidRPr="00CD2B49" w:rsidRDefault="00D00859" w:rsidP="0004087B">
            <w:pPr>
              <w:spacing w:after="0" w:line="240" w:lineRule="auto"/>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Tr. Į. apmokėjimo pinigais koeficientas</w:t>
            </w:r>
          </w:p>
        </w:tc>
        <w:tc>
          <w:tcPr>
            <w:tcW w:w="716" w:type="dxa"/>
            <w:tcBorders>
              <w:top w:val="nil"/>
              <w:left w:val="nil"/>
              <w:bottom w:val="single" w:sz="4" w:space="0" w:color="auto"/>
              <w:right w:val="single" w:sz="4" w:space="0" w:color="auto"/>
            </w:tcBorders>
            <w:shd w:val="clear" w:color="auto" w:fill="auto"/>
            <w:noWrap/>
            <w:vAlign w:val="bottom"/>
            <w:hideMark/>
          </w:tcPr>
          <w:p w14:paraId="61D7BCFA"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0,10</w:t>
            </w:r>
          </w:p>
        </w:tc>
        <w:tc>
          <w:tcPr>
            <w:tcW w:w="716" w:type="dxa"/>
            <w:tcBorders>
              <w:top w:val="nil"/>
              <w:left w:val="nil"/>
              <w:bottom w:val="single" w:sz="4" w:space="0" w:color="auto"/>
              <w:right w:val="single" w:sz="4" w:space="0" w:color="auto"/>
            </w:tcBorders>
            <w:shd w:val="clear" w:color="auto" w:fill="auto"/>
            <w:noWrap/>
            <w:vAlign w:val="bottom"/>
            <w:hideMark/>
          </w:tcPr>
          <w:p w14:paraId="2C79A4C1" w14:textId="77777777" w:rsidR="00D00859" w:rsidRPr="00CD2B49" w:rsidRDefault="00D00859" w:rsidP="0004087B">
            <w:pPr>
              <w:spacing w:after="0" w:line="240" w:lineRule="auto"/>
              <w:jc w:val="right"/>
              <w:rPr>
                <w:rFonts w:ascii="Times New Roman" w:eastAsia="Times New Roman" w:hAnsi="Times New Roman" w:cs="Times New Roman"/>
                <w:color w:val="000000"/>
                <w:sz w:val="20"/>
                <w:szCs w:val="20"/>
                <w:lang w:eastAsia="lt-LT"/>
              </w:rPr>
            </w:pPr>
            <w:r w:rsidRPr="00CD2B49">
              <w:rPr>
                <w:rFonts w:ascii="Times New Roman" w:eastAsia="Times New Roman" w:hAnsi="Times New Roman" w:cs="Times New Roman"/>
                <w:color w:val="000000"/>
                <w:sz w:val="20"/>
                <w:szCs w:val="20"/>
                <w:lang w:eastAsia="lt-LT"/>
              </w:rPr>
              <w:t>0,56</w:t>
            </w:r>
          </w:p>
        </w:tc>
      </w:tr>
    </w:tbl>
    <w:p w14:paraId="3EC4FEC2" w14:textId="77777777" w:rsidR="00D00859" w:rsidRDefault="00D00859" w:rsidP="0004087B">
      <w:pPr>
        <w:tabs>
          <w:tab w:val="left" w:pos="4136"/>
        </w:tabs>
        <w:spacing w:after="0" w:line="360" w:lineRule="auto"/>
        <w:ind w:firstLine="567"/>
        <w:jc w:val="both"/>
        <w:rPr>
          <w:rFonts w:ascii="Times New Roman" w:hAnsi="Times New Roman" w:cs="Times New Roman"/>
          <w:sz w:val="24"/>
          <w:szCs w:val="24"/>
        </w:rPr>
      </w:pPr>
    </w:p>
    <w:p w14:paraId="266E28CD" w14:textId="77777777" w:rsidR="00D00859" w:rsidRDefault="00D00859" w:rsidP="0004087B">
      <w:pPr>
        <w:tabs>
          <w:tab w:val="left" w:pos="413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Per trumpą įmonės veiklos istoriją pastebima, kad 2012 m. įmonės likvidumo rodikliai ženkliai pagerėjo. Bendrasis likvidumas padidėjo 0,73, o trumpalaikių įsipareigojimų apmokėjimo pinigais koeficientas padidėjo 0,46. Lygiai taip pat didėjo ir greitojo bei kritinio likvidumo rodiklių reikšmės. Galima daryti išvadą, jog įmonės likvidumo pozicija pagerėjo ir rizika sumažėjo. Perspektyvas vertinti pagal tokį trumpą laikotarpį sudėtinga, tačiau pagerėjusi likvidumo pozicija rodo, kad ateityje galima tikėtis dar geresnių ar bent jau panašių įmonės pozicijų.</w:t>
      </w:r>
    </w:p>
    <w:p w14:paraId="6B200F85" w14:textId="77777777" w:rsidR="00D00859" w:rsidRDefault="00D00859" w:rsidP="00D00859">
      <w:pPr>
        <w:tabs>
          <w:tab w:val="left" w:pos="4136"/>
        </w:tabs>
        <w:spacing w:after="0" w:line="360" w:lineRule="auto"/>
        <w:ind w:firstLine="567"/>
        <w:jc w:val="both"/>
        <w:rPr>
          <w:rFonts w:ascii="Times New Roman" w:hAnsi="Times New Roman" w:cs="Times New Roman"/>
          <w:sz w:val="24"/>
          <w:szCs w:val="24"/>
        </w:rPr>
      </w:pPr>
    </w:p>
    <w:p w14:paraId="4800535B" w14:textId="77777777" w:rsidR="00D00859" w:rsidRDefault="00D00859" w:rsidP="00D00859">
      <w:pPr>
        <w:tabs>
          <w:tab w:val="left" w:pos="4136"/>
        </w:tabs>
        <w:spacing w:after="0" w:line="360" w:lineRule="auto"/>
        <w:jc w:val="both"/>
        <w:rPr>
          <w:rFonts w:ascii="Times New Roman" w:hAnsi="Times New Roman" w:cs="Times New Roman"/>
          <w:b/>
          <w:sz w:val="24"/>
          <w:szCs w:val="24"/>
        </w:rPr>
      </w:pPr>
      <w:r w:rsidRPr="00982E49">
        <w:rPr>
          <w:rFonts w:ascii="Times New Roman" w:hAnsi="Times New Roman" w:cs="Times New Roman"/>
          <w:b/>
          <w:sz w:val="24"/>
          <w:szCs w:val="24"/>
        </w:rPr>
        <w:t>AB „Lietuvos jūrų laivininkystė“</w:t>
      </w:r>
    </w:p>
    <w:p w14:paraId="4F8AB594" w14:textId="77777777" w:rsidR="00D00859" w:rsidRDefault="00D00859" w:rsidP="00D00859">
      <w:pPr>
        <w:tabs>
          <w:tab w:val="left" w:pos="413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Įmonės likvidumo rodiklių dinamiką atspindi 1</w:t>
      </w:r>
      <w:r w:rsidR="00F53335">
        <w:rPr>
          <w:rFonts w:ascii="Times New Roman" w:hAnsi="Times New Roman" w:cs="Times New Roman"/>
          <w:sz w:val="24"/>
          <w:szCs w:val="24"/>
        </w:rPr>
        <w:t>6</w:t>
      </w:r>
      <w:r>
        <w:rPr>
          <w:rFonts w:ascii="Times New Roman" w:hAnsi="Times New Roman" w:cs="Times New Roman"/>
          <w:sz w:val="24"/>
          <w:szCs w:val="24"/>
        </w:rPr>
        <w:t xml:space="preserve"> paveikslas. Atkre</w:t>
      </w:r>
      <w:r w:rsidR="00F53335">
        <w:rPr>
          <w:rFonts w:ascii="Times New Roman" w:hAnsi="Times New Roman" w:cs="Times New Roman"/>
          <w:sz w:val="24"/>
          <w:szCs w:val="24"/>
        </w:rPr>
        <w:t>i</w:t>
      </w:r>
      <w:r>
        <w:rPr>
          <w:rFonts w:ascii="Times New Roman" w:hAnsi="Times New Roman" w:cs="Times New Roman"/>
          <w:sz w:val="24"/>
          <w:szCs w:val="24"/>
        </w:rPr>
        <w:t>ptinas dėmesys, jog bendrojo ir greitojo likvidumo rodiklių reikšmės visą nagrinėj</w:t>
      </w:r>
      <w:r w:rsidR="00F53335">
        <w:rPr>
          <w:rFonts w:ascii="Times New Roman" w:hAnsi="Times New Roman" w:cs="Times New Roman"/>
          <w:sz w:val="24"/>
          <w:szCs w:val="24"/>
        </w:rPr>
        <w:t>a</w:t>
      </w:r>
      <w:r>
        <w:rPr>
          <w:rFonts w:ascii="Times New Roman" w:hAnsi="Times New Roman" w:cs="Times New Roman"/>
          <w:sz w:val="24"/>
          <w:szCs w:val="24"/>
        </w:rPr>
        <w:t>mą laikotarpį buvo pakankamai žemos ir kasmet svyravo priešingai. Jeigu 2009 m. šie rodikliai stipriai sumažėjo (bendrasis likvidumas 0,17; greitasis likvidumas 0,19), tai jau 2010 m. abu šie rodikliai nežymiai padidėjo. Tuomet 2011 m. vėl sekė kritimas, o 2012 m.</w:t>
      </w:r>
      <w:r w:rsidR="00F53335">
        <w:rPr>
          <w:rFonts w:ascii="Times New Roman" w:hAnsi="Times New Roman" w:cs="Times New Roman"/>
          <w:sz w:val="24"/>
          <w:szCs w:val="24"/>
        </w:rPr>
        <w:t xml:space="preserve"> –</w:t>
      </w:r>
      <w:r>
        <w:rPr>
          <w:rFonts w:ascii="Times New Roman" w:hAnsi="Times New Roman" w:cs="Times New Roman"/>
          <w:sz w:val="24"/>
          <w:szCs w:val="24"/>
        </w:rPr>
        <w:t xml:space="preserve"> padidėjimas. Tuo tarpu kritinio likvidumo koeficientas nagrinėjamu laikotarpiu kito kitaip, nei ankščiau minėtieji rodikliai. 2010 m. šis rodiklis pasiekė didžiausią reikšmę, o po to 2 </w:t>
      </w:r>
      <w:r>
        <w:rPr>
          <w:rFonts w:ascii="Times New Roman" w:hAnsi="Times New Roman" w:cs="Times New Roman"/>
          <w:sz w:val="24"/>
          <w:szCs w:val="24"/>
        </w:rPr>
        <w:lastRenderedPageBreak/>
        <w:t xml:space="preserve">metus iš eilė sekė tendencingas rodiklio reikšmės mažėjimas. Visiškai priešingai nei kritinio likvidumo koeficientas kito trumpalaikių įsipareigojimų padengimo pinigais koeficientas. Šis rodiklis iki 2010 m. mažėjo ir būtent tuomet pasiekė mažiausią reikšmę. Po to sekė staigus rodiklio padidėjimas. </w:t>
      </w:r>
    </w:p>
    <w:p w14:paraId="1764E1B5" w14:textId="77777777" w:rsidR="00F53335" w:rsidRPr="00982E49" w:rsidRDefault="00F53335" w:rsidP="00D00859">
      <w:pPr>
        <w:tabs>
          <w:tab w:val="left" w:pos="4136"/>
        </w:tabs>
        <w:spacing w:after="0" w:line="360" w:lineRule="auto"/>
        <w:ind w:firstLine="567"/>
        <w:jc w:val="both"/>
        <w:rPr>
          <w:rFonts w:ascii="Times New Roman" w:hAnsi="Times New Roman" w:cs="Times New Roman"/>
          <w:sz w:val="24"/>
          <w:szCs w:val="24"/>
        </w:rPr>
      </w:pPr>
    </w:p>
    <w:p w14:paraId="1433A8A9" w14:textId="77777777" w:rsidR="00D00859" w:rsidRDefault="00D00859" w:rsidP="00846558">
      <w:pPr>
        <w:tabs>
          <w:tab w:val="left" w:pos="4136"/>
        </w:tabs>
        <w:spacing w:after="0" w:line="360" w:lineRule="auto"/>
        <w:ind w:firstLine="567"/>
        <w:jc w:val="center"/>
        <w:rPr>
          <w:rFonts w:ascii="Times New Roman" w:hAnsi="Times New Roman" w:cs="Times New Roman"/>
          <w:b/>
          <w:sz w:val="24"/>
          <w:szCs w:val="24"/>
        </w:rPr>
      </w:pPr>
      <w:r w:rsidRPr="00982E49">
        <w:rPr>
          <w:rFonts w:ascii="Times New Roman" w:hAnsi="Times New Roman" w:cs="Times New Roman"/>
          <w:b/>
          <w:noProof/>
          <w:sz w:val="24"/>
          <w:szCs w:val="24"/>
          <w:lang w:val="en-US"/>
        </w:rPr>
        <w:drawing>
          <wp:inline distT="0" distB="0" distL="0" distR="0" wp14:anchorId="7EAC171B" wp14:editId="2AFF6F8E">
            <wp:extent cx="4860000" cy="1980000"/>
            <wp:effectExtent l="0" t="0" r="0" b="127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CDA0EF3" w14:textId="77777777" w:rsidR="00846558" w:rsidRPr="007F2B73" w:rsidRDefault="00FD03B1" w:rsidP="007F2B73">
      <w:pPr>
        <w:pStyle w:val="Caption"/>
        <w:rPr>
          <w:szCs w:val="24"/>
        </w:rPr>
      </w:pPr>
      <w:bookmarkStart w:id="95" w:name="_Toc227593872"/>
      <w:bookmarkStart w:id="96" w:name="_Toc227594513"/>
      <w:r w:rsidRPr="007F2B73">
        <w:rPr>
          <w:szCs w:val="24"/>
        </w:rPr>
        <w:t>16</w:t>
      </w:r>
      <w:r w:rsidR="00846558" w:rsidRPr="007F2B73">
        <w:rPr>
          <w:szCs w:val="24"/>
        </w:rPr>
        <w:t xml:space="preserve"> pav. </w:t>
      </w:r>
      <w:r w:rsidR="00F53335" w:rsidRPr="007F2B73">
        <w:rPr>
          <w:szCs w:val="24"/>
        </w:rPr>
        <w:t>AB „Lietuvos jūrų laivininkystė“</w:t>
      </w:r>
      <w:r w:rsidR="00846558" w:rsidRPr="007F2B73">
        <w:rPr>
          <w:szCs w:val="24"/>
        </w:rPr>
        <w:t xml:space="preserve"> likvidumo rodiklių dinamika 2008-2012 m.</w:t>
      </w:r>
      <w:bookmarkEnd w:id="95"/>
      <w:bookmarkEnd w:id="96"/>
    </w:p>
    <w:p w14:paraId="747C328D" w14:textId="77777777" w:rsidR="00F53335" w:rsidRDefault="00F53335" w:rsidP="00846558">
      <w:pPr>
        <w:tabs>
          <w:tab w:val="left" w:pos="4136"/>
        </w:tabs>
        <w:spacing w:after="0" w:line="360" w:lineRule="auto"/>
        <w:ind w:firstLine="567"/>
        <w:jc w:val="center"/>
        <w:rPr>
          <w:rFonts w:ascii="Times New Roman" w:hAnsi="Times New Roman" w:cs="Times New Roman"/>
          <w:b/>
          <w:sz w:val="24"/>
          <w:szCs w:val="24"/>
        </w:rPr>
      </w:pPr>
    </w:p>
    <w:p w14:paraId="5BAC46DA"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Bendrai vertinant visą laikotarpį, pastebima, jog tradicinių likvidumo rodiklių reikšmės jau laikotarpio pradžioje buvo žemos, tačiau didesnės nei pabaigoje ir tai rodo pablogėjusią įmonės likvidumo poziciją. Kiek kitokią situaciją rodo trumpalaikių įsipareigojimų apmokėjimo pinigais koefi</w:t>
      </w:r>
      <w:r w:rsidR="00F53335">
        <w:rPr>
          <w:rFonts w:ascii="Times New Roman" w:hAnsi="Times New Roman" w:cs="Times New Roman"/>
          <w:sz w:val="24"/>
          <w:szCs w:val="24"/>
        </w:rPr>
        <w:t>ci</w:t>
      </w:r>
      <w:r>
        <w:rPr>
          <w:rFonts w:ascii="Times New Roman" w:hAnsi="Times New Roman" w:cs="Times New Roman"/>
          <w:sz w:val="24"/>
          <w:szCs w:val="24"/>
        </w:rPr>
        <w:t>entas, kuris padidėjo lyginant su 2008 m. Galima teigti, jog dideli rodiklių svyravimai rodo nestabilų įmonės likvidumo valdymą ir didelę veiklos tęstinumo riziką.</w:t>
      </w:r>
    </w:p>
    <w:p w14:paraId="7B270E4E"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p>
    <w:p w14:paraId="245CC2DE" w14:textId="77777777" w:rsidR="00D00859" w:rsidRPr="00F53335" w:rsidRDefault="00F53335" w:rsidP="00D00859">
      <w:pPr>
        <w:tabs>
          <w:tab w:val="left" w:pos="4337"/>
        </w:tabs>
        <w:spacing w:after="0" w:line="360" w:lineRule="auto"/>
        <w:jc w:val="both"/>
        <w:rPr>
          <w:rFonts w:ascii="Times New Roman" w:hAnsi="Times New Roman" w:cs="Times New Roman"/>
          <w:b/>
          <w:sz w:val="24"/>
          <w:szCs w:val="24"/>
        </w:rPr>
      </w:pPr>
      <w:r w:rsidRPr="00982E49">
        <w:rPr>
          <w:rFonts w:ascii="Times New Roman" w:hAnsi="Times New Roman" w:cs="Times New Roman"/>
          <w:b/>
          <w:sz w:val="24"/>
          <w:szCs w:val="24"/>
        </w:rPr>
        <w:t xml:space="preserve">AB </w:t>
      </w:r>
      <w:r w:rsidRPr="00F53335">
        <w:rPr>
          <w:rFonts w:ascii="Times New Roman" w:hAnsi="Times New Roman" w:cs="Times New Roman"/>
          <w:b/>
          <w:sz w:val="24"/>
          <w:szCs w:val="24"/>
        </w:rPr>
        <w:t>„Limarko laivininkystės kompanija“</w:t>
      </w:r>
    </w:p>
    <w:p w14:paraId="15AC944B" w14:textId="77777777" w:rsidR="00D00859" w:rsidRDefault="00D00859" w:rsidP="00D00859">
      <w:pPr>
        <w:tabs>
          <w:tab w:val="left" w:pos="433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„Limarko laivininkystės kompanija“ likvidumo dinamiką atspindi 1</w:t>
      </w:r>
      <w:r w:rsidR="00F53335">
        <w:rPr>
          <w:rFonts w:ascii="Times New Roman" w:hAnsi="Times New Roman" w:cs="Times New Roman"/>
          <w:sz w:val="24"/>
          <w:szCs w:val="24"/>
        </w:rPr>
        <w:t>7</w:t>
      </w:r>
      <w:r>
        <w:rPr>
          <w:rFonts w:ascii="Times New Roman" w:hAnsi="Times New Roman" w:cs="Times New Roman"/>
          <w:sz w:val="24"/>
          <w:szCs w:val="24"/>
        </w:rPr>
        <w:t xml:space="preserve"> paveikslas. Bendrojo ir kritinio likvidumo rodikliai iki 2010 m. tendencingai kasmet augo. Lyginant su 2008 m. pirmasis rodiklis padidėjo 0,08, antrasis – 0,12. Tuo tarpu nuo 2010 m. du metus iš eilės sekė šių rodiklių mažėjimas. Kritinio likvidumo koeficientas visą nagrinėjamą laikotarpį buvo žemas ir išlaikė stabilų lygį, išskyrus 2009 m. kuomet šio rodiklio reikšmė buvo šoktelėjusi iki 0,09. Trumpalaikių įsipareigojimų apmokėjimo pinigais koeficientas nuo 2008 m. iki 2012 m. tendencingais mažėjo. Tik 2010-2011 m. laikotarpiu jo lygis buvo panašus. Bendrai, visų likvidumo rodiklių reikšmės mažėjo, kas rodo padidėjusią įmonės riziką ir maž</w:t>
      </w:r>
      <w:r w:rsidR="003A3BC5">
        <w:rPr>
          <w:rFonts w:ascii="Times New Roman" w:hAnsi="Times New Roman" w:cs="Times New Roman"/>
          <w:sz w:val="24"/>
          <w:szCs w:val="24"/>
        </w:rPr>
        <w:t>ą</w:t>
      </w:r>
      <w:r>
        <w:rPr>
          <w:rFonts w:ascii="Times New Roman" w:hAnsi="Times New Roman" w:cs="Times New Roman"/>
          <w:sz w:val="24"/>
          <w:szCs w:val="24"/>
        </w:rPr>
        <w:t xml:space="preserve"> dėmesį likvidumo valdymo gerinimui. Likvidumo rodiklių artėjimas prie 0 rodo labai prastą finansinę įmonės būklę, kelia abejonių dėl veiklos tęstinumo ir artimiausioje ateityje pagerėjimą sunku įžvelgti.</w:t>
      </w:r>
    </w:p>
    <w:p w14:paraId="18C1CC54" w14:textId="77777777" w:rsidR="00D00859" w:rsidRPr="00EA0417" w:rsidRDefault="00D00859" w:rsidP="00D00859">
      <w:pPr>
        <w:tabs>
          <w:tab w:val="left" w:pos="4337"/>
        </w:tabs>
        <w:spacing w:after="0" w:line="360" w:lineRule="auto"/>
        <w:jc w:val="both"/>
        <w:rPr>
          <w:rFonts w:ascii="Times New Roman" w:hAnsi="Times New Roman" w:cs="Times New Roman"/>
          <w:sz w:val="24"/>
          <w:szCs w:val="24"/>
        </w:rPr>
      </w:pPr>
    </w:p>
    <w:p w14:paraId="5DC86624" w14:textId="77777777" w:rsidR="00D00859" w:rsidRDefault="00D00859" w:rsidP="00846558">
      <w:pPr>
        <w:tabs>
          <w:tab w:val="left" w:pos="4337"/>
        </w:tabs>
        <w:spacing w:after="0" w:line="360" w:lineRule="auto"/>
        <w:ind w:firstLine="567"/>
        <w:jc w:val="center"/>
        <w:rPr>
          <w:rFonts w:ascii="Times New Roman" w:hAnsi="Times New Roman" w:cs="Times New Roman"/>
          <w:sz w:val="24"/>
          <w:szCs w:val="24"/>
        </w:rPr>
      </w:pPr>
      <w:r w:rsidRPr="000309C7">
        <w:rPr>
          <w:rFonts w:ascii="Times New Roman" w:hAnsi="Times New Roman" w:cs="Times New Roman"/>
          <w:noProof/>
          <w:sz w:val="24"/>
          <w:szCs w:val="24"/>
          <w:lang w:val="en-US"/>
        </w:rPr>
        <w:lastRenderedPageBreak/>
        <w:drawing>
          <wp:inline distT="0" distB="0" distL="0" distR="0" wp14:anchorId="24676118" wp14:editId="2D04ACA3">
            <wp:extent cx="4860000" cy="1980000"/>
            <wp:effectExtent l="0" t="0" r="0" b="127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C0352AF" w14:textId="77777777" w:rsidR="00846558" w:rsidRPr="007F2B73" w:rsidRDefault="00FD03B1" w:rsidP="007F2B73">
      <w:pPr>
        <w:pStyle w:val="Caption"/>
        <w:rPr>
          <w:szCs w:val="24"/>
        </w:rPr>
      </w:pPr>
      <w:bookmarkStart w:id="97" w:name="_Toc227593873"/>
      <w:bookmarkStart w:id="98" w:name="_Toc227594514"/>
      <w:r w:rsidRPr="007F2B73">
        <w:rPr>
          <w:szCs w:val="24"/>
        </w:rPr>
        <w:t>17</w:t>
      </w:r>
      <w:r w:rsidR="00846558" w:rsidRPr="007F2B73">
        <w:rPr>
          <w:szCs w:val="24"/>
        </w:rPr>
        <w:t xml:space="preserve"> pav. </w:t>
      </w:r>
      <w:r w:rsidR="00F53335" w:rsidRPr="007F2B73">
        <w:rPr>
          <w:szCs w:val="24"/>
        </w:rPr>
        <w:t>AB „Limarko laivininkystės kompanija“</w:t>
      </w:r>
      <w:r w:rsidR="00846558" w:rsidRPr="007F2B73">
        <w:rPr>
          <w:szCs w:val="24"/>
        </w:rPr>
        <w:t xml:space="preserve"> likvidumo rodiklių dinamika 2008-2012 m.</w:t>
      </w:r>
      <w:bookmarkEnd w:id="97"/>
      <w:bookmarkEnd w:id="98"/>
    </w:p>
    <w:p w14:paraId="5687FB15" w14:textId="77777777" w:rsidR="00D00859" w:rsidRDefault="00D00859" w:rsidP="00D00859">
      <w:pPr>
        <w:tabs>
          <w:tab w:val="left" w:pos="4337"/>
        </w:tabs>
        <w:spacing w:after="0" w:line="360" w:lineRule="auto"/>
        <w:jc w:val="both"/>
        <w:rPr>
          <w:rFonts w:ascii="Times New Roman" w:hAnsi="Times New Roman" w:cs="Times New Roman"/>
          <w:b/>
          <w:sz w:val="24"/>
          <w:szCs w:val="24"/>
        </w:rPr>
      </w:pPr>
    </w:p>
    <w:p w14:paraId="39B84A0B" w14:textId="77777777" w:rsidR="00D00859" w:rsidRPr="0028097B" w:rsidRDefault="00D00859" w:rsidP="00D00859">
      <w:pPr>
        <w:tabs>
          <w:tab w:val="left" w:pos="43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„Linas“</w:t>
      </w:r>
    </w:p>
    <w:p w14:paraId="6DFD53AC" w14:textId="77777777" w:rsidR="00D00859" w:rsidRDefault="00D00859" w:rsidP="00D00859">
      <w:pPr>
        <w:tabs>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Įmonės likvidumo rodikliai pateikti 1</w:t>
      </w:r>
      <w:r w:rsidR="003A3BC5">
        <w:rPr>
          <w:rFonts w:ascii="Times New Roman" w:hAnsi="Times New Roman" w:cs="Times New Roman"/>
          <w:sz w:val="24"/>
          <w:szCs w:val="24"/>
        </w:rPr>
        <w:t>8</w:t>
      </w:r>
      <w:r>
        <w:rPr>
          <w:rFonts w:ascii="Times New Roman" w:hAnsi="Times New Roman" w:cs="Times New Roman"/>
          <w:sz w:val="24"/>
          <w:szCs w:val="24"/>
        </w:rPr>
        <w:t xml:space="preserve"> paveiksle. Atkreiptinas dėmesys, kad nagrinėjamu laikotarpiu tiek bendrasis, tiek g</w:t>
      </w:r>
      <w:r w:rsidR="003A3BC5">
        <w:rPr>
          <w:rFonts w:ascii="Times New Roman" w:hAnsi="Times New Roman" w:cs="Times New Roman"/>
          <w:sz w:val="24"/>
          <w:szCs w:val="24"/>
        </w:rPr>
        <w:t>reitasis likvidumas svyravo. Abiejų</w:t>
      </w:r>
      <w:r>
        <w:rPr>
          <w:rFonts w:ascii="Times New Roman" w:hAnsi="Times New Roman" w:cs="Times New Roman"/>
          <w:sz w:val="24"/>
          <w:szCs w:val="24"/>
        </w:rPr>
        <w:t xml:space="preserve"> rodiklių didžiausios reikšmės buvo 2008 m., o mažiausios</w:t>
      </w:r>
      <w:r w:rsidR="003A3BC5">
        <w:rPr>
          <w:rFonts w:ascii="Times New Roman" w:hAnsi="Times New Roman" w:cs="Times New Roman"/>
          <w:sz w:val="24"/>
          <w:szCs w:val="24"/>
        </w:rPr>
        <w:t xml:space="preserve"> –</w:t>
      </w:r>
      <w:r>
        <w:rPr>
          <w:rFonts w:ascii="Times New Roman" w:hAnsi="Times New Roman" w:cs="Times New Roman"/>
          <w:sz w:val="24"/>
          <w:szCs w:val="24"/>
        </w:rPr>
        <w:t xml:space="preserve"> 2012</w:t>
      </w:r>
      <w:r w:rsidR="003A3BC5">
        <w:rPr>
          <w:rFonts w:ascii="Times New Roman" w:hAnsi="Times New Roman" w:cs="Times New Roman"/>
          <w:sz w:val="24"/>
          <w:szCs w:val="24"/>
        </w:rPr>
        <w:t xml:space="preserve"> </w:t>
      </w:r>
      <w:r>
        <w:rPr>
          <w:rFonts w:ascii="Times New Roman" w:hAnsi="Times New Roman" w:cs="Times New Roman"/>
          <w:sz w:val="24"/>
          <w:szCs w:val="24"/>
        </w:rPr>
        <w:t>m. Kritinis likvidumas nagrinėjamu laikotarpiu kito, tačiau 2012 m. išliko toks pat kaip ir 2008 m. Šis rodiklis iki 2010 m. didėjo ir po to sekė tendencingas mažėjimas. Tuo tarpu trumpalaikių įsipareigojimų pinigais koeficientas nagrinėjamu laikotarpiu buvo stabiliai žemas, ženklesnis pasikeitimas įvyko tik 2011 m., kuomet koeficiento reikšmė padidėjo 0,1.</w:t>
      </w:r>
    </w:p>
    <w:p w14:paraId="2A7FD8DC" w14:textId="77777777" w:rsidR="003A3BC5" w:rsidRDefault="003A3BC5" w:rsidP="00D00859">
      <w:pPr>
        <w:tabs>
          <w:tab w:val="left" w:pos="3650"/>
        </w:tabs>
        <w:spacing w:after="0" w:line="360" w:lineRule="auto"/>
        <w:ind w:firstLine="567"/>
        <w:jc w:val="both"/>
        <w:rPr>
          <w:rFonts w:ascii="Times New Roman" w:hAnsi="Times New Roman" w:cs="Times New Roman"/>
          <w:sz w:val="24"/>
          <w:szCs w:val="24"/>
        </w:rPr>
      </w:pPr>
    </w:p>
    <w:p w14:paraId="05AF2EA4" w14:textId="77777777" w:rsidR="00D00859" w:rsidRDefault="00D00859" w:rsidP="00846558">
      <w:pPr>
        <w:tabs>
          <w:tab w:val="left" w:pos="3650"/>
        </w:tabs>
        <w:ind w:firstLine="567"/>
        <w:jc w:val="center"/>
        <w:rPr>
          <w:rFonts w:ascii="Times New Roman" w:hAnsi="Times New Roman" w:cs="Times New Roman"/>
          <w:sz w:val="24"/>
          <w:szCs w:val="24"/>
        </w:rPr>
      </w:pPr>
      <w:r w:rsidRPr="00011EB5">
        <w:rPr>
          <w:rFonts w:ascii="Times New Roman" w:hAnsi="Times New Roman" w:cs="Times New Roman"/>
          <w:noProof/>
          <w:sz w:val="24"/>
          <w:szCs w:val="24"/>
          <w:lang w:val="en-US"/>
        </w:rPr>
        <w:drawing>
          <wp:inline distT="0" distB="0" distL="0" distR="0" wp14:anchorId="275FB7AB" wp14:editId="1E15D56B">
            <wp:extent cx="4860000" cy="1980000"/>
            <wp:effectExtent l="0" t="0" r="0" b="127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C9CFE54" w14:textId="77777777" w:rsidR="00846558" w:rsidRPr="007F2B73" w:rsidRDefault="00FD03B1" w:rsidP="007F2B73">
      <w:pPr>
        <w:pStyle w:val="Caption"/>
        <w:rPr>
          <w:szCs w:val="24"/>
        </w:rPr>
      </w:pPr>
      <w:bookmarkStart w:id="99" w:name="_Toc227593874"/>
      <w:bookmarkStart w:id="100" w:name="_Toc227594515"/>
      <w:r w:rsidRPr="007F2B73">
        <w:rPr>
          <w:szCs w:val="24"/>
        </w:rPr>
        <w:t>18</w:t>
      </w:r>
      <w:r w:rsidR="00846558" w:rsidRPr="007F2B73">
        <w:rPr>
          <w:szCs w:val="24"/>
        </w:rPr>
        <w:t xml:space="preserve"> pav. </w:t>
      </w:r>
      <w:r w:rsidR="003A3BC5" w:rsidRPr="007F2B73">
        <w:rPr>
          <w:szCs w:val="24"/>
        </w:rPr>
        <w:t>AB „Linas“</w:t>
      </w:r>
      <w:r w:rsidR="00846558" w:rsidRPr="007F2B73">
        <w:rPr>
          <w:szCs w:val="24"/>
        </w:rPr>
        <w:t xml:space="preserve"> likvidumo rodiklių dinamika 2008-2012 m.</w:t>
      </w:r>
      <w:bookmarkEnd w:id="99"/>
      <w:bookmarkEnd w:id="100"/>
    </w:p>
    <w:p w14:paraId="1DD5B190" w14:textId="77777777" w:rsidR="003A3BC5" w:rsidRDefault="003A3BC5" w:rsidP="003A3BC5">
      <w:pPr>
        <w:tabs>
          <w:tab w:val="left" w:pos="3650"/>
        </w:tabs>
        <w:spacing w:after="0" w:line="360" w:lineRule="auto"/>
        <w:ind w:firstLine="567"/>
        <w:jc w:val="center"/>
        <w:rPr>
          <w:rFonts w:ascii="Times New Roman" w:hAnsi="Times New Roman" w:cs="Times New Roman"/>
          <w:sz w:val="24"/>
          <w:szCs w:val="24"/>
        </w:rPr>
      </w:pPr>
    </w:p>
    <w:p w14:paraId="50D6F460" w14:textId="02D56364" w:rsidR="00BD38D1" w:rsidRDefault="003A3BC5" w:rsidP="00AB0430">
      <w:pPr>
        <w:tabs>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Apibendrinant galima teigti, kad nors bendrasis ir greitasis likvidumas sumažėjo lyginant laikotarpio pradžią ir pabaigą, tačiau tendencingo rodiklių prastėjimo nebuvo ir jie išliko pakankamai aukšti, todėl grėsmė artimiausioje ateityje neturėtų kilti. Kitokią poziciją rodo trumpalaikių įsipareigojimų apmokėjimo pinigais koeficientas, kuris yra sąlyginai žemas.</w:t>
      </w:r>
    </w:p>
    <w:p w14:paraId="4F52A1DC" w14:textId="77777777" w:rsidR="00AB0430" w:rsidRDefault="00AB0430" w:rsidP="00AB0430">
      <w:pPr>
        <w:tabs>
          <w:tab w:val="left" w:pos="3650"/>
        </w:tabs>
        <w:spacing w:after="0" w:line="360" w:lineRule="auto"/>
        <w:ind w:firstLine="567"/>
        <w:jc w:val="both"/>
        <w:rPr>
          <w:rFonts w:ascii="Times New Roman" w:hAnsi="Times New Roman" w:cs="Times New Roman"/>
          <w:sz w:val="24"/>
          <w:szCs w:val="24"/>
        </w:rPr>
      </w:pPr>
    </w:p>
    <w:p w14:paraId="3018470C" w14:textId="77777777" w:rsidR="00AB0430" w:rsidRDefault="00AB0430" w:rsidP="00AB0430">
      <w:pPr>
        <w:tabs>
          <w:tab w:val="left" w:pos="3650"/>
        </w:tabs>
        <w:spacing w:after="0" w:line="360" w:lineRule="auto"/>
        <w:ind w:firstLine="567"/>
        <w:jc w:val="both"/>
        <w:rPr>
          <w:rFonts w:ascii="Times New Roman" w:hAnsi="Times New Roman" w:cs="Times New Roman"/>
          <w:sz w:val="24"/>
          <w:szCs w:val="24"/>
        </w:rPr>
      </w:pPr>
    </w:p>
    <w:p w14:paraId="2E6A64D6" w14:textId="77777777" w:rsidR="00AB0430" w:rsidRPr="00AB0430" w:rsidRDefault="00AB0430" w:rsidP="00AB0430">
      <w:pPr>
        <w:tabs>
          <w:tab w:val="left" w:pos="3650"/>
        </w:tabs>
        <w:spacing w:after="0" w:line="360" w:lineRule="auto"/>
        <w:ind w:firstLine="567"/>
        <w:jc w:val="both"/>
        <w:rPr>
          <w:rFonts w:ascii="Times New Roman" w:hAnsi="Times New Roman" w:cs="Times New Roman"/>
          <w:sz w:val="24"/>
          <w:szCs w:val="24"/>
        </w:rPr>
      </w:pPr>
    </w:p>
    <w:p w14:paraId="6169E13D" w14:textId="77777777" w:rsidR="007F2B73" w:rsidRDefault="007F2B73" w:rsidP="00BD38D1">
      <w:pPr>
        <w:tabs>
          <w:tab w:val="left" w:pos="3650"/>
        </w:tabs>
        <w:spacing w:after="0" w:line="360" w:lineRule="auto"/>
        <w:rPr>
          <w:rFonts w:ascii="Times New Roman" w:hAnsi="Times New Roman" w:cs="Times New Roman"/>
          <w:b/>
          <w:sz w:val="24"/>
          <w:szCs w:val="24"/>
        </w:rPr>
      </w:pPr>
    </w:p>
    <w:p w14:paraId="35F2BD3F" w14:textId="77777777" w:rsidR="00D00859" w:rsidRDefault="00D00859" w:rsidP="00BD38D1">
      <w:pPr>
        <w:tabs>
          <w:tab w:val="left" w:pos="3650"/>
        </w:tabs>
        <w:spacing w:after="0" w:line="360" w:lineRule="auto"/>
        <w:rPr>
          <w:rFonts w:ascii="Times New Roman" w:hAnsi="Times New Roman" w:cs="Times New Roman"/>
          <w:b/>
          <w:sz w:val="24"/>
          <w:szCs w:val="24"/>
        </w:rPr>
      </w:pPr>
      <w:r w:rsidRPr="00E173C5">
        <w:rPr>
          <w:rFonts w:ascii="Times New Roman" w:hAnsi="Times New Roman" w:cs="Times New Roman"/>
          <w:b/>
          <w:sz w:val="24"/>
          <w:szCs w:val="24"/>
        </w:rPr>
        <w:t>AB „Linas Agro“</w:t>
      </w:r>
    </w:p>
    <w:p w14:paraId="3C52FCCB" w14:textId="77777777" w:rsidR="00D00859" w:rsidRDefault="00D00859" w:rsidP="008A4FC8">
      <w:pPr>
        <w:tabs>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„Linas Agro“ viešai prieinama atskaitomybė pateikiama nuo 2009 m., todėl ir rodikliai skaičiuojami nuo 2009 m. (</w:t>
      </w:r>
      <w:r w:rsidR="00BD38D1">
        <w:rPr>
          <w:rFonts w:ascii="Times New Roman" w:hAnsi="Times New Roman" w:cs="Times New Roman"/>
          <w:sz w:val="24"/>
          <w:szCs w:val="24"/>
        </w:rPr>
        <w:t xml:space="preserve">žr. </w:t>
      </w:r>
      <w:r>
        <w:rPr>
          <w:rFonts w:ascii="Times New Roman" w:hAnsi="Times New Roman" w:cs="Times New Roman"/>
          <w:sz w:val="24"/>
          <w:szCs w:val="24"/>
        </w:rPr>
        <w:t>1</w:t>
      </w:r>
      <w:r w:rsidR="00BD38D1">
        <w:rPr>
          <w:rFonts w:ascii="Times New Roman" w:hAnsi="Times New Roman" w:cs="Times New Roman"/>
          <w:sz w:val="24"/>
          <w:szCs w:val="24"/>
        </w:rPr>
        <w:t>9</w:t>
      </w:r>
      <w:r>
        <w:rPr>
          <w:rFonts w:ascii="Times New Roman" w:hAnsi="Times New Roman" w:cs="Times New Roman"/>
          <w:sz w:val="24"/>
          <w:szCs w:val="24"/>
        </w:rPr>
        <w:t xml:space="preserve"> pav.). Kadangi pati įmonė savo veikloj</w:t>
      </w:r>
      <w:r w:rsidR="00BD38D1">
        <w:rPr>
          <w:rFonts w:ascii="Times New Roman" w:hAnsi="Times New Roman" w:cs="Times New Roman"/>
          <w:sz w:val="24"/>
          <w:szCs w:val="24"/>
        </w:rPr>
        <w:t>e</w:t>
      </w:r>
      <w:r>
        <w:rPr>
          <w:rFonts w:ascii="Times New Roman" w:hAnsi="Times New Roman" w:cs="Times New Roman"/>
          <w:sz w:val="24"/>
          <w:szCs w:val="24"/>
        </w:rPr>
        <w:t xml:space="preserve"> atsargų neturi, tai greitojo likvidumo koeficientas neskaičiuojamas, nes jis yra tapatus bendrojo likvidumo rodikliui. Kaip matyti iš grafiko, ben</w:t>
      </w:r>
      <w:r w:rsidR="00BD38D1">
        <w:rPr>
          <w:rFonts w:ascii="Times New Roman" w:hAnsi="Times New Roman" w:cs="Times New Roman"/>
          <w:sz w:val="24"/>
          <w:szCs w:val="24"/>
        </w:rPr>
        <w:t>d</w:t>
      </w:r>
      <w:r>
        <w:rPr>
          <w:rFonts w:ascii="Times New Roman" w:hAnsi="Times New Roman" w:cs="Times New Roman"/>
          <w:sz w:val="24"/>
          <w:szCs w:val="24"/>
        </w:rPr>
        <w:t>rojo likvidumo koeficientas analizuojamu laikotarpiu tendencingai augo. Didžiausias pokytis buvo 2010 m., kuomet lyginant su 2009 m. koeficientas padidėjo 7,5. Sekančiais laikotarpiais taip pat sekė likvidumo augimas, tačiau netoks ženklus. Kritinis likvidumas svyravo visą laikotarpį. Tuo tarpu trumpalaikių įsipareigojimų apmokėjimo pinigais koeficientas stabiliai augo, tačiau išlaikė žemą lygį.</w:t>
      </w:r>
    </w:p>
    <w:p w14:paraId="56B8C898" w14:textId="77777777" w:rsidR="00BD38D1" w:rsidRDefault="00BD38D1" w:rsidP="008A4FC8">
      <w:pPr>
        <w:tabs>
          <w:tab w:val="left" w:pos="3650"/>
        </w:tabs>
        <w:spacing w:after="0" w:line="360" w:lineRule="auto"/>
        <w:ind w:firstLine="567"/>
        <w:jc w:val="both"/>
        <w:rPr>
          <w:rFonts w:ascii="Times New Roman" w:hAnsi="Times New Roman" w:cs="Times New Roman"/>
          <w:sz w:val="24"/>
          <w:szCs w:val="24"/>
        </w:rPr>
      </w:pPr>
    </w:p>
    <w:p w14:paraId="09F448B0" w14:textId="77777777" w:rsidR="00D00859" w:rsidRDefault="00D00859" w:rsidP="00846558">
      <w:pPr>
        <w:tabs>
          <w:tab w:val="left" w:pos="3650"/>
        </w:tabs>
        <w:ind w:firstLine="567"/>
        <w:jc w:val="center"/>
        <w:rPr>
          <w:rFonts w:ascii="Times New Roman" w:hAnsi="Times New Roman" w:cs="Times New Roman"/>
          <w:sz w:val="24"/>
          <w:szCs w:val="24"/>
        </w:rPr>
      </w:pPr>
      <w:r w:rsidRPr="00216006">
        <w:rPr>
          <w:rFonts w:ascii="Times New Roman" w:hAnsi="Times New Roman" w:cs="Times New Roman"/>
          <w:noProof/>
          <w:sz w:val="24"/>
          <w:szCs w:val="24"/>
          <w:lang w:val="en-US"/>
        </w:rPr>
        <w:drawing>
          <wp:inline distT="0" distB="0" distL="0" distR="0" wp14:anchorId="46A9297C" wp14:editId="62A95C0D">
            <wp:extent cx="4860000" cy="1980000"/>
            <wp:effectExtent l="0" t="0" r="0" b="127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B9536C4" w14:textId="77777777" w:rsidR="00846558" w:rsidRPr="007F2B73" w:rsidRDefault="00FD03B1" w:rsidP="007F2B73">
      <w:pPr>
        <w:pStyle w:val="Caption"/>
        <w:rPr>
          <w:szCs w:val="24"/>
        </w:rPr>
      </w:pPr>
      <w:bookmarkStart w:id="101" w:name="_Toc227593875"/>
      <w:bookmarkStart w:id="102" w:name="_Toc227594516"/>
      <w:r w:rsidRPr="007F2B73">
        <w:rPr>
          <w:szCs w:val="24"/>
        </w:rPr>
        <w:t>19</w:t>
      </w:r>
      <w:r w:rsidR="00846558" w:rsidRPr="007F2B73">
        <w:rPr>
          <w:szCs w:val="24"/>
        </w:rPr>
        <w:t xml:space="preserve"> pav. </w:t>
      </w:r>
      <w:r w:rsidR="00BD38D1" w:rsidRPr="007F2B73">
        <w:rPr>
          <w:szCs w:val="24"/>
        </w:rPr>
        <w:t>AB „Linas Agro“</w:t>
      </w:r>
      <w:r w:rsidR="00846558" w:rsidRPr="007F2B73">
        <w:rPr>
          <w:szCs w:val="24"/>
        </w:rPr>
        <w:t xml:space="preserve"> likvidumo rodiklių dinamika 2008-2012 m.</w:t>
      </w:r>
      <w:bookmarkEnd w:id="101"/>
      <w:bookmarkEnd w:id="102"/>
    </w:p>
    <w:p w14:paraId="2662EB33" w14:textId="77777777" w:rsidR="00BD38D1" w:rsidRDefault="00BD38D1" w:rsidP="00BD38D1">
      <w:pPr>
        <w:tabs>
          <w:tab w:val="left" w:pos="3650"/>
        </w:tabs>
        <w:spacing w:after="0" w:line="360" w:lineRule="auto"/>
        <w:ind w:firstLine="567"/>
        <w:jc w:val="center"/>
        <w:rPr>
          <w:rFonts w:ascii="Times New Roman" w:hAnsi="Times New Roman" w:cs="Times New Roman"/>
          <w:sz w:val="24"/>
          <w:szCs w:val="24"/>
        </w:rPr>
      </w:pPr>
    </w:p>
    <w:p w14:paraId="3BE5CFE1" w14:textId="77777777" w:rsidR="00BD38D1" w:rsidRDefault="00BD38D1" w:rsidP="00BD38D1">
      <w:pPr>
        <w:tabs>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Bendrai tradiciniai rodikliai ir trumpalaikių įsipareigojimų apmokėjimo koeficientas rodo skirtingą įmonių likvidumo būklę, tačiau tiek vieni, tiek kiti koeficientai nagrinėjamu laikotarpiu turėjo tendenciją augti.</w:t>
      </w:r>
    </w:p>
    <w:p w14:paraId="7A64C818" w14:textId="77777777" w:rsidR="00D00859" w:rsidRDefault="00D00859" w:rsidP="00BD38D1">
      <w:pPr>
        <w:tabs>
          <w:tab w:val="left" w:pos="3650"/>
        </w:tabs>
        <w:spacing w:after="0" w:line="360" w:lineRule="auto"/>
        <w:rPr>
          <w:rFonts w:ascii="Times New Roman" w:hAnsi="Times New Roman" w:cs="Times New Roman"/>
          <w:sz w:val="24"/>
          <w:szCs w:val="24"/>
        </w:rPr>
      </w:pPr>
    </w:p>
    <w:p w14:paraId="075D4D5D" w14:textId="77777777" w:rsidR="00D00859" w:rsidRPr="00031BA2" w:rsidRDefault="00D00859" w:rsidP="00BD38D1">
      <w:pPr>
        <w:tabs>
          <w:tab w:val="left" w:pos="3650"/>
        </w:tabs>
        <w:spacing w:after="0" w:line="360" w:lineRule="auto"/>
        <w:rPr>
          <w:rFonts w:ascii="Times New Roman" w:hAnsi="Times New Roman" w:cs="Times New Roman"/>
          <w:b/>
          <w:sz w:val="24"/>
          <w:szCs w:val="24"/>
        </w:rPr>
      </w:pPr>
      <w:r w:rsidRPr="00031BA2">
        <w:rPr>
          <w:rFonts w:ascii="Times New Roman" w:hAnsi="Times New Roman" w:cs="Times New Roman"/>
          <w:b/>
          <w:sz w:val="24"/>
          <w:szCs w:val="24"/>
        </w:rPr>
        <w:t>AB „Litgrid“</w:t>
      </w:r>
    </w:p>
    <w:p w14:paraId="216D9A04" w14:textId="77777777" w:rsidR="00D00859" w:rsidRDefault="00D00859" w:rsidP="00D00859">
      <w:pPr>
        <w:tabs>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Įmonė įsteigta 2010 m. lapkričio mėnesį, todėl ir rodikliai pateikiami nuo 2010 m. (</w:t>
      </w:r>
      <w:r w:rsidR="00BD38D1">
        <w:rPr>
          <w:rFonts w:ascii="Times New Roman" w:hAnsi="Times New Roman" w:cs="Times New Roman"/>
          <w:sz w:val="24"/>
          <w:szCs w:val="24"/>
        </w:rPr>
        <w:t>žr. 7</w:t>
      </w:r>
      <w:r>
        <w:rPr>
          <w:rFonts w:ascii="Times New Roman" w:hAnsi="Times New Roman" w:cs="Times New Roman"/>
          <w:sz w:val="24"/>
          <w:szCs w:val="24"/>
        </w:rPr>
        <w:t xml:space="preserve"> lent.).</w:t>
      </w:r>
    </w:p>
    <w:p w14:paraId="04BA4BE5" w14:textId="77777777" w:rsidR="00BD38D1" w:rsidRDefault="00BD38D1" w:rsidP="00BD38D1">
      <w:pPr>
        <w:tabs>
          <w:tab w:val="left" w:pos="4136"/>
        </w:tabs>
        <w:spacing w:after="0" w:line="360" w:lineRule="auto"/>
        <w:jc w:val="center"/>
        <w:rPr>
          <w:rFonts w:ascii="Times New Roman" w:hAnsi="Times New Roman" w:cs="Times New Roman"/>
          <w:b/>
          <w:sz w:val="24"/>
          <w:szCs w:val="24"/>
        </w:rPr>
      </w:pPr>
    </w:p>
    <w:p w14:paraId="79FE4BC2" w14:textId="77777777" w:rsidR="00BD38D1" w:rsidRPr="009900EC" w:rsidRDefault="00BD38D1" w:rsidP="009900EC">
      <w:pPr>
        <w:pStyle w:val="1ant"/>
        <w:rPr>
          <w:sz w:val="24"/>
          <w:szCs w:val="24"/>
        </w:rPr>
      </w:pPr>
      <w:bookmarkStart w:id="103" w:name="_Toc227595963"/>
      <w:r w:rsidRPr="009900EC">
        <w:rPr>
          <w:sz w:val="24"/>
          <w:szCs w:val="24"/>
        </w:rPr>
        <w:t>7 lentelė. AB „Litgrid“ likvidumo rodiklių dinamika 2008-2012 m.</w:t>
      </w:r>
      <w:bookmarkEnd w:id="103"/>
    </w:p>
    <w:tbl>
      <w:tblPr>
        <w:tblW w:w="5686" w:type="dxa"/>
        <w:jc w:val="center"/>
        <w:tblInd w:w="625" w:type="dxa"/>
        <w:tblLook w:val="04A0" w:firstRow="1" w:lastRow="0" w:firstColumn="1" w:lastColumn="0" w:noHBand="0" w:noVBand="1"/>
      </w:tblPr>
      <w:tblGrid>
        <w:gridCol w:w="3471"/>
        <w:gridCol w:w="733"/>
        <w:gridCol w:w="716"/>
        <w:gridCol w:w="766"/>
      </w:tblGrid>
      <w:tr w:rsidR="00D00859" w:rsidRPr="00031BA2" w14:paraId="0269089E" w14:textId="77777777" w:rsidTr="00F53335">
        <w:trPr>
          <w:trHeight w:val="300"/>
          <w:jc w:val="center"/>
        </w:trPr>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3AD4" w14:textId="77777777" w:rsidR="00D00859" w:rsidRPr="00031BA2" w:rsidRDefault="00D00859" w:rsidP="00D00859">
            <w:pPr>
              <w:spacing w:after="0" w:line="240" w:lineRule="auto"/>
              <w:rPr>
                <w:rFonts w:ascii="Times New Roman" w:eastAsia="Times New Roman" w:hAnsi="Times New Roman" w:cs="Times New Roman"/>
                <w:b/>
                <w:bCs/>
                <w:color w:val="000000"/>
                <w:sz w:val="20"/>
                <w:szCs w:val="20"/>
                <w:lang w:eastAsia="lt-LT"/>
              </w:rPr>
            </w:pPr>
            <w:r w:rsidRPr="00031BA2">
              <w:rPr>
                <w:rFonts w:ascii="Times New Roman" w:eastAsia="Times New Roman" w:hAnsi="Times New Roman" w:cs="Times New Roman"/>
                <w:b/>
                <w:bCs/>
                <w:color w:val="000000"/>
                <w:sz w:val="20"/>
                <w:szCs w:val="20"/>
                <w:lang w:eastAsia="lt-LT"/>
              </w:rPr>
              <w:t>Rodikliai\Metai</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2FB6997A"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2010</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0B2ABB95"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2011</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016B09F1"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2012</w:t>
            </w:r>
          </w:p>
        </w:tc>
      </w:tr>
      <w:tr w:rsidR="00D00859" w:rsidRPr="00031BA2" w14:paraId="60E35FFC"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127C535E" w14:textId="77777777" w:rsidR="00D00859" w:rsidRPr="00031BA2" w:rsidRDefault="00D00859" w:rsidP="00D00859">
            <w:pPr>
              <w:spacing w:after="0" w:line="240" w:lineRule="auto"/>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Bendrasis likvidumas</w:t>
            </w:r>
          </w:p>
        </w:tc>
        <w:tc>
          <w:tcPr>
            <w:tcW w:w="733" w:type="dxa"/>
            <w:tcBorders>
              <w:top w:val="nil"/>
              <w:left w:val="nil"/>
              <w:bottom w:val="single" w:sz="4" w:space="0" w:color="auto"/>
              <w:right w:val="single" w:sz="4" w:space="0" w:color="auto"/>
            </w:tcBorders>
            <w:shd w:val="clear" w:color="auto" w:fill="auto"/>
            <w:noWrap/>
            <w:vAlign w:val="bottom"/>
            <w:hideMark/>
          </w:tcPr>
          <w:p w14:paraId="46970471"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1,5</w:t>
            </w:r>
            <w:r>
              <w:rPr>
                <w:rFonts w:ascii="Times New Roman" w:eastAsia="Times New Roman" w:hAnsi="Times New Roman" w:cs="Times New Roman"/>
                <w:color w:val="000000"/>
                <w:sz w:val="20"/>
                <w:szCs w:val="20"/>
                <w:lang w:eastAsia="lt-LT"/>
              </w:rPr>
              <w:t>0</w:t>
            </w:r>
          </w:p>
        </w:tc>
        <w:tc>
          <w:tcPr>
            <w:tcW w:w="716" w:type="dxa"/>
            <w:tcBorders>
              <w:top w:val="nil"/>
              <w:left w:val="nil"/>
              <w:bottom w:val="single" w:sz="4" w:space="0" w:color="auto"/>
              <w:right w:val="single" w:sz="4" w:space="0" w:color="auto"/>
            </w:tcBorders>
            <w:shd w:val="clear" w:color="auto" w:fill="auto"/>
            <w:noWrap/>
            <w:vAlign w:val="bottom"/>
            <w:hideMark/>
          </w:tcPr>
          <w:p w14:paraId="2A923297"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1,88</w:t>
            </w:r>
          </w:p>
        </w:tc>
        <w:tc>
          <w:tcPr>
            <w:tcW w:w="766" w:type="dxa"/>
            <w:tcBorders>
              <w:top w:val="nil"/>
              <w:left w:val="nil"/>
              <w:bottom w:val="single" w:sz="4" w:space="0" w:color="auto"/>
              <w:right w:val="single" w:sz="4" w:space="0" w:color="auto"/>
            </w:tcBorders>
            <w:shd w:val="clear" w:color="auto" w:fill="auto"/>
            <w:noWrap/>
            <w:vAlign w:val="bottom"/>
            <w:hideMark/>
          </w:tcPr>
          <w:p w14:paraId="45AB8A3F"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1,13</w:t>
            </w:r>
          </w:p>
        </w:tc>
      </w:tr>
      <w:tr w:rsidR="00D00859" w:rsidRPr="00031BA2" w14:paraId="2043C71B"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DE6433B" w14:textId="77777777" w:rsidR="00D00859" w:rsidRPr="00031BA2" w:rsidRDefault="00D00859" w:rsidP="00D00859">
            <w:pPr>
              <w:spacing w:after="0" w:line="240" w:lineRule="auto"/>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Greitasis likvidumas</w:t>
            </w:r>
          </w:p>
        </w:tc>
        <w:tc>
          <w:tcPr>
            <w:tcW w:w="733" w:type="dxa"/>
            <w:tcBorders>
              <w:top w:val="nil"/>
              <w:left w:val="nil"/>
              <w:bottom w:val="single" w:sz="4" w:space="0" w:color="auto"/>
              <w:right w:val="single" w:sz="4" w:space="0" w:color="auto"/>
            </w:tcBorders>
            <w:shd w:val="clear" w:color="auto" w:fill="auto"/>
            <w:noWrap/>
            <w:vAlign w:val="bottom"/>
            <w:hideMark/>
          </w:tcPr>
          <w:p w14:paraId="55ADEB80"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1,46</w:t>
            </w:r>
          </w:p>
        </w:tc>
        <w:tc>
          <w:tcPr>
            <w:tcW w:w="716" w:type="dxa"/>
            <w:tcBorders>
              <w:top w:val="nil"/>
              <w:left w:val="nil"/>
              <w:bottom w:val="single" w:sz="4" w:space="0" w:color="auto"/>
              <w:right w:val="single" w:sz="4" w:space="0" w:color="auto"/>
            </w:tcBorders>
            <w:shd w:val="clear" w:color="auto" w:fill="auto"/>
            <w:noWrap/>
            <w:vAlign w:val="bottom"/>
            <w:hideMark/>
          </w:tcPr>
          <w:p w14:paraId="0C3068C4"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1,86</w:t>
            </w:r>
          </w:p>
        </w:tc>
        <w:tc>
          <w:tcPr>
            <w:tcW w:w="766" w:type="dxa"/>
            <w:tcBorders>
              <w:top w:val="nil"/>
              <w:left w:val="nil"/>
              <w:bottom w:val="single" w:sz="4" w:space="0" w:color="auto"/>
              <w:right w:val="single" w:sz="4" w:space="0" w:color="auto"/>
            </w:tcBorders>
            <w:shd w:val="clear" w:color="auto" w:fill="auto"/>
            <w:noWrap/>
            <w:vAlign w:val="bottom"/>
            <w:hideMark/>
          </w:tcPr>
          <w:p w14:paraId="382FE3D2"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1,12</w:t>
            </w:r>
          </w:p>
        </w:tc>
      </w:tr>
      <w:tr w:rsidR="00D00859" w:rsidRPr="00031BA2" w14:paraId="76765614"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633A2C26" w14:textId="77777777" w:rsidR="00D00859" w:rsidRPr="00031BA2" w:rsidRDefault="00D00859" w:rsidP="00D00859">
            <w:pPr>
              <w:spacing w:after="0" w:line="240" w:lineRule="auto"/>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Kritinis likvidumas</w:t>
            </w:r>
          </w:p>
        </w:tc>
        <w:tc>
          <w:tcPr>
            <w:tcW w:w="733" w:type="dxa"/>
            <w:tcBorders>
              <w:top w:val="nil"/>
              <w:left w:val="nil"/>
              <w:bottom w:val="single" w:sz="4" w:space="0" w:color="auto"/>
              <w:right w:val="single" w:sz="4" w:space="0" w:color="auto"/>
            </w:tcBorders>
            <w:shd w:val="clear" w:color="auto" w:fill="auto"/>
            <w:noWrap/>
            <w:vAlign w:val="bottom"/>
            <w:hideMark/>
          </w:tcPr>
          <w:p w14:paraId="49BCA9BC"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1,07</w:t>
            </w:r>
          </w:p>
        </w:tc>
        <w:tc>
          <w:tcPr>
            <w:tcW w:w="716" w:type="dxa"/>
            <w:tcBorders>
              <w:top w:val="nil"/>
              <w:left w:val="nil"/>
              <w:bottom w:val="single" w:sz="4" w:space="0" w:color="auto"/>
              <w:right w:val="single" w:sz="4" w:space="0" w:color="auto"/>
            </w:tcBorders>
            <w:shd w:val="clear" w:color="auto" w:fill="auto"/>
            <w:noWrap/>
            <w:vAlign w:val="bottom"/>
            <w:hideMark/>
          </w:tcPr>
          <w:p w14:paraId="65C87BC5"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0,28</w:t>
            </w:r>
          </w:p>
        </w:tc>
        <w:tc>
          <w:tcPr>
            <w:tcW w:w="766" w:type="dxa"/>
            <w:tcBorders>
              <w:top w:val="nil"/>
              <w:left w:val="nil"/>
              <w:bottom w:val="single" w:sz="4" w:space="0" w:color="auto"/>
              <w:right w:val="single" w:sz="4" w:space="0" w:color="auto"/>
            </w:tcBorders>
            <w:shd w:val="clear" w:color="auto" w:fill="auto"/>
            <w:noWrap/>
            <w:vAlign w:val="bottom"/>
            <w:hideMark/>
          </w:tcPr>
          <w:p w14:paraId="574112AD"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w:t>
            </w:r>
            <w:r w:rsidRPr="00031BA2">
              <w:rPr>
                <w:rFonts w:ascii="Times New Roman" w:eastAsia="Times New Roman" w:hAnsi="Times New Roman" w:cs="Times New Roman"/>
                <w:color w:val="000000"/>
                <w:sz w:val="20"/>
                <w:szCs w:val="20"/>
                <w:lang w:eastAsia="lt-LT"/>
              </w:rPr>
              <w:t>42</w:t>
            </w:r>
          </w:p>
        </w:tc>
      </w:tr>
      <w:tr w:rsidR="00D00859" w:rsidRPr="00031BA2" w14:paraId="5721599C"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34D1384D" w14:textId="77777777" w:rsidR="00D00859" w:rsidRPr="00031BA2" w:rsidRDefault="00D00859" w:rsidP="00D00859">
            <w:pPr>
              <w:spacing w:after="0" w:line="240" w:lineRule="auto"/>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Tr. Į. apmokėjimo pinigais koeficientas</w:t>
            </w:r>
          </w:p>
        </w:tc>
        <w:tc>
          <w:tcPr>
            <w:tcW w:w="733" w:type="dxa"/>
            <w:tcBorders>
              <w:top w:val="nil"/>
              <w:left w:val="nil"/>
              <w:bottom w:val="single" w:sz="4" w:space="0" w:color="auto"/>
              <w:right w:val="single" w:sz="4" w:space="0" w:color="auto"/>
            </w:tcBorders>
            <w:shd w:val="clear" w:color="auto" w:fill="auto"/>
            <w:noWrap/>
            <w:vAlign w:val="bottom"/>
            <w:hideMark/>
          </w:tcPr>
          <w:p w14:paraId="59699F56"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-0,01</w:t>
            </w:r>
          </w:p>
        </w:tc>
        <w:tc>
          <w:tcPr>
            <w:tcW w:w="716" w:type="dxa"/>
            <w:tcBorders>
              <w:top w:val="nil"/>
              <w:left w:val="nil"/>
              <w:bottom w:val="single" w:sz="4" w:space="0" w:color="auto"/>
              <w:right w:val="single" w:sz="4" w:space="0" w:color="auto"/>
            </w:tcBorders>
            <w:shd w:val="clear" w:color="auto" w:fill="auto"/>
            <w:noWrap/>
            <w:vAlign w:val="bottom"/>
            <w:hideMark/>
          </w:tcPr>
          <w:p w14:paraId="44129D61"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0,28</w:t>
            </w:r>
          </w:p>
        </w:tc>
        <w:tc>
          <w:tcPr>
            <w:tcW w:w="766" w:type="dxa"/>
            <w:tcBorders>
              <w:top w:val="nil"/>
              <w:left w:val="nil"/>
              <w:bottom w:val="single" w:sz="4" w:space="0" w:color="auto"/>
              <w:right w:val="single" w:sz="4" w:space="0" w:color="auto"/>
            </w:tcBorders>
            <w:shd w:val="clear" w:color="auto" w:fill="auto"/>
            <w:noWrap/>
            <w:vAlign w:val="bottom"/>
            <w:hideMark/>
          </w:tcPr>
          <w:p w14:paraId="192C64BD" w14:textId="77777777" w:rsidR="00D00859" w:rsidRPr="00031BA2"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031BA2">
              <w:rPr>
                <w:rFonts w:ascii="Times New Roman" w:eastAsia="Times New Roman" w:hAnsi="Times New Roman" w:cs="Times New Roman"/>
                <w:color w:val="000000"/>
                <w:sz w:val="20"/>
                <w:szCs w:val="20"/>
                <w:lang w:eastAsia="lt-LT"/>
              </w:rPr>
              <w:t>0,42</w:t>
            </w:r>
          </w:p>
        </w:tc>
      </w:tr>
    </w:tbl>
    <w:p w14:paraId="3577A34B" w14:textId="77777777" w:rsidR="00D00859" w:rsidRDefault="00D00859" w:rsidP="00BD38D1">
      <w:pPr>
        <w:tabs>
          <w:tab w:val="left" w:pos="3650"/>
        </w:tabs>
        <w:spacing w:after="0" w:line="360" w:lineRule="auto"/>
        <w:rPr>
          <w:rFonts w:ascii="Times New Roman" w:hAnsi="Times New Roman" w:cs="Times New Roman"/>
          <w:sz w:val="24"/>
          <w:szCs w:val="24"/>
        </w:rPr>
      </w:pPr>
    </w:p>
    <w:p w14:paraId="49C0441F" w14:textId="77777777" w:rsidR="00D00859" w:rsidRDefault="00D00859" w:rsidP="00D00859">
      <w:pPr>
        <w:tabs>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Bendrojo ir greitojo likvidumo koeficientai 2011 m. padidėjo atitinkamai 0,38 ir 0,4. Pastebėtina, jog šių rodiklių reikšmės panašios, kas byloje, jog įmonėje nėra daug atsargų. Tuo tarpu 2012 m. tiek bendrasis, tiek greitasis likvidumas sumažėjo atitinkamai 0,75 ir 0,74. Kritinio likvidumo koeficientas skirtingai nei prieš tai minėti rodikliai 2011 m. nukrito, o 2012 m. vėl padidėjo. Atkreiptinas dėmesys, jog didžiausia šio rodiklio reikšmė buvo įmonės veiklos pradžioje. </w:t>
      </w:r>
    </w:p>
    <w:p w14:paraId="700224DD" w14:textId="77777777" w:rsidR="00D00859" w:rsidRDefault="00D00859" w:rsidP="00D00859">
      <w:pPr>
        <w:tabs>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Trumpalaikių įsipareigojimų apmokėjimo pinigais koeficientas nuo įmonės veiklos pradžio tendencingai didėjo. Jei pirmaisiais metais šis rodiklis buvo neigiamas, tai 2011 m. jis išaugo 0,29, o 2012 m. – 0,14. Apibendrinant visų likvidumo rodiklių reikšmes ir kitimo dinamiką, galima teigti, kad įmonės likvidumo lygis pakankamai aukštas ir artimiausiu laikotarpiu neturėtų nukristi iki nepatenkinamo lygio.</w:t>
      </w:r>
    </w:p>
    <w:p w14:paraId="1D4D16B1" w14:textId="77777777" w:rsidR="00D00859" w:rsidRDefault="00D00859" w:rsidP="00D00859">
      <w:pPr>
        <w:tabs>
          <w:tab w:val="left" w:pos="3650"/>
        </w:tabs>
        <w:spacing w:after="0" w:line="360" w:lineRule="auto"/>
        <w:jc w:val="both"/>
        <w:rPr>
          <w:rFonts w:ascii="Times New Roman" w:hAnsi="Times New Roman" w:cs="Times New Roman"/>
          <w:sz w:val="24"/>
          <w:szCs w:val="24"/>
        </w:rPr>
      </w:pPr>
    </w:p>
    <w:p w14:paraId="316C4710" w14:textId="77777777" w:rsidR="00D00859" w:rsidRDefault="00D00859" w:rsidP="00D00859">
      <w:pPr>
        <w:tabs>
          <w:tab w:val="left" w:pos="3650"/>
        </w:tabs>
        <w:spacing w:after="0" w:line="360" w:lineRule="auto"/>
        <w:jc w:val="both"/>
        <w:rPr>
          <w:rFonts w:ascii="Times New Roman" w:hAnsi="Times New Roman" w:cs="Times New Roman"/>
          <w:b/>
          <w:sz w:val="24"/>
          <w:szCs w:val="24"/>
        </w:rPr>
      </w:pPr>
      <w:r w:rsidRPr="00CF1220">
        <w:rPr>
          <w:rFonts w:ascii="Times New Roman" w:hAnsi="Times New Roman" w:cs="Times New Roman"/>
          <w:b/>
          <w:sz w:val="24"/>
          <w:szCs w:val="24"/>
        </w:rPr>
        <w:t>AB „Panevėžio statybos trestas“</w:t>
      </w:r>
    </w:p>
    <w:p w14:paraId="21EF0496" w14:textId="77777777" w:rsidR="00D00859" w:rsidRDefault="00D00859" w:rsidP="00D00859">
      <w:pPr>
        <w:tabs>
          <w:tab w:val="left" w:pos="3650"/>
        </w:tabs>
        <w:spacing w:after="0" w:line="360" w:lineRule="auto"/>
        <w:ind w:firstLine="567"/>
        <w:jc w:val="both"/>
        <w:rPr>
          <w:rFonts w:ascii="Times New Roman" w:hAnsi="Times New Roman" w:cs="Times New Roman"/>
          <w:sz w:val="24"/>
          <w:szCs w:val="24"/>
        </w:rPr>
      </w:pPr>
      <w:r w:rsidRPr="004E4605">
        <w:rPr>
          <w:rFonts w:ascii="Times New Roman" w:hAnsi="Times New Roman" w:cs="Times New Roman"/>
          <w:sz w:val="24"/>
          <w:szCs w:val="24"/>
        </w:rPr>
        <w:t xml:space="preserve">Šios įmonės likvidumo rodiklių dinamiką atspindi </w:t>
      </w:r>
      <w:r w:rsidR="00523A73">
        <w:rPr>
          <w:rFonts w:ascii="Times New Roman" w:hAnsi="Times New Roman" w:cs="Times New Roman"/>
          <w:sz w:val="24"/>
          <w:szCs w:val="24"/>
        </w:rPr>
        <w:t>20</w:t>
      </w:r>
      <w:r w:rsidRPr="004E4605">
        <w:rPr>
          <w:rFonts w:ascii="Times New Roman" w:hAnsi="Times New Roman" w:cs="Times New Roman"/>
          <w:sz w:val="24"/>
          <w:szCs w:val="24"/>
        </w:rPr>
        <w:t xml:space="preserve"> paveikslas.</w:t>
      </w:r>
      <w:r>
        <w:rPr>
          <w:rFonts w:ascii="Times New Roman" w:hAnsi="Times New Roman" w:cs="Times New Roman"/>
          <w:sz w:val="24"/>
          <w:szCs w:val="24"/>
        </w:rPr>
        <w:t xml:space="preserve"> Bendrojo ir greitojo likvidumo koeficientai tiriamu laikotarpiu kito identiškai: iki 2010 m. augo, 2011 m. sumažėjo, 2012 m. vėl augo. Bendrai per šį laikotarpį bendrojo likvidumo koeficiento reikšmė padidėjo 0,38, tuo tarpu greitojo likvidumo reikšmė padidėjo 0,32. Šie rodikliai nepaisant svyravimų išliko aukšti. Kritinis likvidumas 2009 m. išaugo, po to sekė tendencingas šio rodiklio reikšmės mažėjimas. Bendrai, nagrinėjamu laikotarpiu rodiklis sumažėjo dvigubai. </w:t>
      </w:r>
    </w:p>
    <w:p w14:paraId="698FA4D0" w14:textId="77777777" w:rsidR="00523A73" w:rsidRPr="0041759E" w:rsidRDefault="00523A73" w:rsidP="00D00859">
      <w:pPr>
        <w:tabs>
          <w:tab w:val="left" w:pos="3650"/>
        </w:tabs>
        <w:spacing w:after="0" w:line="360" w:lineRule="auto"/>
        <w:ind w:firstLine="567"/>
        <w:jc w:val="both"/>
        <w:rPr>
          <w:rFonts w:ascii="Times New Roman" w:hAnsi="Times New Roman" w:cs="Times New Roman"/>
          <w:sz w:val="24"/>
          <w:szCs w:val="24"/>
        </w:rPr>
      </w:pPr>
    </w:p>
    <w:p w14:paraId="46B2B3DA" w14:textId="77777777" w:rsidR="00D00859" w:rsidRDefault="00D00859" w:rsidP="00846558">
      <w:pPr>
        <w:tabs>
          <w:tab w:val="left" w:pos="3650"/>
        </w:tabs>
        <w:spacing w:after="0" w:line="360" w:lineRule="auto"/>
        <w:ind w:firstLine="567"/>
        <w:jc w:val="center"/>
        <w:rPr>
          <w:rFonts w:ascii="Times New Roman" w:hAnsi="Times New Roman" w:cs="Times New Roman"/>
          <w:sz w:val="24"/>
          <w:szCs w:val="24"/>
        </w:rPr>
      </w:pPr>
      <w:r w:rsidRPr="004E4605">
        <w:rPr>
          <w:rFonts w:ascii="Times New Roman" w:hAnsi="Times New Roman" w:cs="Times New Roman"/>
          <w:noProof/>
          <w:sz w:val="24"/>
          <w:szCs w:val="24"/>
          <w:lang w:val="en-US"/>
        </w:rPr>
        <w:drawing>
          <wp:inline distT="0" distB="0" distL="0" distR="0" wp14:anchorId="163D4F0B" wp14:editId="490E1730">
            <wp:extent cx="4860000" cy="1980000"/>
            <wp:effectExtent l="0" t="0" r="0" b="127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0AA8870" w14:textId="77777777" w:rsidR="00846558" w:rsidRPr="007F2B73" w:rsidRDefault="00FD03B1" w:rsidP="007F2B73">
      <w:pPr>
        <w:pStyle w:val="Caption"/>
        <w:rPr>
          <w:szCs w:val="24"/>
        </w:rPr>
      </w:pPr>
      <w:bookmarkStart w:id="104" w:name="_Toc227593876"/>
      <w:bookmarkStart w:id="105" w:name="_Toc227594517"/>
      <w:r w:rsidRPr="007F2B73">
        <w:rPr>
          <w:szCs w:val="24"/>
        </w:rPr>
        <w:t>20</w:t>
      </w:r>
      <w:r w:rsidR="00846558" w:rsidRPr="007F2B73">
        <w:rPr>
          <w:szCs w:val="24"/>
        </w:rPr>
        <w:t xml:space="preserve"> pav. </w:t>
      </w:r>
      <w:r w:rsidR="00523A73" w:rsidRPr="007F2B73">
        <w:rPr>
          <w:szCs w:val="24"/>
        </w:rPr>
        <w:t>AB „Panevėžio statybos trestas“</w:t>
      </w:r>
      <w:r w:rsidR="00846558" w:rsidRPr="007F2B73">
        <w:rPr>
          <w:szCs w:val="24"/>
        </w:rPr>
        <w:t xml:space="preserve"> likvidumo rodiklių dinamika 2008-2012 m.</w:t>
      </w:r>
      <w:bookmarkEnd w:id="104"/>
      <w:bookmarkEnd w:id="105"/>
    </w:p>
    <w:p w14:paraId="39410D26" w14:textId="77777777" w:rsidR="00523A73" w:rsidRDefault="00523A73" w:rsidP="00846558">
      <w:pPr>
        <w:tabs>
          <w:tab w:val="left" w:pos="3650"/>
        </w:tabs>
        <w:spacing w:after="0" w:line="360" w:lineRule="auto"/>
        <w:ind w:firstLine="567"/>
        <w:jc w:val="center"/>
        <w:rPr>
          <w:rFonts w:ascii="Times New Roman" w:hAnsi="Times New Roman" w:cs="Times New Roman"/>
          <w:sz w:val="24"/>
          <w:szCs w:val="24"/>
        </w:rPr>
      </w:pPr>
    </w:p>
    <w:p w14:paraId="0FA24A31" w14:textId="77777777" w:rsidR="00D00859" w:rsidRPr="000A5988" w:rsidRDefault="00D00859" w:rsidP="00D00859">
      <w:pPr>
        <w:tabs>
          <w:tab w:val="left" w:pos="3650"/>
        </w:tabs>
        <w:spacing w:after="0" w:line="360" w:lineRule="auto"/>
        <w:ind w:firstLine="567"/>
        <w:jc w:val="both"/>
        <w:rPr>
          <w:rFonts w:ascii="Times New Roman" w:hAnsi="Times New Roman" w:cs="Times New Roman"/>
          <w:sz w:val="24"/>
          <w:szCs w:val="24"/>
        </w:rPr>
      </w:pPr>
      <w:r w:rsidRPr="000A5988">
        <w:rPr>
          <w:rFonts w:ascii="Times New Roman" w:hAnsi="Times New Roman" w:cs="Times New Roman"/>
          <w:sz w:val="24"/>
          <w:szCs w:val="24"/>
        </w:rPr>
        <w:t>Atkre</w:t>
      </w:r>
      <w:r w:rsidR="00523A73">
        <w:rPr>
          <w:rFonts w:ascii="Times New Roman" w:hAnsi="Times New Roman" w:cs="Times New Roman"/>
          <w:sz w:val="24"/>
          <w:szCs w:val="24"/>
        </w:rPr>
        <w:t>i</w:t>
      </w:r>
      <w:r w:rsidRPr="000A5988">
        <w:rPr>
          <w:rFonts w:ascii="Times New Roman" w:hAnsi="Times New Roman" w:cs="Times New Roman"/>
          <w:sz w:val="24"/>
          <w:szCs w:val="24"/>
        </w:rPr>
        <w:t>ptinas dėmesys į trumpalaikių įsipareigojimų apmokėjimo pinigais koeficiento dinamiką. Jei iki 2010 m. šio rodiklio reikšmė padidėjo 1,8 karto, tai nuo 2010 m. sekė ženklus rodiklio kritimas, o 2012 m. rodiklio reikšmė buvo neigiama. Apibendrinant, jei remiantis tik tradiciniais likvidumo rodikliais, įmonės likvidumo lygis aukštas ir abejonių dėl veiklos tęstinumo kilti neturėtų. Tačiau šioje situacijoje trumpalaikių įsipareigojimų padengimo pinigais koeficientas rodo absoliučiai priešingus rezultatus.</w:t>
      </w:r>
    </w:p>
    <w:p w14:paraId="395FDF56" w14:textId="77777777" w:rsidR="00523A73" w:rsidRDefault="00523A73" w:rsidP="00D00859">
      <w:pPr>
        <w:tabs>
          <w:tab w:val="left" w:pos="3650"/>
        </w:tabs>
        <w:spacing w:after="0" w:line="360" w:lineRule="auto"/>
        <w:ind w:firstLine="567"/>
        <w:jc w:val="both"/>
        <w:rPr>
          <w:rFonts w:ascii="Times New Roman" w:hAnsi="Times New Roman" w:cs="Times New Roman"/>
          <w:sz w:val="24"/>
          <w:szCs w:val="24"/>
        </w:rPr>
      </w:pPr>
    </w:p>
    <w:p w14:paraId="2E07A9D4" w14:textId="77777777" w:rsidR="00D00859" w:rsidRDefault="00D00859" w:rsidP="00D00859">
      <w:pPr>
        <w:tabs>
          <w:tab w:val="left" w:pos="3650"/>
        </w:tabs>
        <w:spacing w:after="0" w:line="360" w:lineRule="auto"/>
        <w:jc w:val="both"/>
        <w:rPr>
          <w:rFonts w:ascii="Times New Roman" w:hAnsi="Times New Roman" w:cs="Times New Roman"/>
          <w:b/>
          <w:sz w:val="24"/>
          <w:szCs w:val="24"/>
        </w:rPr>
      </w:pPr>
      <w:r w:rsidRPr="002E2004">
        <w:rPr>
          <w:rFonts w:ascii="Times New Roman" w:hAnsi="Times New Roman" w:cs="Times New Roman"/>
          <w:b/>
          <w:sz w:val="24"/>
          <w:szCs w:val="24"/>
        </w:rPr>
        <w:t>AB „Pieno žvaigždės“, AB „Rokiškio sūris“, AB „Vilkyškių pieninė“ ir AB „Žemaitijos pienas“</w:t>
      </w:r>
    </w:p>
    <w:p w14:paraId="770AFDB5"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Šios keturios įmonės yra to paties sektoriaus ir rinkoje jos konkuruojančios, todėl tikslinga atlikti likvidumo dinamikų palyginimą.</w:t>
      </w:r>
    </w:p>
    <w:p w14:paraId="7BB404D5"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23A73">
        <w:rPr>
          <w:rFonts w:ascii="Times New Roman" w:hAnsi="Times New Roman" w:cs="Times New Roman"/>
          <w:sz w:val="24"/>
          <w:szCs w:val="24"/>
        </w:rPr>
        <w:t>1</w:t>
      </w:r>
      <w:r>
        <w:rPr>
          <w:rFonts w:ascii="Times New Roman" w:hAnsi="Times New Roman" w:cs="Times New Roman"/>
          <w:sz w:val="24"/>
          <w:szCs w:val="24"/>
        </w:rPr>
        <w:t xml:space="preserve"> paveikslas vaizduoja AB „Pieno žvaigždės“ likvidumo rodiklių dinamiką.</w:t>
      </w:r>
    </w:p>
    <w:p w14:paraId="442A57CA" w14:textId="77777777" w:rsidR="00523A73" w:rsidRDefault="00523A73" w:rsidP="00D00859">
      <w:pPr>
        <w:tabs>
          <w:tab w:val="left" w:pos="567"/>
          <w:tab w:val="left" w:pos="3650"/>
        </w:tabs>
        <w:spacing w:after="0" w:line="360" w:lineRule="auto"/>
        <w:ind w:firstLine="567"/>
        <w:jc w:val="both"/>
        <w:rPr>
          <w:rFonts w:ascii="Times New Roman" w:hAnsi="Times New Roman" w:cs="Times New Roman"/>
          <w:sz w:val="24"/>
          <w:szCs w:val="24"/>
        </w:rPr>
      </w:pPr>
    </w:p>
    <w:p w14:paraId="2776B654" w14:textId="77777777" w:rsidR="00D00859" w:rsidRDefault="00D00859" w:rsidP="00846558">
      <w:pPr>
        <w:tabs>
          <w:tab w:val="left" w:pos="567"/>
          <w:tab w:val="left" w:pos="3650"/>
        </w:tabs>
        <w:spacing w:after="0" w:line="360" w:lineRule="auto"/>
        <w:ind w:firstLine="567"/>
        <w:jc w:val="center"/>
        <w:rPr>
          <w:rFonts w:ascii="Times New Roman" w:hAnsi="Times New Roman" w:cs="Times New Roman"/>
          <w:sz w:val="24"/>
          <w:szCs w:val="24"/>
        </w:rPr>
      </w:pPr>
      <w:r w:rsidRPr="002E2004">
        <w:rPr>
          <w:rFonts w:ascii="Times New Roman" w:hAnsi="Times New Roman" w:cs="Times New Roman"/>
          <w:noProof/>
          <w:sz w:val="24"/>
          <w:szCs w:val="24"/>
          <w:lang w:val="en-US"/>
        </w:rPr>
        <w:drawing>
          <wp:inline distT="0" distB="0" distL="0" distR="0" wp14:anchorId="3C9C5D23" wp14:editId="55ADD33E">
            <wp:extent cx="4860000" cy="1980000"/>
            <wp:effectExtent l="0" t="0" r="0" b="1270"/>
            <wp:docPr id="2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03D751B" w14:textId="77777777" w:rsidR="00846558" w:rsidRPr="007F2B73" w:rsidRDefault="00FD03B1" w:rsidP="007F2B73">
      <w:pPr>
        <w:pStyle w:val="Caption"/>
        <w:rPr>
          <w:szCs w:val="24"/>
        </w:rPr>
      </w:pPr>
      <w:bookmarkStart w:id="106" w:name="_Toc227593877"/>
      <w:bookmarkStart w:id="107" w:name="_Toc227594518"/>
      <w:r w:rsidRPr="007F2B73">
        <w:rPr>
          <w:szCs w:val="24"/>
        </w:rPr>
        <w:t>21</w:t>
      </w:r>
      <w:r w:rsidR="00846558" w:rsidRPr="007F2B73">
        <w:rPr>
          <w:szCs w:val="24"/>
        </w:rPr>
        <w:t xml:space="preserve"> pav. </w:t>
      </w:r>
      <w:r w:rsidR="00523A73" w:rsidRPr="007F2B73">
        <w:rPr>
          <w:szCs w:val="24"/>
        </w:rPr>
        <w:t>AB „Pieno žvaigždės“</w:t>
      </w:r>
      <w:r w:rsidR="00846558" w:rsidRPr="007F2B73">
        <w:rPr>
          <w:szCs w:val="24"/>
        </w:rPr>
        <w:t xml:space="preserve"> likvidumo rodiklių dinamika 2008-2012 m.</w:t>
      </w:r>
      <w:bookmarkEnd w:id="106"/>
      <w:bookmarkEnd w:id="107"/>
    </w:p>
    <w:p w14:paraId="20C25651" w14:textId="77777777" w:rsidR="00523A73" w:rsidRDefault="00523A73" w:rsidP="00846558">
      <w:pPr>
        <w:tabs>
          <w:tab w:val="left" w:pos="567"/>
          <w:tab w:val="left" w:pos="3650"/>
        </w:tabs>
        <w:spacing w:after="0" w:line="360" w:lineRule="auto"/>
        <w:ind w:firstLine="567"/>
        <w:jc w:val="center"/>
        <w:rPr>
          <w:rFonts w:ascii="Times New Roman" w:hAnsi="Times New Roman" w:cs="Times New Roman"/>
          <w:sz w:val="24"/>
          <w:szCs w:val="24"/>
        </w:rPr>
      </w:pPr>
    </w:p>
    <w:p w14:paraId="5A761C2B"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Bendrojo likvidumo koeficientas nuo 2009 m. iki 2011 m. turėjo tendenciją kasmet augti, atitinkamai rodiklio reikšmė kasmet padidėjo 0,24 ir 0,71. Tačiau 2012 m. šio rodiklio reikšmė sumažėjo. Greitasis likvidumas nagrinėjamu laikotarpiu svyravo tarp 0,44 ir 0,86 ir didžiausią reikšmę, kaip ir bendrasis likvidumas, įgijo 2011 m. Tuo tarpu kritinis likvidumas nagrinėjamu laikotarpiu buvo žemas ir svyravo tarp 0,01 ir 0,04. Atkreiptinas dėmesys, kad visi tradiciniai likvidumo rodikliai padidėjo lyginant 2008 m. su 2012 m.</w:t>
      </w:r>
    </w:p>
    <w:p w14:paraId="0023870D"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Trumpalaikių įsipareigojimų apmokėjimo pinigais koeficientas turėjo tendenciją didėti, neskaitant 2010 m., kuomet šis rodiklis sumažėjo dvigubai. Apibendrinant, galima teigti, jog įmonės likvidumo lygis yra geras, jeigu vertinti tik bendrąjį likvidumą, tačiau žiūrint į kitus rodiklius, įmonė turėtų skirti daugiau dėmesio likvidumo valdymui, nors paskutinių kelių metų praktika rodo, kad įmonės situacija gerėja.</w:t>
      </w:r>
    </w:p>
    <w:p w14:paraId="6E00A0A3"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„Rokiškio sūris“ likvidumo rodikliai atsispindi 2</w:t>
      </w:r>
      <w:r w:rsidR="00523A73">
        <w:rPr>
          <w:rFonts w:ascii="Times New Roman" w:hAnsi="Times New Roman" w:cs="Times New Roman"/>
          <w:sz w:val="24"/>
          <w:szCs w:val="24"/>
        </w:rPr>
        <w:t>2</w:t>
      </w:r>
      <w:r>
        <w:rPr>
          <w:rFonts w:ascii="Times New Roman" w:hAnsi="Times New Roman" w:cs="Times New Roman"/>
          <w:sz w:val="24"/>
          <w:szCs w:val="24"/>
        </w:rPr>
        <w:t xml:space="preserve"> paveiksle.</w:t>
      </w:r>
    </w:p>
    <w:p w14:paraId="291F7FC9" w14:textId="77777777" w:rsidR="00523A73" w:rsidRDefault="00523A73" w:rsidP="00523A73">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Iš grafiko matyti, jog bendrojo likvidumo koeficientas tiriamu laikotarpiu nuolatos didėjo ir didžiausią reikšmę įgijo 2012 m., kuomet išaugo 0,62. Šio rodiklio reikšmė visą nagrinėjamą laikotarpį atspindėjo aukštą įmonės likvidumą. Greitasis likvidumas didėjo 2009 m. ir 2012 m. Svarbiausia tai, jog šis rodiklis, kaip ir bendrasis likvidumas, visą nagrinėjamą laikotarpį buvo aukštas ir didžiausią reikšmę įgijo 2012 m. Tuo tarpu kritinis likvidumas 2009 m. didėjo, o sekančiais laikotarpiais turėjo tendenciją mažėti. Nors lyginant 2012 m. su 2008 m., šis rodiklis išaugo.</w:t>
      </w:r>
    </w:p>
    <w:p w14:paraId="3875F98B" w14:textId="77777777" w:rsidR="00523A73" w:rsidRDefault="00523A73" w:rsidP="00D00859">
      <w:pPr>
        <w:tabs>
          <w:tab w:val="left" w:pos="567"/>
          <w:tab w:val="left" w:pos="3650"/>
        </w:tabs>
        <w:spacing w:after="0" w:line="360" w:lineRule="auto"/>
        <w:ind w:firstLine="567"/>
        <w:jc w:val="both"/>
        <w:rPr>
          <w:rFonts w:ascii="Times New Roman" w:hAnsi="Times New Roman" w:cs="Times New Roman"/>
          <w:sz w:val="24"/>
          <w:szCs w:val="24"/>
        </w:rPr>
      </w:pPr>
    </w:p>
    <w:p w14:paraId="20F313D4" w14:textId="77777777" w:rsidR="00D00859" w:rsidRDefault="00D00859" w:rsidP="00846558">
      <w:pPr>
        <w:tabs>
          <w:tab w:val="left" w:pos="567"/>
          <w:tab w:val="left" w:pos="3650"/>
        </w:tabs>
        <w:spacing w:after="0" w:line="360" w:lineRule="auto"/>
        <w:ind w:firstLine="567"/>
        <w:jc w:val="center"/>
        <w:rPr>
          <w:rFonts w:ascii="Times New Roman" w:hAnsi="Times New Roman" w:cs="Times New Roman"/>
          <w:sz w:val="24"/>
          <w:szCs w:val="24"/>
        </w:rPr>
      </w:pPr>
      <w:r w:rsidRPr="00B32900">
        <w:rPr>
          <w:rFonts w:ascii="Times New Roman" w:hAnsi="Times New Roman" w:cs="Times New Roman"/>
          <w:noProof/>
          <w:sz w:val="24"/>
          <w:szCs w:val="24"/>
          <w:lang w:val="en-US"/>
        </w:rPr>
        <w:lastRenderedPageBreak/>
        <w:drawing>
          <wp:inline distT="0" distB="0" distL="0" distR="0" wp14:anchorId="088DCEF6" wp14:editId="43497A40">
            <wp:extent cx="4860000" cy="1980000"/>
            <wp:effectExtent l="0" t="0" r="0" b="1270"/>
            <wp:docPr id="2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84C66B0" w14:textId="77777777" w:rsidR="00846558" w:rsidRPr="007F2B73" w:rsidRDefault="00FD03B1" w:rsidP="007F2B73">
      <w:pPr>
        <w:pStyle w:val="Caption"/>
        <w:rPr>
          <w:szCs w:val="24"/>
        </w:rPr>
      </w:pPr>
      <w:bookmarkStart w:id="108" w:name="_Toc227593878"/>
      <w:bookmarkStart w:id="109" w:name="_Toc227594519"/>
      <w:r w:rsidRPr="007F2B73">
        <w:rPr>
          <w:szCs w:val="24"/>
        </w:rPr>
        <w:t>22</w:t>
      </w:r>
      <w:r w:rsidR="00846558" w:rsidRPr="007F2B73">
        <w:rPr>
          <w:szCs w:val="24"/>
        </w:rPr>
        <w:t xml:space="preserve"> pav. </w:t>
      </w:r>
      <w:r w:rsidR="00523A73" w:rsidRPr="007F2B73">
        <w:rPr>
          <w:szCs w:val="24"/>
        </w:rPr>
        <w:t xml:space="preserve">AB „Rokiškio sūris“ </w:t>
      </w:r>
      <w:r w:rsidR="00846558" w:rsidRPr="007F2B73">
        <w:rPr>
          <w:szCs w:val="24"/>
        </w:rPr>
        <w:t>likvidumo rodiklių dinamika 2008-2012 m.</w:t>
      </w:r>
      <w:bookmarkEnd w:id="108"/>
      <w:bookmarkEnd w:id="109"/>
    </w:p>
    <w:p w14:paraId="160C2A08" w14:textId="77777777" w:rsidR="00523A73" w:rsidRDefault="00523A73" w:rsidP="00846558">
      <w:pPr>
        <w:tabs>
          <w:tab w:val="left" w:pos="567"/>
          <w:tab w:val="left" w:pos="3650"/>
        </w:tabs>
        <w:spacing w:after="0" w:line="360" w:lineRule="auto"/>
        <w:ind w:firstLine="567"/>
        <w:jc w:val="center"/>
        <w:rPr>
          <w:rFonts w:ascii="Times New Roman" w:hAnsi="Times New Roman" w:cs="Times New Roman"/>
          <w:sz w:val="24"/>
          <w:szCs w:val="24"/>
        </w:rPr>
      </w:pPr>
    </w:p>
    <w:p w14:paraId="6BB5424E"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Trumpalaikių įsipareigojimų apmokėjimo pinigais koeficientas paskutinius tris metus didėjo, tačiau jo reikšmė nagrinėjamu laikotarpiu nebuvo aukšta. Jeigu įmonės likvidumą vertinti tik tradiciniais rodikliais, tai visą nagrinėjamą laikotarpį įmonė išlaikė aukštą likvidumą. Tačiau trumpalaikių įsipareigojimų koeficientas rodo kitokią situaciją, nors paskutinius laikotarpius šis rodiklis augo.</w:t>
      </w:r>
    </w:p>
    <w:p w14:paraId="23BD9C87"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„Vilkyškių pieninė“ likvidumo dinamika pavaizduota 2</w:t>
      </w:r>
      <w:r w:rsidR="00523A73">
        <w:rPr>
          <w:rFonts w:ascii="Times New Roman" w:hAnsi="Times New Roman" w:cs="Times New Roman"/>
          <w:sz w:val="24"/>
          <w:szCs w:val="24"/>
        </w:rPr>
        <w:t>3</w:t>
      </w:r>
      <w:r>
        <w:rPr>
          <w:rFonts w:ascii="Times New Roman" w:hAnsi="Times New Roman" w:cs="Times New Roman"/>
          <w:sz w:val="24"/>
          <w:szCs w:val="24"/>
        </w:rPr>
        <w:t xml:space="preserve"> paveiksle. Matoma,</w:t>
      </w:r>
      <w:r w:rsidR="00523A73">
        <w:rPr>
          <w:rFonts w:ascii="Times New Roman" w:hAnsi="Times New Roman" w:cs="Times New Roman"/>
          <w:sz w:val="24"/>
          <w:szCs w:val="24"/>
        </w:rPr>
        <w:t xml:space="preserve"> kad</w:t>
      </w:r>
      <w:r>
        <w:rPr>
          <w:rFonts w:ascii="Times New Roman" w:hAnsi="Times New Roman" w:cs="Times New Roman"/>
          <w:sz w:val="24"/>
          <w:szCs w:val="24"/>
        </w:rPr>
        <w:t xml:space="preserve"> tiek bendrasis, tiek greitasis likvidumas iki 2010 m. kasmet mažėjo ir būtent šiais metais pasiekė kritines reikšmes. Tuo tarpu nuo 2010 m. pastebimas rodiklių reikšmių augimas, tačiau lyginant 2012 m. su 2008 m. šių koeficientų reikšmės sumažėjo, kas rodo suprastėjusią AB „Vilkyškių pieninė“ likvidumo būklę. Kritinio likvidumo koeficientas nagrinėjamu laikotarpiu buvo nedidelis ir svyravo tarp 0 ir 0,02.</w:t>
      </w:r>
    </w:p>
    <w:p w14:paraId="3C2AB9FD" w14:textId="77777777" w:rsidR="00D00859" w:rsidRDefault="00D00859" w:rsidP="00D00859">
      <w:pPr>
        <w:tabs>
          <w:tab w:val="left" w:pos="567"/>
          <w:tab w:val="left" w:pos="3650"/>
        </w:tabs>
        <w:spacing w:after="0" w:line="360" w:lineRule="auto"/>
        <w:jc w:val="both"/>
        <w:rPr>
          <w:rFonts w:ascii="Times New Roman" w:hAnsi="Times New Roman" w:cs="Times New Roman"/>
          <w:sz w:val="24"/>
          <w:szCs w:val="24"/>
        </w:rPr>
      </w:pPr>
    </w:p>
    <w:p w14:paraId="4E2DFBAC" w14:textId="77777777" w:rsidR="00D00859" w:rsidRDefault="00D00859" w:rsidP="00846558">
      <w:pPr>
        <w:tabs>
          <w:tab w:val="left" w:pos="567"/>
          <w:tab w:val="left" w:pos="3650"/>
        </w:tabs>
        <w:spacing w:after="0" w:line="360" w:lineRule="auto"/>
        <w:ind w:firstLine="567"/>
        <w:jc w:val="center"/>
        <w:rPr>
          <w:rFonts w:ascii="Times New Roman" w:hAnsi="Times New Roman" w:cs="Times New Roman"/>
          <w:sz w:val="24"/>
          <w:szCs w:val="24"/>
        </w:rPr>
      </w:pPr>
      <w:r w:rsidRPr="00F213F8">
        <w:rPr>
          <w:rFonts w:ascii="Times New Roman" w:hAnsi="Times New Roman" w:cs="Times New Roman"/>
          <w:noProof/>
          <w:sz w:val="24"/>
          <w:szCs w:val="24"/>
          <w:lang w:val="en-US"/>
        </w:rPr>
        <w:drawing>
          <wp:inline distT="0" distB="0" distL="0" distR="0" wp14:anchorId="74E3BCA4" wp14:editId="5FC8E626">
            <wp:extent cx="4860000" cy="1980000"/>
            <wp:effectExtent l="0" t="0" r="0" b="1270"/>
            <wp:docPr id="2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51CCA61" w14:textId="77777777" w:rsidR="00846558" w:rsidRPr="007F2B73" w:rsidRDefault="00FD03B1" w:rsidP="007F2B73">
      <w:pPr>
        <w:pStyle w:val="Caption"/>
        <w:rPr>
          <w:szCs w:val="24"/>
        </w:rPr>
      </w:pPr>
      <w:bookmarkStart w:id="110" w:name="_Toc227593879"/>
      <w:bookmarkStart w:id="111" w:name="_Toc227594520"/>
      <w:r w:rsidRPr="007F2B73">
        <w:rPr>
          <w:szCs w:val="24"/>
        </w:rPr>
        <w:t>23</w:t>
      </w:r>
      <w:r w:rsidR="00846558" w:rsidRPr="007F2B73">
        <w:rPr>
          <w:szCs w:val="24"/>
        </w:rPr>
        <w:t xml:space="preserve"> pav. </w:t>
      </w:r>
      <w:r w:rsidR="00523A73" w:rsidRPr="007F2B73">
        <w:rPr>
          <w:szCs w:val="24"/>
        </w:rPr>
        <w:t>AB „Vilkyškių pieninė“</w:t>
      </w:r>
      <w:r w:rsidR="00846558" w:rsidRPr="007F2B73">
        <w:rPr>
          <w:szCs w:val="24"/>
        </w:rPr>
        <w:t xml:space="preserve"> likvidumo rodiklių dinamika 2008-2012 m.</w:t>
      </w:r>
      <w:bookmarkEnd w:id="110"/>
      <w:bookmarkEnd w:id="111"/>
    </w:p>
    <w:p w14:paraId="4C8CBD5C" w14:textId="77777777" w:rsidR="00523A73" w:rsidRDefault="00523A73" w:rsidP="00846558">
      <w:pPr>
        <w:tabs>
          <w:tab w:val="left" w:pos="567"/>
          <w:tab w:val="left" w:pos="3650"/>
        </w:tabs>
        <w:spacing w:after="0" w:line="360" w:lineRule="auto"/>
        <w:ind w:firstLine="567"/>
        <w:jc w:val="center"/>
        <w:rPr>
          <w:rFonts w:ascii="Times New Roman" w:hAnsi="Times New Roman" w:cs="Times New Roman"/>
          <w:sz w:val="24"/>
          <w:szCs w:val="24"/>
        </w:rPr>
      </w:pPr>
    </w:p>
    <w:p w14:paraId="4E494F42"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Tuo tarpu trumpalaikių įsipareigojimų apmokėjimo pinigais koeficientas, priešingai nei tradiciniai likvidumo rodikliai, didžiausią reikšmę įgijo 2010 m. Apibendrinant, nagrinėjamu laikotarpiu tradiciniai likvidumo rodikliai rodė neaukštą likvidumo lygį.</w:t>
      </w:r>
    </w:p>
    <w:p w14:paraId="6D7272D6"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523A73">
        <w:rPr>
          <w:rFonts w:ascii="Times New Roman" w:hAnsi="Times New Roman" w:cs="Times New Roman"/>
          <w:sz w:val="24"/>
          <w:szCs w:val="24"/>
        </w:rPr>
        <w:t>4</w:t>
      </w:r>
      <w:r>
        <w:rPr>
          <w:rFonts w:ascii="Times New Roman" w:hAnsi="Times New Roman" w:cs="Times New Roman"/>
          <w:sz w:val="24"/>
          <w:szCs w:val="24"/>
        </w:rPr>
        <w:t xml:space="preserve"> paveikslas rodo AB „Žemaitijos pienas“ likvidumo rodiklių dinamiką. Pastebėtina, jog analizuojamu laikotarpiu tiek bendrasis, tiek greitasis likvidumas buvo aukštas. Tačiau nuo 2009 m. iki 2011 m. šie likvidumo rodikliai kasmet maž</w:t>
      </w:r>
      <w:r w:rsidR="007D0DAF">
        <w:rPr>
          <w:rFonts w:ascii="Times New Roman" w:hAnsi="Times New Roman" w:cs="Times New Roman"/>
          <w:sz w:val="24"/>
          <w:szCs w:val="24"/>
        </w:rPr>
        <w:t>ėjo ir tik 2012 m. sekė rodiklių</w:t>
      </w:r>
      <w:r>
        <w:rPr>
          <w:rFonts w:ascii="Times New Roman" w:hAnsi="Times New Roman" w:cs="Times New Roman"/>
          <w:sz w:val="24"/>
          <w:szCs w:val="24"/>
        </w:rPr>
        <w:t xml:space="preserve"> reikšm</w:t>
      </w:r>
      <w:r w:rsidR="007D0DAF">
        <w:rPr>
          <w:rFonts w:ascii="Times New Roman" w:hAnsi="Times New Roman" w:cs="Times New Roman"/>
          <w:sz w:val="24"/>
          <w:szCs w:val="24"/>
        </w:rPr>
        <w:t>ių</w:t>
      </w:r>
      <w:r>
        <w:rPr>
          <w:rFonts w:ascii="Times New Roman" w:hAnsi="Times New Roman" w:cs="Times New Roman"/>
          <w:sz w:val="24"/>
          <w:szCs w:val="24"/>
        </w:rPr>
        <w:t xml:space="preserve"> augimas</w:t>
      </w:r>
      <w:r w:rsidR="007D0DAF">
        <w:rPr>
          <w:rFonts w:ascii="Times New Roman" w:hAnsi="Times New Roman" w:cs="Times New Roman"/>
          <w:sz w:val="24"/>
          <w:szCs w:val="24"/>
        </w:rPr>
        <w:t>:</w:t>
      </w:r>
      <w:r>
        <w:rPr>
          <w:rFonts w:ascii="Times New Roman" w:hAnsi="Times New Roman" w:cs="Times New Roman"/>
          <w:sz w:val="24"/>
          <w:szCs w:val="24"/>
        </w:rPr>
        <w:t xml:space="preserve"> bendrojo likvidumo</w:t>
      </w:r>
      <w:r w:rsidR="007D0DAF">
        <w:rPr>
          <w:rFonts w:ascii="Times New Roman" w:hAnsi="Times New Roman" w:cs="Times New Roman"/>
          <w:sz w:val="24"/>
          <w:szCs w:val="24"/>
        </w:rPr>
        <w:t xml:space="preserve"> –</w:t>
      </w:r>
      <w:r>
        <w:rPr>
          <w:rFonts w:ascii="Times New Roman" w:hAnsi="Times New Roman" w:cs="Times New Roman"/>
          <w:sz w:val="24"/>
          <w:szCs w:val="24"/>
        </w:rPr>
        <w:t xml:space="preserve"> 0,73, greitojo likvidumo</w:t>
      </w:r>
      <w:r w:rsidR="007D0DAF">
        <w:rPr>
          <w:rFonts w:ascii="Times New Roman" w:hAnsi="Times New Roman" w:cs="Times New Roman"/>
          <w:sz w:val="24"/>
          <w:szCs w:val="24"/>
        </w:rPr>
        <w:t xml:space="preserve"> –</w:t>
      </w:r>
      <w:r>
        <w:rPr>
          <w:rFonts w:ascii="Times New Roman" w:hAnsi="Times New Roman" w:cs="Times New Roman"/>
          <w:sz w:val="24"/>
          <w:szCs w:val="24"/>
        </w:rPr>
        <w:t xml:space="preserve"> 0,08. Kritinis likvidumas nuo 2009 m. turėjo tendenciją mažėti ir lyginant 2012 m. su 2008 m. jo reikšmė sumažėjo 0,05.</w:t>
      </w:r>
    </w:p>
    <w:p w14:paraId="5AAC701B" w14:textId="77777777" w:rsidR="00523A73" w:rsidRDefault="00523A73" w:rsidP="00D00859">
      <w:pPr>
        <w:tabs>
          <w:tab w:val="left" w:pos="567"/>
          <w:tab w:val="left" w:pos="3650"/>
        </w:tabs>
        <w:spacing w:after="0" w:line="360" w:lineRule="auto"/>
        <w:ind w:firstLine="567"/>
        <w:jc w:val="both"/>
        <w:rPr>
          <w:rFonts w:ascii="Times New Roman" w:hAnsi="Times New Roman" w:cs="Times New Roman"/>
          <w:sz w:val="24"/>
          <w:szCs w:val="24"/>
        </w:rPr>
      </w:pPr>
    </w:p>
    <w:p w14:paraId="24559919" w14:textId="77777777" w:rsidR="00D00859" w:rsidRDefault="00D00859" w:rsidP="00846558">
      <w:pPr>
        <w:tabs>
          <w:tab w:val="left" w:pos="567"/>
          <w:tab w:val="left" w:pos="3650"/>
        </w:tabs>
        <w:spacing w:after="0" w:line="360" w:lineRule="auto"/>
        <w:ind w:firstLine="567"/>
        <w:jc w:val="center"/>
        <w:rPr>
          <w:rFonts w:ascii="Times New Roman" w:hAnsi="Times New Roman" w:cs="Times New Roman"/>
          <w:sz w:val="24"/>
          <w:szCs w:val="24"/>
        </w:rPr>
      </w:pPr>
      <w:r w:rsidRPr="00381752">
        <w:rPr>
          <w:rFonts w:ascii="Times New Roman" w:hAnsi="Times New Roman" w:cs="Times New Roman"/>
          <w:noProof/>
          <w:sz w:val="24"/>
          <w:szCs w:val="24"/>
          <w:lang w:val="en-US"/>
        </w:rPr>
        <w:drawing>
          <wp:inline distT="0" distB="0" distL="0" distR="0" wp14:anchorId="39322256" wp14:editId="535C119C">
            <wp:extent cx="4524375" cy="2105025"/>
            <wp:effectExtent l="0" t="0" r="0" b="0"/>
            <wp:docPr id="2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2DF0D08" w14:textId="77777777" w:rsidR="00846558" w:rsidRPr="007F2B73" w:rsidRDefault="00FD03B1" w:rsidP="007F2B73">
      <w:pPr>
        <w:pStyle w:val="Caption"/>
        <w:rPr>
          <w:szCs w:val="24"/>
        </w:rPr>
      </w:pPr>
      <w:bookmarkStart w:id="112" w:name="_Toc227593880"/>
      <w:bookmarkStart w:id="113" w:name="_Toc227594521"/>
      <w:r w:rsidRPr="007F2B73">
        <w:rPr>
          <w:szCs w:val="24"/>
        </w:rPr>
        <w:t>24</w:t>
      </w:r>
      <w:r w:rsidR="00846558" w:rsidRPr="007F2B73">
        <w:rPr>
          <w:szCs w:val="24"/>
        </w:rPr>
        <w:t xml:space="preserve"> pav. </w:t>
      </w:r>
      <w:r w:rsidR="00523A73" w:rsidRPr="007F2B73">
        <w:rPr>
          <w:szCs w:val="24"/>
        </w:rPr>
        <w:t>AB „Žemaitijos pienas“</w:t>
      </w:r>
      <w:r w:rsidR="00846558" w:rsidRPr="007F2B73">
        <w:rPr>
          <w:szCs w:val="24"/>
        </w:rPr>
        <w:t xml:space="preserve"> likvidumo rodiklių dinamika 2008-2012 m.</w:t>
      </w:r>
      <w:bookmarkEnd w:id="112"/>
      <w:bookmarkEnd w:id="113"/>
    </w:p>
    <w:p w14:paraId="4203A12E" w14:textId="77777777" w:rsidR="00523A73" w:rsidRDefault="00523A73" w:rsidP="00846558">
      <w:pPr>
        <w:tabs>
          <w:tab w:val="left" w:pos="567"/>
          <w:tab w:val="left" w:pos="3650"/>
        </w:tabs>
        <w:spacing w:after="0" w:line="360" w:lineRule="auto"/>
        <w:ind w:firstLine="567"/>
        <w:jc w:val="center"/>
        <w:rPr>
          <w:rFonts w:ascii="Times New Roman" w:hAnsi="Times New Roman" w:cs="Times New Roman"/>
          <w:sz w:val="24"/>
          <w:szCs w:val="24"/>
        </w:rPr>
      </w:pPr>
    </w:p>
    <w:p w14:paraId="204B412D"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Trumpalaikių įsipareigojimų apmokėjimo pinigais koeficientas, skirtingai negu daugelio aukščiau nagrinėtų įmonių, kito panašiai kaip ir tradiciniai likvidumo rodikliai, </w:t>
      </w:r>
      <w:r w:rsidR="007D0DAF">
        <w:rPr>
          <w:rFonts w:ascii="Times New Roman" w:hAnsi="Times New Roman" w:cs="Times New Roman"/>
          <w:sz w:val="24"/>
          <w:szCs w:val="24"/>
        </w:rPr>
        <w:t>t. y.</w:t>
      </w:r>
      <w:r>
        <w:rPr>
          <w:rFonts w:ascii="Times New Roman" w:hAnsi="Times New Roman" w:cs="Times New Roman"/>
          <w:sz w:val="24"/>
          <w:szCs w:val="24"/>
        </w:rPr>
        <w:t>, šio rodiklio didėjimo ir mažėjimo laikotarpiai sutapo su bendrojo ir greitojo likvidumo rodiklių. 2012 m. rodiklio reikšmė buvo 3,8 karto didesnė nei 2008 m. Apibendrinant galima teigti, jog nors rodikliai nagrinėjamu laikotarpiu neišlaikė stabilaus lygio ir daugiau ar mažiau svyravo, tačiau 2012 m. padėtis yra pakankamai nebloga ir rodo, jog įmonės veiklos tęstinumui artimiausiu metu grėsmė neturėtų kilti.</w:t>
      </w:r>
    </w:p>
    <w:p w14:paraId="02100F34"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Išanalizavus visų keturių įmonių dinamiką, pastebėta, kad 2008-2012 m. laikotarpiu blogiausia situacija buvo AB „Vilkyškių pieninė“. Šios įmonės rodiklių reikšmės visais laikotarpiais buvo žemiausios ir tai reiškia, kad ši įmonė likvidumo atžvilgiu yra rizikingiausia. Be to, vertinant gautus rezultatus, artimiausioje perspektyvoje jos pozicija neturėtų ženkliai keistis. Stabiliausia iš šių akcinių bendrovių AB „Rokiškio sūris“, kurios likvidumo rodikliai nagrinėjamu laikotarpiu turėjo tendenciją augti. Tiesa, atkreiptinas dėmesys į žemą kritinio likvidumo lygį. AB „Žemaitijos pienas“ vienintelė bendrovė, kuri beveik visą nagrinėjamą laikotarpį išlaikė ne žemesnį nei 0,1 kritinį likvidumą, kai tuo tarpu AB „Vilkyškių pieninė“ šio likvidumo rodiklio reikšmė nebuvo pakilusi aukščiau 0,02, o AB „Pieno žvaigždės“</w:t>
      </w:r>
      <w:r w:rsidR="007D0DAF">
        <w:rPr>
          <w:rFonts w:ascii="Times New Roman" w:hAnsi="Times New Roman" w:cs="Times New Roman"/>
          <w:sz w:val="24"/>
          <w:szCs w:val="24"/>
        </w:rPr>
        <w:t xml:space="preserve"> –</w:t>
      </w:r>
      <w:r>
        <w:rPr>
          <w:rFonts w:ascii="Times New Roman" w:hAnsi="Times New Roman" w:cs="Times New Roman"/>
          <w:sz w:val="24"/>
          <w:szCs w:val="24"/>
        </w:rPr>
        <w:t xml:space="preserve"> iki</w:t>
      </w:r>
      <w:r w:rsidR="007D0DAF">
        <w:rPr>
          <w:rFonts w:ascii="Times New Roman" w:hAnsi="Times New Roman" w:cs="Times New Roman"/>
          <w:sz w:val="24"/>
          <w:szCs w:val="24"/>
        </w:rPr>
        <w:t xml:space="preserve"> </w:t>
      </w:r>
      <w:r>
        <w:rPr>
          <w:rFonts w:ascii="Times New Roman" w:hAnsi="Times New Roman" w:cs="Times New Roman"/>
          <w:sz w:val="24"/>
          <w:szCs w:val="24"/>
        </w:rPr>
        <w:t>0,04.</w:t>
      </w:r>
    </w:p>
    <w:p w14:paraId="3D23E5AE"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p>
    <w:p w14:paraId="252F0900" w14:textId="77777777" w:rsidR="00D00859" w:rsidRDefault="00D00859" w:rsidP="006E0185">
      <w:pPr>
        <w:tabs>
          <w:tab w:val="left" w:pos="567"/>
          <w:tab w:val="left" w:pos="3650"/>
        </w:tabs>
        <w:spacing w:after="0" w:line="360" w:lineRule="auto"/>
        <w:jc w:val="both"/>
        <w:rPr>
          <w:rFonts w:ascii="Times New Roman" w:hAnsi="Times New Roman" w:cs="Times New Roman"/>
          <w:b/>
          <w:sz w:val="24"/>
          <w:szCs w:val="24"/>
        </w:rPr>
      </w:pPr>
      <w:r w:rsidRPr="00E10FDF">
        <w:rPr>
          <w:rFonts w:ascii="Times New Roman" w:hAnsi="Times New Roman" w:cs="Times New Roman"/>
          <w:b/>
          <w:sz w:val="24"/>
          <w:szCs w:val="24"/>
        </w:rPr>
        <w:t>AB „Sanitas“</w:t>
      </w:r>
    </w:p>
    <w:p w14:paraId="187905BE"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sidRPr="00E10FDF">
        <w:rPr>
          <w:rFonts w:ascii="Times New Roman" w:hAnsi="Times New Roman" w:cs="Times New Roman"/>
          <w:sz w:val="24"/>
          <w:szCs w:val="24"/>
        </w:rPr>
        <w:t xml:space="preserve">Įmonės likvidumo rodiklių dinamika pateikta </w:t>
      </w:r>
      <w:r w:rsidR="007D0DAF">
        <w:rPr>
          <w:rFonts w:ascii="Times New Roman" w:hAnsi="Times New Roman" w:cs="Times New Roman"/>
          <w:sz w:val="24"/>
          <w:szCs w:val="24"/>
        </w:rPr>
        <w:t>8</w:t>
      </w:r>
      <w:r w:rsidRPr="00E10FDF">
        <w:rPr>
          <w:rFonts w:ascii="Times New Roman" w:hAnsi="Times New Roman" w:cs="Times New Roman"/>
          <w:sz w:val="24"/>
          <w:szCs w:val="24"/>
        </w:rPr>
        <w:t xml:space="preserve"> lentelėje.</w:t>
      </w:r>
    </w:p>
    <w:p w14:paraId="75DDFB19" w14:textId="77777777" w:rsidR="007D0DAF" w:rsidRDefault="007D0DAF" w:rsidP="00D00859">
      <w:pPr>
        <w:tabs>
          <w:tab w:val="left" w:pos="567"/>
          <w:tab w:val="left" w:pos="3650"/>
        </w:tabs>
        <w:spacing w:after="0" w:line="360" w:lineRule="auto"/>
        <w:ind w:firstLine="567"/>
        <w:jc w:val="both"/>
        <w:rPr>
          <w:rFonts w:ascii="Times New Roman" w:hAnsi="Times New Roman" w:cs="Times New Roman"/>
          <w:b/>
          <w:sz w:val="24"/>
          <w:szCs w:val="24"/>
        </w:rPr>
      </w:pPr>
    </w:p>
    <w:p w14:paraId="5FF6ED4F" w14:textId="77777777" w:rsidR="007D0DAF" w:rsidRPr="009900EC" w:rsidRDefault="007D0DAF" w:rsidP="009900EC">
      <w:pPr>
        <w:pStyle w:val="1ant"/>
        <w:rPr>
          <w:sz w:val="24"/>
          <w:szCs w:val="24"/>
        </w:rPr>
      </w:pPr>
      <w:bookmarkStart w:id="114" w:name="_Toc227595964"/>
      <w:r w:rsidRPr="009900EC">
        <w:rPr>
          <w:sz w:val="24"/>
          <w:szCs w:val="24"/>
        </w:rPr>
        <w:lastRenderedPageBreak/>
        <w:t>8 lentelė. AB „Sanitas“ likvidumo rodiklių dinamika 2008-2012 m.</w:t>
      </w:r>
      <w:bookmarkEnd w:id="114"/>
    </w:p>
    <w:tbl>
      <w:tblPr>
        <w:tblW w:w="7068" w:type="dxa"/>
        <w:jc w:val="center"/>
        <w:tblInd w:w="91" w:type="dxa"/>
        <w:tblLook w:val="04A0" w:firstRow="1" w:lastRow="0" w:firstColumn="1" w:lastColumn="0" w:noHBand="0" w:noVBand="1"/>
      </w:tblPr>
      <w:tblGrid>
        <w:gridCol w:w="3471"/>
        <w:gridCol w:w="716"/>
        <w:gridCol w:w="716"/>
        <w:gridCol w:w="716"/>
        <w:gridCol w:w="733"/>
        <w:gridCol w:w="716"/>
      </w:tblGrid>
      <w:tr w:rsidR="00D00859" w:rsidRPr="00A60500" w14:paraId="6897F8B3" w14:textId="77777777" w:rsidTr="00F53335">
        <w:trPr>
          <w:trHeight w:val="300"/>
          <w:jc w:val="center"/>
        </w:trPr>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DA06" w14:textId="77777777" w:rsidR="00D00859" w:rsidRPr="00A60500" w:rsidRDefault="00D00859" w:rsidP="00D00859">
            <w:pPr>
              <w:spacing w:after="0" w:line="240" w:lineRule="auto"/>
              <w:rPr>
                <w:rFonts w:ascii="Times New Roman" w:eastAsia="Times New Roman" w:hAnsi="Times New Roman" w:cs="Times New Roman"/>
                <w:b/>
                <w:bCs/>
                <w:color w:val="000000"/>
                <w:sz w:val="20"/>
                <w:szCs w:val="20"/>
                <w:lang w:eastAsia="lt-LT"/>
              </w:rPr>
            </w:pPr>
            <w:r w:rsidRPr="00A60500">
              <w:rPr>
                <w:rFonts w:ascii="Times New Roman" w:eastAsia="Times New Roman" w:hAnsi="Times New Roman" w:cs="Times New Roman"/>
                <w:b/>
                <w:bCs/>
                <w:color w:val="000000"/>
                <w:sz w:val="20"/>
                <w:szCs w:val="20"/>
                <w:lang w:eastAsia="lt-LT"/>
              </w:rPr>
              <w:t>Rodikliai\Metai</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188AE85B"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2008</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2400AC2C"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2009</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48D9E7E7"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2010</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6AA2738A"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2011</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7537612D"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2012</w:t>
            </w:r>
          </w:p>
        </w:tc>
      </w:tr>
      <w:tr w:rsidR="00D00859" w:rsidRPr="00A60500" w14:paraId="63D63BD4"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292CE6E3" w14:textId="77777777" w:rsidR="00D00859" w:rsidRPr="00A60500" w:rsidRDefault="00D00859" w:rsidP="00D00859">
            <w:pPr>
              <w:spacing w:after="0" w:line="240" w:lineRule="auto"/>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Bendrasis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3AA24F9B"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0,19</w:t>
            </w:r>
          </w:p>
        </w:tc>
        <w:tc>
          <w:tcPr>
            <w:tcW w:w="716" w:type="dxa"/>
            <w:tcBorders>
              <w:top w:val="nil"/>
              <w:left w:val="nil"/>
              <w:bottom w:val="single" w:sz="4" w:space="0" w:color="auto"/>
              <w:right w:val="single" w:sz="4" w:space="0" w:color="auto"/>
            </w:tcBorders>
            <w:shd w:val="clear" w:color="auto" w:fill="auto"/>
            <w:noWrap/>
            <w:vAlign w:val="bottom"/>
            <w:hideMark/>
          </w:tcPr>
          <w:p w14:paraId="7FD4CF89"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0,16</w:t>
            </w:r>
          </w:p>
        </w:tc>
        <w:tc>
          <w:tcPr>
            <w:tcW w:w="716" w:type="dxa"/>
            <w:tcBorders>
              <w:top w:val="nil"/>
              <w:left w:val="nil"/>
              <w:bottom w:val="single" w:sz="4" w:space="0" w:color="auto"/>
              <w:right w:val="single" w:sz="4" w:space="0" w:color="auto"/>
            </w:tcBorders>
            <w:shd w:val="clear" w:color="auto" w:fill="auto"/>
            <w:noWrap/>
            <w:vAlign w:val="bottom"/>
            <w:hideMark/>
          </w:tcPr>
          <w:p w14:paraId="222ABFFF"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0,28</w:t>
            </w:r>
          </w:p>
        </w:tc>
        <w:tc>
          <w:tcPr>
            <w:tcW w:w="733" w:type="dxa"/>
            <w:tcBorders>
              <w:top w:val="nil"/>
              <w:left w:val="nil"/>
              <w:bottom w:val="single" w:sz="4" w:space="0" w:color="auto"/>
              <w:right w:val="single" w:sz="4" w:space="0" w:color="auto"/>
            </w:tcBorders>
            <w:shd w:val="clear" w:color="auto" w:fill="auto"/>
            <w:noWrap/>
            <w:vAlign w:val="bottom"/>
            <w:hideMark/>
          </w:tcPr>
          <w:p w14:paraId="5D144B9D"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0,69</w:t>
            </w:r>
          </w:p>
        </w:tc>
        <w:tc>
          <w:tcPr>
            <w:tcW w:w="716" w:type="dxa"/>
            <w:tcBorders>
              <w:top w:val="nil"/>
              <w:left w:val="nil"/>
              <w:bottom w:val="single" w:sz="4" w:space="0" w:color="auto"/>
              <w:right w:val="single" w:sz="4" w:space="0" w:color="auto"/>
            </w:tcBorders>
            <w:shd w:val="clear" w:color="auto" w:fill="auto"/>
            <w:noWrap/>
            <w:vAlign w:val="bottom"/>
            <w:hideMark/>
          </w:tcPr>
          <w:p w14:paraId="6EA5A5CA"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0,17</w:t>
            </w:r>
          </w:p>
        </w:tc>
      </w:tr>
      <w:tr w:rsidR="00D00859" w:rsidRPr="00A60500" w14:paraId="5445CE43"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2CC22130" w14:textId="77777777" w:rsidR="00D00859" w:rsidRPr="00A60500" w:rsidRDefault="00D00859" w:rsidP="00D00859">
            <w:pPr>
              <w:spacing w:after="0" w:line="240" w:lineRule="auto"/>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Greitasis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2E7FFADE"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0,11</w:t>
            </w:r>
          </w:p>
        </w:tc>
        <w:tc>
          <w:tcPr>
            <w:tcW w:w="716" w:type="dxa"/>
            <w:tcBorders>
              <w:top w:val="nil"/>
              <w:left w:val="nil"/>
              <w:bottom w:val="single" w:sz="4" w:space="0" w:color="auto"/>
              <w:right w:val="single" w:sz="4" w:space="0" w:color="auto"/>
            </w:tcBorders>
            <w:shd w:val="clear" w:color="auto" w:fill="auto"/>
            <w:noWrap/>
            <w:vAlign w:val="bottom"/>
            <w:hideMark/>
          </w:tcPr>
          <w:p w14:paraId="7EC7D49C"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0,11</w:t>
            </w:r>
          </w:p>
        </w:tc>
        <w:tc>
          <w:tcPr>
            <w:tcW w:w="716" w:type="dxa"/>
            <w:tcBorders>
              <w:top w:val="nil"/>
              <w:left w:val="nil"/>
              <w:bottom w:val="single" w:sz="4" w:space="0" w:color="auto"/>
              <w:right w:val="single" w:sz="4" w:space="0" w:color="auto"/>
            </w:tcBorders>
            <w:shd w:val="clear" w:color="auto" w:fill="auto"/>
            <w:noWrap/>
            <w:vAlign w:val="bottom"/>
            <w:hideMark/>
          </w:tcPr>
          <w:p w14:paraId="53346D31"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0,2</w:t>
            </w:r>
            <w:r>
              <w:rPr>
                <w:rFonts w:ascii="Times New Roman" w:eastAsia="Times New Roman" w:hAnsi="Times New Roman" w:cs="Times New Roman"/>
                <w:color w:val="000000"/>
                <w:sz w:val="20"/>
                <w:szCs w:val="20"/>
                <w:lang w:eastAsia="lt-LT"/>
              </w:rPr>
              <w:t>0</w:t>
            </w:r>
          </w:p>
        </w:tc>
        <w:tc>
          <w:tcPr>
            <w:tcW w:w="733" w:type="dxa"/>
            <w:tcBorders>
              <w:top w:val="nil"/>
              <w:left w:val="nil"/>
              <w:bottom w:val="single" w:sz="4" w:space="0" w:color="auto"/>
              <w:right w:val="single" w:sz="4" w:space="0" w:color="auto"/>
            </w:tcBorders>
            <w:shd w:val="clear" w:color="auto" w:fill="auto"/>
            <w:noWrap/>
            <w:vAlign w:val="bottom"/>
            <w:hideMark/>
          </w:tcPr>
          <w:p w14:paraId="1D4DC8D8"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0,58</w:t>
            </w:r>
          </w:p>
        </w:tc>
        <w:tc>
          <w:tcPr>
            <w:tcW w:w="716" w:type="dxa"/>
            <w:tcBorders>
              <w:top w:val="nil"/>
              <w:left w:val="nil"/>
              <w:bottom w:val="single" w:sz="4" w:space="0" w:color="auto"/>
              <w:right w:val="single" w:sz="4" w:space="0" w:color="auto"/>
            </w:tcBorders>
            <w:shd w:val="clear" w:color="auto" w:fill="auto"/>
            <w:noWrap/>
            <w:vAlign w:val="bottom"/>
            <w:hideMark/>
          </w:tcPr>
          <w:p w14:paraId="4C1ECA5A"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0,11</w:t>
            </w:r>
          </w:p>
        </w:tc>
      </w:tr>
      <w:tr w:rsidR="00D00859" w:rsidRPr="00A60500" w14:paraId="04DC7B59"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1506CBF1" w14:textId="77777777" w:rsidR="00D00859" w:rsidRPr="00A60500" w:rsidRDefault="00D00859" w:rsidP="00D00859">
            <w:pPr>
              <w:spacing w:after="0" w:line="240" w:lineRule="auto"/>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Kritinis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40CA89BC"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w:t>
            </w:r>
            <w:r>
              <w:rPr>
                <w:rFonts w:ascii="Times New Roman" w:eastAsia="Times New Roman" w:hAnsi="Times New Roman" w:cs="Times New Roman"/>
                <w:color w:val="000000"/>
                <w:sz w:val="20"/>
                <w:szCs w:val="20"/>
                <w:lang w:eastAsia="lt-LT"/>
              </w:rPr>
              <w:t>,00</w:t>
            </w:r>
          </w:p>
        </w:tc>
        <w:tc>
          <w:tcPr>
            <w:tcW w:w="716" w:type="dxa"/>
            <w:tcBorders>
              <w:top w:val="nil"/>
              <w:left w:val="nil"/>
              <w:bottom w:val="single" w:sz="4" w:space="0" w:color="auto"/>
              <w:right w:val="single" w:sz="4" w:space="0" w:color="auto"/>
            </w:tcBorders>
            <w:shd w:val="clear" w:color="auto" w:fill="auto"/>
            <w:noWrap/>
            <w:vAlign w:val="bottom"/>
            <w:hideMark/>
          </w:tcPr>
          <w:p w14:paraId="3512B914"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w:t>
            </w:r>
            <w:r>
              <w:rPr>
                <w:rFonts w:ascii="Times New Roman" w:eastAsia="Times New Roman" w:hAnsi="Times New Roman" w:cs="Times New Roman"/>
                <w:color w:val="000000"/>
                <w:sz w:val="20"/>
                <w:szCs w:val="20"/>
                <w:lang w:eastAsia="lt-LT"/>
              </w:rPr>
              <w:t>,00</w:t>
            </w:r>
          </w:p>
        </w:tc>
        <w:tc>
          <w:tcPr>
            <w:tcW w:w="716" w:type="dxa"/>
            <w:tcBorders>
              <w:top w:val="nil"/>
              <w:left w:val="nil"/>
              <w:bottom w:val="single" w:sz="4" w:space="0" w:color="auto"/>
              <w:right w:val="single" w:sz="4" w:space="0" w:color="auto"/>
            </w:tcBorders>
            <w:shd w:val="clear" w:color="auto" w:fill="auto"/>
            <w:noWrap/>
            <w:vAlign w:val="bottom"/>
            <w:hideMark/>
          </w:tcPr>
          <w:p w14:paraId="2A530E8E"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w:t>
            </w:r>
            <w:r>
              <w:rPr>
                <w:rFonts w:ascii="Times New Roman" w:eastAsia="Times New Roman" w:hAnsi="Times New Roman" w:cs="Times New Roman"/>
                <w:color w:val="000000"/>
                <w:sz w:val="20"/>
                <w:szCs w:val="20"/>
                <w:lang w:eastAsia="lt-LT"/>
              </w:rPr>
              <w:t>,00</w:t>
            </w:r>
          </w:p>
        </w:tc>
        <w:tc>
          <w:tcPr>
            <w:tcW w:w="733" w:type="dxa"/>
            <w:tcBorders>
              <w:top w:val="nil"/>
              <w:left w:val="nil"/>
              <w:bottom w:val="single" w:sz="4" w:space="0" w:color="auto"/>
              <w:right w:val="single" w:sz="4" w:space="0" w:color="auto"/>
            </w:tcBorders>
            <w:shd w:val="clear" w:color="auto" w:fill="auto"/>
            <w:noWrap/>
            <w:vAlign w:val="bottom"/>
            <w:hideMark/>
          </w:tcPr>
          <w:p w14:paraId="4F6232B4"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0,04</w:t>
            </w:r>
          </w:p>
        </w:tc>
        <w:tc>
          <w:tcPr>
            <w:tcW w:w="716" w:type="dxa"/>
            <w:tcBorders>
              <w:top w:val="nil"/>
              <w:left w:val="nil"/>
              <w:bottom w:val="single" w:sz="4" w:space="0" w:color="auto"/>
              <w:right w:val="single" w:sz="4" w:space="0" w:color="auto"/>
            </w:tcBorders>
            <w:shd w:val="clear" w:color="auto" w:fill="auto"/>
            <w:noWrap/>
            <w:vAlign w:val="bottom"/>
            <w:hideMark/>
          </w:tcPr>
          <w:p w14:paraId="05400A6C"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0,04</w:t>
            </w:r>
          </w:p>
        </w:tc>
      </w:tr>
      <w:tr w:rsidR="00D00859" w:rsidRPr="00A60500" w14:paraId="2753CAF3"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1974BBF5" w14:textId="77777777" w:rsidR="00D00859" w:rsidRPr="00A60500" w:rsidRDefault="00D00859" w:rsidP="00D00859">
            <w:pPr>
              <w:spacing w:after="0" w:line="240" w:lineRule="auto"/>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Tr. Į. apmokėjimo pinigais koeficientas</w:t>
            </w:r>
          </w:p>
        </w:tc>
        <w:tc>
          <w:tcPr>
            <w:tcW w:w="716" w:type="dxa"/>
            <w:tcBorders>
              <w:top w:val="nil"/>
              <w:left w:val="nil"/>
              <w:bottom w:val="single" w:sz="4" w:space="0" w:color="auto"/>
              <w:right w:val="single" w:sz="4" w:space="0" w:color="auto"/>
            </w:tcBorders>
            <w:shd w:val="clear" w:color="auto" w:fill="auto"/>
            <w:noWrap/>
            <w:vAlign w:val="bottom"/>
            <w:hideMark/>
          </w:tcPr>
          <w:p w14:paraId="2E5B6971"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-0,1</w:t>
            </w:r>
            <w:r>
              <w:rPr>
                <w:rFonts w:ascii="Times New Roman" w:eastAsia="Times New Roman" w:hAnsi="Times New Roman" w:cs="Times New Roman"/>
                <w:color w:val="000000"/>
                <w:sz w:val="20"/>
                <w:szCs w:val="20"/>
                <w:lang w:eastAsia="lt-LT"/>
              </w:rPr>
              <w:t>0</w:t>
            </w:r>
          </w:p>
        </w:tc>
        <w:tc>
          <w:tcPr>
            <w:tcW w:w="716" w:type="dxa"/>
            <w:tcBorders>
              <w:top w:val="nil"/>
              <w:left w:val="nil"/>
              <w:bottom w:val="single" w:sz="4" w:space="0" w:color="auto"/>
              <w:right w:val="single" w:sz="4" w:space="0" w:color="auto"/>
            </w:tcBorders>
            <w:shd w:val="clear" w:color="auto" w:fill="auto"/>
            <w:noWrap/>
            <w:vAlign w:val="bottom"/>
            <w:hideMark/>
          </w:tcPr>
          <w:p w14:paraId="03E8D9D0"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0,09</w:t>
            </w:r>
          </w:p>
        </w:tc>
        <w:tc>
          <w:tcPr>
            <w:tcW w:w="716" w:type="dxa"/>
            <w:tcBorders>
              <w:top w:val="nil"/>
              <w:left w:val="nil"/>
              <w:bottom w:val="single" w:sz="4" w:space="0" w:color="auto"/>
              <w:right w:val="single" w:sz="4" w:space="0" w:color="auto"/>
            </w:tcBorders>
            <w:shd w:val="clear" w:color="auto" w:fill="auto"/>
            <w:noWrap/>
            <w:vAlign w:val="bottom"/>
            <w:hideMark/>
          </w:tcPr>
          <w:p w14:paraId="16F8B82A"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0,34</w:t>
            </w:r>
          </w:p>
        </w:tc>
        <w:tc>
          <w:tcPr>
            <w:tcW w:w="733" w:type="dxa"/>
            <w:tcBorders>
              <w:top w:val="nil"/>
              <w:left w:val="nil"/>
              <w:bottom w:val="single" w:sz="4" w:space="0" w:color="auto"/>
              <w:right w:val="single" w:sz="4" w:space="0" w:color="auto"/>
            </w:tcBorders>
            <w:shd w:val="clear" w:color="auto" w:fill="auto"/>
            <w:noWrap/>
            <w:vAlign w:val="bottom"/>
            <w:hideMark/>
          </w:tcPr>
          <w:p w14:paraId="5EBDCE31"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-0,72</w:t>
            </w:r>
          </w:p>
        </w:tc>
        <w:tc>
          <w:tcPr>
            <w:tcW w:w="716" w:type="dxa"/>
            <w:tcBorders>
              <w:top w:val="nil"/>
              <w:left w:val="nil"/>
              <w:bottom w:val="single" w:sz="4" w:space="0" w:color="auto"/>
              <w:right w:val="single" w:sz="4" w:space="0" w:color="auto"/>
            </w:tcBorders>
            <w:shd w:val="clear" w:color="auto" w:fill="auto"/>
            <w:noWrap/>
            <w:vAlign w:val="bottom"/>
            <w:hideMark/>
          </w:tcPr>
          <w:p w14:paraId="329C0AB7" w14:textId="77777777" w:rsidR="00D00859" w:rsidRPr="00A60500"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A60500">
              <w:rPr>
                <w:rFonts w:ascii="Times New Roman" w:eastAsia="Times New Roman" w:hAnsi="Times New Roman" w:cs="Times New Roman"/>
                <w:color w:val="000000"/>
                <w:sz w:val="20"/>
                <w:szCs w:val="20"/>
                <w:lang w:eastAsia="lt-LT"/>
              </w:rPr>
              <w:t>0,33</w:t>
            </w:r>
          </w:p>
        </w:tc>
      </w:tr>
    </w:tbl>
    <w:p w14:paraId="549D9628"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p>
    <w:p w14:paraId="3C965A1E"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Iš pateiktos lentelės matyti, kad nagrinėjamu laikotarpiu įmonės likvidumo</w:t>
      </w:r>
      <w:r w:rsidR="007D0DAF">
        <w:rPr>
          <w:rFonts w:ascii="Times New Roman" w:hAnsi="Times New Roman" w:cs="Times New Roman"/>
          <w:sz w:val="24"/>
          <w:szCs w:val="24"/>
        </w:rPr>
        <w:t xml:space="preserve"> rodiklis</w:t>
      </w:r>
      <w:r>
        <w:rPr>
          <w:rFonts w:ascii="Times New Roman" w:hAnsi="Times New Roman" w:cs="Times New Roman"/>
          <w:sz w:val="24"/>
          <w:szCs w:val="24"/>
        </w:rPr>
        <w:t xml:space="preserve"> buvo padidėjęs tik 2011 m.</w:t>
      </w:r>
      <w:r w:rsidR="007D0DAF">
        <w:rPr>
          <w:rFonts w:ascii="Times New Roman" w:hAnsi="Times New Roman" w:cs="Times New Roman"/>
          <w:sz w:val="24"/>
          <w:szCs w:val="24"/>
        </w:rPr>
        <w:t>,</w:t>
      </w:r>
      <w:r>
        <w:rPr>
          <w:rFonts w:ascii="Times New Roman" w:hAnsi="Times New Roman" w:cs="Times New Roman"/>
          <w:sz w:val="24"/>
          <w:szCs w:val="24"/>
        </w:rPr>
        <w:t xml:space="preserve"> kuomet bendrojo likvidumo koeficientas išaugo 0,41, greitojo likvidumo koeficientas – 0,38, kritinio likvidumo koeficientas – 0,04. Tačiau būtent šiais metais trumpalaikių įsipareigojimų padengimo koeficientas buvo pasiekęs kritinę reikšmę. Apibendrinant, visą nagrinėjamą laikotarpį AB „Sanitas“ likvidumo rodikliai buvo kritiškai žemi ir 2012 m. likvidumo pozicijos suprastėjimas tik sustiprina abejones dėl įmonės veiklos tęstinumo.</w:t>
      </w:r>
    </w:p>
    <w:p w14:paraId="6F0C05B7"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p>
    <w:p w14:paraId="3B442EFF" w14:textId="77777777" w:rsidR="00D00859" w:rsidRDefault="00D00859" w:rsidP="006E0185">
      <w:pPr>
        <w:tabs>
          <w:tab w:val="left" w:pos="567"/>
          <w:tab w:val="left" w:pos="3650"/>
        </w:tabs>
        <w:spacing w:after="0" w:line="360" w:lineRule="auto"/>
        <w:jc w:val="both"/>
        <w:rPr>
          <w:rFonts w:ascii="Times New Roman" w:hAnsi="Times New Roman" w:cs="Times New Roman"/>
          <w:b/>
          <w:sz w:val="24"/>
          <w:szCs w:val="24"/>
        </w:rPr>
      </w:pPr>
      <w:r w:rsidRPr="003E4140">
        <w:rPr>
          <w:rFonts w:ascii="Times New Roman" w:hAnsi="Times New Roman" w:cs="Times New Roman"/>
          <w:b/>
          <w:sz w:val="24"/>
          <w:szCs w:val="24"/>
        </w:rPr>
        <w:t>AB „Snaigė“</w:t>
      </w:r>
    </w:p>
    <w:p w14:paraId="41CBCDAB"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sidRPr="003E4140">
        <w:rPr>
          <w:rFonts w:ascii="Times New Roman" w:hAnsi="Times New Roman" w:cs="Times New Roman"/>
          <w:sz w:val="24"/>
          <w:szCs w:val="24"/>
        </w:rPr>
        <w:t>AB „Snaigė“ likvidumo dinamika pavaizduota 2</w:t>
      </w:r>
      <w:r w:rsidR="007D0DAF">
        <w:rPr>
          <w:rFonts w:ascii="Times New Roman" w:hAnsi="Times New Roman" w:cs="Times New Roman"/>
          <w:sz w:val="24"/>
          <w:szCs w:val="24"/>
        </w:rPr>
        <w:t>5</w:t>
      </w:r>
      <w:r w:rsidRPr="003E4140">
        <w:rPr>
          <w:rFonts w:ascii="Times New Roman" w:hAnsi="Times New Roman" w:cs="Times New Roman"/>
          <w:sz w:val="24"/>
          <w:szCs w:val="24"/>
        </w:rPr>
        <w:t xml:space="preserve"> paveiksle.</w:t>
      </w:r>
    </w:p>
    <w:p w14:paraId="429DFB94" w14:textId="77777777" w:rsidR="007D0DAF" w:rsidRDefault="007D0DAF" w:rsidP="00D00859">
      <w:pPr>
        <w:tabs>
          <w:tab w:val="left" w:pos="567"/>
          <w:tab w:val="left" w:pos="3650"/>
        </w:tabs>
        <w:spacing w:after="0" w:line="360" w:lineRule="auto"/>
        <w:ind w:firstLine="567"/>
        <w:jc w:val="both"/>
        <w:rPr>
          <w:rFonts w:ascii="Times New Roman" w:hAnsi="Times New Roman" w:cs="Times New Roman"/>
          <w:sz w:val="24"/>
          <w:szCs w:val="24"/>
        </w:rPr>
      </w:pPr>
    </w:p>
    <w:p w14:paraId="41C92A2B" w14:textId="77777777" w:rsidR="00D00859" w:rsidRDefault="00D00859" w:rsidP="00846558">
      <w:pPr>
        <w:tabs>
          <w:tab w:val="left" w:pos="567"/>
          <w:tab w:val="left" w:pos="3650"/>
        </w:tabs>
        <w:spacing w:after="0" w:line="360" w:lineRule="auto"/>
        <w:ind w:firstLine="567"/>
        <w:jc w:val="center"/>
        <w:rPr>
          <w:rFonts w:ascii="Times New Roman" w:hAnsi="Times New Roman" w:cs="Times New Roman"/>
          <w:sz w:val="24"/>
          <w:szCs w:val="24"/>
        </w:rPr>
      </w:pPr>
      <w:r w:rsidRPr="003E4140">
        <w:rPr>
          <w:rFonts w:ascii="Times New Roman" w:hAnsi="Times New Roman" w:cs="Times New Roman"/>
          <w:noProof/>
          <w:sz w:val="24"/>
          <w:szCs w:val="24"/>
          <w:lang w:val="en-US"/>
        </w:rPr>
        <w:drawing>
          <wp:inline distT="0" distB="0" distL="0" distR="0" wp14:anchorId="0E1C7BBF" wp14:editId="75C3FB57">
            <wp:extent cx="4576431" cy="1903228"/>
            <wp:effectExtent l="0" t="0" r="0" b="1905"/>
            <wp:docPr id="2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D637F72" w14:textId="77777777" w:rsidR="00846558" w:rsidRPr="007F2B73" w:rsidRDefault="00FD03B1" w:rsidP="007F2B73">
      <w:pPr>
        <w:pStyle w:val="Caption"/>
        <w:rPr>
          <w:szCs w:val="24"/>
        </w:rPr>
      </w:pPr>
      <w:bookmarkStart w:id="115" w:name="_Toc227593881"/>
      <w:bookmarkStart w:id="116" w:name="_Toc227594522"/>
      <w:r w:rsidRPr="007F2B73">
        <w:rPr>
          <w:szCs w:val="24"/>
        </w:rPr>
        <w:t>25</w:t>
      </w:r>
      <w:r w:rsidR="00846558" w:rsidRPr="007F2B73">
        <w:rPr>
          <w:szCs w:val="24"/>
        </w:rPr>
        <w:t xml:space="preserve"> pav. </w:t>
      </w:r>
      <w:r w:rsidR="007D0DAF" w:rsidRPr="007F2B73">
        <w:rPr>
          <w:szCs w:val="24"/>
        </w:rPr>
        <w:t>AB „Snaigė“</w:t>
      </w:r>
      <w:r w:rsidR="00846558" w:rsidRPr="007F2B73">
        <w:rPr>
          <w:szCs w:val="24"/>
        </w:rPr>
        <w:t xml:space="preserve"> likvidumo rodiklių dinamika 2008-2012 m.</w:t>
      </w:r>
      <w:bookmarkEnd w:id="115"/>
      <w:bookmarkEnd w:id="116"/>
    </w:p>
    <w:p w14:paraId="4D1D31B9" w14:textId="77777777" w:rsidR="007D0DAF" w:rsidRDefault="007D0DAF" w:rsidP="00846558">
      <w:pPr>
        <w:tabs>
          <w:tab w:val="left" w:pos="567"/>
          <w:tab w:val="left" w:pos="3650"/>
        </w:tabs>
        <w:spacing w:after="0" w:line="360" w:lineRule="auto"/>
        <w:ind w:firstLine="567"/>
        <w:jc w:val="center"/>
        <w:rPr>
          <w:rFonts w:ascii="Times New Roman" w:hAnsi="Times New Roman" w:cs="Times New Roman"/>
          <w:sz w:val="24"/>
          <w:szCs w:val="24"/>
        </w:rPr>
      </w:pPr>
    </w:p>
    <w:p w14:paraId="740962F7"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matyti grafike, bendrojo ir greitojo likvidumo koeficientai mažėjo tik 2009 m., atitinkamai 0,32 ir 0,07. Tuo tarpu nuo 2009 m. šie rodikliai turėjo tendenciją didėti. Kritinio likvidumo koeficientas analizuojamu laikotarpiu svyravo tarp 0,01 ir 0,04. 2011 m. rodiklio reikšmė sumažėjo 0,02, tačiau 2012 m. atsistatė į 2010 m. lygį.</w:t>
      </w:r>
    </w:p>
    <w:p w14:paraId="272698FD"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Trumpalaikių įsipareigojimų koeficientas stipriai išaugo 2009 m., 2010 m. sekė staigus rodiklio kritimas žemyn, o sekančiais laikotarpiais nežymus svyravimas. Tačiau šio rodiklio reikšmė visais laikotarpiais buvo žema ir rodė nepatenkinamą likvidumo lygį. Apibendrinant galima teigti, jog AB „Snaigė“ likvidumo rodikliai nagrinėjamu laikotarpiu buvo žemi, tačiau turėjo tendenciją augti. Iš to galima spręsti, jog ateityje situacija turėtų dar pagerėti.</w:t>
      </w:r>
    </w:p>
    <w:p w14:paraId="0EC7F41C"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p>
    <w:p w14:paraId="27EC939D" w14:textId="77777777" w:rsidR="00D00859" w:rsidRDefault="00D00859" w:rsidP="006E0185">
      <w:pPr>
        <w:tabs>
          <w:tab w:val="left" w:pos="567"/>
          <w:tab w:val="left" w:pos="3650"/>
        </w:tabs>
        <w:spacing w:after="0" w:line="360" w:lineRule="auto"/>
        <w:jc w:val="both"/>
        <w:rPr>
          <w:rFonts w:ascii="Times New Roman" w:hAnsi="Times New Roman" w:cs="Times New Roman"/>
          <w:b/>
          <w:sz w:val="24"/>
          <w:szCs w:val="24"/>
        </w:rPr>
      </w:pPr>
      <w:r w:rsidRPr="009D101F">
        <w:rPr>
          <w:rFonts w:ascii="Times New Roman" w:hAnsi="Times New Roman" w:cs="Times New Roman"/>
          <w:b/>
          <w:sz w:val="24"/>
          <w:szCs w:val="24"/>
        </w:rPr>
        <w:lastRenderedPageBreak/>
        <w:t>AB „TEO</w:t>
      </w:r>
      <w:r>
        <w:rPr>
          <w:rFonts w:ascii="Times New Roman" w:hAnsi="Times New Roman" w:cs="Times New Roman"/>
          <w:b/>
          <w:sz w:val="24"/>
          <w:szCs w:val="24"/>
        </w:rPr>
        <w:t xml:space="preserve"> LT</w:t>
      </w:r>
      <w:r w:rsidRPr="009D101F">
        <w:rPr>
          <w:rFonts w:ascii="Times New Roman" w:hAnsi="Times New Roman" w:cs="Times New Roman"/>
          <w:b/>
          <w:sz w:val="24"/>
          <w:szCs w:val="24"/>
        </w:rPr>
        <w:t>“</w:t>
      </w:r>
    </w:p>
    <w:p w14:paraId="39E7C5C7"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sidRPr="009D101F">
        <w:rPr>
          <w:rFonts w:ascii="Times New Roman" w:hAnsi="Times New Roman" w:cs="Times New Roman"/>
          <w:sz w:val="24"/>
          <w:szCs w:val="24"/>
        </w:rPr>
        <w:t xml:space="preserve">Įmonės likvidumo dinamiką atspindi </w:t>
      </w:r>
      <w:r w:rsidR="007D0DAF">
        <w:rPr>
          <w:rFonts w:ascii="Times New Roman" w:hAnsi="Times New Roman" w:cs="Times New Roman"/>
          <w:sz w:val="24"/>
          <w:szCs w:val="24"/>
        </w:rPr>
        <w:t>9</w:t>
      </w:r>
      <w:r w:rsidRPr="009D101F">
        <w:rPr>
          <w:rFonts w:ascii="Times New Roman" w:hAnsi="Times New Roman" w:cs="Times New Roman"/>
          <w:sz w:val="24"/>
          <w:szCs w:val="24"/>
        </w:rPr>
        <w:t xml:space="preserve"> </w:t>
      </w:r>
      <w:r>
        <w:rPr>
          <w:rFonts w:ascii="Times New Roman" w:hAnsi="Times New Roman" w:cs="Times New Roman"/>
          <w:sz w:val="24"/>
          <w:szCs w:val="24"/>
        </w:rPr>
        <w:t>lentelė</w:t>
      </w:r>
      <w:r w:rsidRPr="009D101F">
        <w:rPr>
          <w:rFonts w:ascii="Times New Roman" w:hAnsi="Times New Roman" w:cs="Times New Roman"/>
          <w:sz w:val="24"/>
          <w:szCs w:val="24"/>
        </w:rPr>
        <w:t>.</w:t>
      </w:r>
    </w:p>
    <w:p w14:paraId="0B9B31AC" w14:textId="77777777" w:rsidR="007D0DAF" w:rsidRDefault="007D0DAF" w:rsidP="00D00859">
      <w:pPr>
        <w:tabs>
          <w:tab w:val="left" w:pos="567"/>
          <w:tab w:val="left" w:pos="3650"/>
        </w:tabs>
        <w:spacing w:after="0" w:line="360" w:lineRule="auto"/>
        <w:ind w:firstLine="567"/>
        <w:jc w:val="both"/>
        <w:rPr>
          <w:rFonts w:ascii="Times New Roman" w:hAnsi="Times New Roman" w:cs="Times New Roman"/>
          <w:sz w:val="24"/>
          <w:szCs w:val="24"/>
        </w:rPr>
      </w:pPr>
    </w:p>
    <w:p w14:paraId="5BCD46CF" w14:textId="77777777" w:rsidR="007D0DAF" w:rsidRPr="009900EC" w:rsidRDefault="007D0DAF" w:rsidP="009900EC">
      <w:pPr>
        <w:pStyle w:val="1ant"/>
        <w:rPr>
          <w:sz w:val="24"/>
          <w:szCs w:val="24"/>
        </w:rPr>
      </w:pPr>
      <w:bookmarkStart w:id="117" w:name="_Toc227595965"/>
      <w:r w:rsidRPr="009900EC">
        <w:rPr>
          <w:sz w:val="24"/>
          <w:szCs w:val="24"/>
        </w:rPr>
        <w:t>9 lentelė. AB „TEO LT“ likvidumo rodiklių dinamika 2008-2012 m.</w:t>
      </w:r>
      <w:bookmarkEnd w:id="117"/>
    </w:p>
    <w:tbl>
      <w:tblPr>
        <w:tblW w:w="7051" w:type="dxa"/>
        <w:jc w:val="center"/>
        <w:tblInd w:w="91" w:type="dxa"/>
        <w:tblLook w:val="04A0" w:firstRow="1" w:lastRow="0" w:firstColumn="1" w:lastColumn="0" w:noHBand="0" w:noVBand="1"/>
      </w:tblPr>
      <w:tblGrid>
        <w:gridCol w:w="3471"/>
        <w:gridCol w:w="716"/>
        <w:gridCol w:w="716"/>
        <w:gridCol w:w="716"/>
        <w:gridCol w:w="716"/>
        <w:gridCol w:w="716"/>
      </w:tblGrid>
      <w:tr w:rsidR="00D00859" w:rsidRPr="009D101F" w14:paraId="68BB3AE3" w14:textId="77777777" w:rsidTr="00F53335">
        <w:trPr>
          <w:trHeight w:val="300"/>
          <w:jc w:val="center"/>
        </w:trPr>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25D4C" w14:textId="77777777" w:rsidR="00D00859" w:rsidRPr="009D101F" w:rsidRDefault="00D00859" w:rsidP="00D00859">
            <w:pPr>
              <w:spacing w:after="0" w:line="240" w:lineRule="auto"/>
              <w:rPr>
                <w:rFonts w:ascii="Times New Roman" w:eastAsia="Times New Roman" w:hAnsi="Times New Roman" w:cs="Times New Roman"/>
                <w:b/>
                <w:bCs/>
                <w:color w:val="000000"/>
                <w:sz w:val="20"/>
                <w:szCs w:val="20"/>
                <w:lang w:eastAsia="lt-LT"/>
              </w:rPr>
            </w:pPr>
            <w:r w:rsidRPr="009D101F">
              <w:rPr>
                <w:rFonts w:ascii="Times New Roman" w:eastAsia="Times New Roman" w:hAnsi="Times New Roman" w:cs="Times New Roman"/>
                <w:b/>
                <w:bCs/>
                <w:color w:val="000000"/>
                <w:sz w:val="20"/>
                <w:szCs w:val="20"/>
                <w:lang w:eastAsia="lt-LT"/>
              </w:rPr>
              <w:t>Rodiklis\Metai</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5A620E3D"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2008</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7EC92E12"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2009</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06F968AC"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2010</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293132FA"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2011</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5F7D65E7"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2012</w:t>
            </w:r>
          </w:p>
        </w:tc>
      </w:tr>
      <w:tr w:rsidR="00D00859" w:rsidRPr="009D101F" w14:paraId="2150B215"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71CF0CD9" w14:textId="77777777" w:rsidR="00D00859" w:rsidRPr="009D101F" w:rsidRDefault="00D00859" w:rsidP="00D00859">
            <w:pPr>
              <w:spacing w:after="0" w:line="240" w:lineRule="auto"/>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Bendrasis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2F2CE0BC"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3,62</w:t>
            </w:r>
          </w:p>
        </w:tc>
        <w:tc>
          <w:tcPr>
            <w:tcW w:w="716" w:type="dxa"/>
            <w:tcBorders>
              <w:top w:val="nil"/>
              <w:left w:val="nil"/>
              <w:bottom w:val="single" w:sz="4" w:space="0" w:color="auto"/>
              <w:right w:val="single" w:sz="4" w:space="0" w:color="auto"/>
            </w:tcBorders>
            <w:shd w:val="clear" w:color="auto" w:fill="auto"/>
            <w:noWrap/>
            <w:vAlign w:val="bottom"/>
            <w:hideMark/>
          </w:tcPr>
          <w:p w14:paraId="67B66888"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4,18</w:t>
            </w:r>
          </w:p>
        </w:tc>
        <w:tc>
          <w:tcPr>
            <w:tcW w:w="716" w:type="dxa"/>
            <w:tcBorders>
              <w:top w:val="nil"/>
              <w:left w:val="nil"/>
              <w:bottom w:val="single" w:sz="4" w:space="0" w:color="auto"/>
              <w:right w:val="single" w:sz="4" w:space="0" w:color="auto"/>
            </w:tcBorders>
            <w:shd w:val="clear" w:color="auto" w:fill="auto"/>
            <w:noWrap/>
            <w:vAlign w:val="bottom"/>
            <w:hideMark/>
          </w:tcPr>
          <w:p w14:paraId="5BD51A3F"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3,19</w:t>
            </w:r>
          </w:p>
        </w:tc>
        <w:tc>
          <w:tcPr>
            <w:tcW w:w="716" w:type="dxa"/>
            <w:tcBorders>
              <w:top w:val="nil"/>
              <w:left w:val="nil"/>
              <w:bottom w:val="single" w:sz="4" w:space="0" w:color="auto"/>
              <w:right w:val="single" w:sz="4" w:space="0" w:color="auto"/>
            </w:tcBorders>
            <w:shd w:val="clear" w:color="auto" w:fill="auto"/>
            <w:noWrap/>
            <w:vAlign w:val="bottom"/>
            <w:hideMark/>
          </w:tcPr>
          <w:p w14:paraId="195CD1DC"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4,71</w:t>
            </w:r>
          </w:p>
        </w:tc>
        <w:tc>
          <w:tcPr>
            <w:tcW w:w="716" w:type="dxa"/>
            <w:tcBorders>
              <w:top w:val="nil"/>
              <w:left w:val="nil"/>
              <w:bottom w:val="single" w:sz="4" w:space="0" w:color="auto"/>
              <w:right w:val="single" w:sz="4" w:space="0" w:color="auto"/>
            </w:tcBorders>
            <w:shd w:val="clear" w:color="auto" w:fill="auto"/>
            <w:noWrap/>
            <w:vAlign w:val="bottom"/>
            <w:hideMark/>
          </w:tcPr>
          <w:p w14:paraId="18EB98C6"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3,87</w:t>
            </w:r>
          </w:p>
        </w:tc>
      </w:tr>
      <w:tr w:rsidR="00D00859" w:rsidRPr="009D101F" w14:paraId="32122990"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2FCC946A" w14:textId="77777777" w:rsidR="00D00859" w:rsidRPr="009D101F" w:rsidRDefault="00D00859" w:rsidP="00D00859">
            <w:pPr>
              <w:spacing w:after="0" w:line="240" w:lineRule="auto"/>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Greitasis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5666769B"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3,56</w:t>
            </w:r>
          </w:p>
        </w:tc>
        <w:tc>
          <w:tcPr>
            <w:tcW w:w="716" w:type="dxa"/>
            <w:tcBorders>
              <w:top w:val="nil"/>
              <w:left w:val="nil"/>
              <w:bottom w:val="single" w:sz="4" w:space="0" w:color="auto"/>
              <w:right w:val="single" w:sz="4" w:space="0" w:color="auto"/>
            </w:tcBorders>
            <w:shd w:val="clear" w:color="auto" w:fill="auto"/>
            <w:noWrap/>
            <w:vAlign w:val="bottom"/>
            <w:hideMark/>
          </w:tcPr>
          <w:p w14:paraId="33E0F8D1"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4,13</w:t>
            </w:r>
          </w:p>
        </w:tc>
        <w:tc>
          <w:tcPr>
            <w:tcW w:w="716" w:type="dxa"/>
            <w:tcBorders>
              <w:top w:val="nil"/>
              <w:left w:val="nil"/>
              <w:bottom w:val="single" w:sz="4" w:space="0" w:color="auto"/>
              <w:right w:val="single" w:sz="4" w:space="0" w:color="auto"/>
            </w:tcBorders>
            <w:shd w:val="clear" w:color="auto" w:fill="auto"/>
            <w:noWrap/>
            <w:vAlign w:val="bottom"/>
            <w:hideMark/>
          </w:tcPr>
          <w:p w14:paraId="58B641F7"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3,15</w:t>
            </w:r>
          </w:p>
        </w:tc>
        <w:tc>
          <w:tcPr>
            <w:tcW w:w="716" w:type="dxa"/>
            <w:tcBorders>
              <w:top w:val="nil"/>
              <w:left w:val="nil"/>
              <w:bottom w:val="single" w:sz="4" w:space="0" w:color="auto"/>
              <w:right w:val="single" w:sz="4" w:space="0" w:color="auto"/>
            </w:tcBorders>
            <w:shd w:val="clear" w:color="auto" w:fill="auto"/>
            <w:noWrap/>
            <w:vAlign w:val="bottom"/>
            <w:hideMark/>
          </w:tcPr>
          <w:p w14:paraId="630D8AFA"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4,66</w:t>
            </w:r>
          </w:p>
        </w:tc>
        <w:tc>
          <w:tcPr>
            <w:tcW w:w="716" w:type="dxa"/>
            <w:tcBorders>
              <w:top w:val="nil"/>
              <w:left w:val="nil"/>
              <w:bottom w:val="single" w:sz="4" w:space="0" w:color="auto"/>
              <w:right w:val="single" w:sz="4" w:space="0" w:color="auto"/>
            </w:tcBorders>
            <w:shd w:val="clear" w:color="auto" w:fill="auto"/>
            <w:noWrap/>
            <w:vAlign w:val="bottom"/>
            <w:hideMark/>
          </w:tcPr>
          <w:p w14:paraId="19998864"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3,82</w:t>
            </w:r>
          </w:p>
        </w:tc>
      </w:tr>
      <w:tr w:rsidR="00D00859" w:rsidRPr="009D101F" w14:paraId="7A8978D1"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7DD14CDB" w14:textId="77777777" w:rsidR="00D00859" w:rsidRPr="009D101F" w:rsidRDefault="00D00859" w:rsidP="00D00859">
            <w:pPr>
              <w:spacing w:after="0" w:line="240" w:lineRule="auto"/>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Kritinis likvidumas</w:t>
            </w:r>
          </w:p>
        </w:tc>
        <w:tc>
          <w:tcPr>
            <w:tcW w:w="716" w:type="dxa"/>
            <w:tcBorders>
              <w:top w:val="nil"/>
              <w:left w:val="nil"/>
              <w:bottom w:val="single" w:sz="4" w:space="0" w:color="auto"/>
              <w:right w:val="single" w:sz="4" w:space="0" w:color="auto"/>
            </w:tcBorders>
            <w:shd w:val="clear" w:color="auto" w:fill="auto"/>
            <w:noWrap/>
            <w:vAlign w:val="bottom"/>
            <w:hideMark/>
          </w:tcPr>
          <w:p w14:paraId="617E5BB4"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1,11</w:t>
            </w:r>
          </w:p>
        </w:tc>
        <w:tc>
          <w:tcPr>
            <w:tcW w:w="716" w:type="dxa"/>
            <w:tcBorders>
              <w:top w:val="nil"/>
              <w:left w:val="nil"/>
              <w:bottom w:val="single" w:sz="4" w:space="0" w:color="auto"/>
              <w:right w:val="single" w:sz="4" w:space="0" w:color="auto"/>
            </w:tcBorders>
            <w:shd w:val="clear" w:color="auto" w:fill="auto"/>
            <w:noWrap/>
            <w:vAlign w:val="bottom"/>
            <w:hideMark/>
          </w:tcPr>
          <w:p w14:paraId="4790E2D4"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1,61</w:t>
            </w:r>
          </w:p>
        </w:tc>
        <w:tc>
          <w:tcPr>
            <w:tcW w:w="716" w:type="dxa"/>
            <w:tcBorders>
              <w:top w:val="nil"/>
              <w:left w:val="nil"/>
              <w:bottom w:val="single" w:sz="4" w:space="0" w:color="auto"/>
              <w:right w:val="single" w:sz="4" w:space="0" w:color="auto"/>
            </w:tcBorders>
            <w:shd w:val="clear" w:color="auto" w:fill="auto"/>
            <w:noWrap/>
            <w:vAlign w:val="bottom"/>
            <w:hideMark/>
          </w:tcPr>
          <w:p w14:paraId="1C5AC213"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1,65</w:t>
            </w:r>
          </w:p>
        </w:tc>
        <w:tc>
          <w:tcPr>
            <w:tcW w:w="716" w:type="dxa"/>
            <w:tcBorders>
              <w:top w:val="nil"/>
              <w:left w:val="nil"/>
              <w:bottom w:val="single" w:sz="4" w:space="0" w:color="auto"/>
              <w:right w:val="single" w:sz="4" w:space="0" w:color="auto"/>
            </w:tcBorders>
            <w:shd w:val="clear" w:color="auto" w:fill="auto"/>
            <w:noWrap/>
            <w:vAlign w:val="bottom"/>
            <w:hideMark/>
          </w:tcPr>
          <w:p w14:paraId="60D40B52"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2,59</w:t>
            </w:r>
          </w:p>
        </w:tc>
        <w:tc>
          <w:tcPr>
            <w:tcW w:w="716" w:type="dxa"/>
            <w:tcBorders>
              <w:top w:val="nil"/>
              <w:left w:val="nil"/>
              <w:bottom w:val="single" w:sz="4" w:space="0" w:color="auto"/>
              <w:right w:val="single" w:sz="4" w:space="0" w:color="auto"/>
            </w:tcBorders>
            <w:shd w:val="clear" w:color="auto" w:fill="auto"/>
            <w:noWrap/>
            <w:vAlign w:val="bottom"/>
            <w:hideMark/>
          </w:tcPr>
          <w:p w14:paraId="41C34060"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1,95</w:t>
            </w:r>
          </w:p>
        </w:tc>
      </w:tr>
      <w:tr w:rsidR="00D00859" w:rsidRPr="009D101F" w14:paraId="50D1473A" w14:textId="77777777" w:rsidTr="00F53335">
        <w:trPr>
          <w:trHeight w:val="300"/>
          <w:jc w:val="center"/>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6ECD0E2" w14:textId="77777777" w:rsidR="00D00859" w:rsidRPr="009D101F" w:rsidRDefault="00D00859" w:rsidP="00D00859">
            <w:pPr>
              <w:spacing w:after="0" w:line="240" w:lineRule="auto"/>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Tr. Į. apmokėjimo pinigais koeficientas</w:t>
            </w:r>
          </w:p>
        </w:tc>
        <w:tc>
          <w:tcPr>
            <w:tcW w:w="716" w:type="dxa"/>
            <w:tcBorders>
              <w:top w:val="nil"/>
              <w:left w:val="nil"/>
              <w:bottom w:val="single" w:sz="4" w:space="0" w:color="auto"/>
              <w:right w:val="single" w:sz="4" w:space="0" w:color="auto"/>
            </w:tcBorders>
            <w:shd w:val="clear" w:color="auto" w:fill="auto"/>
            <w:noWrap/>
            <w:vAlign w:val="bottom"/>
            <w:hideMark/>
          </w:tcPr>
          <w:p w14:paraId="46161165"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2,35</w:t>
            </w:r>
          </w:p>
        </w:tc>
        <w:tc>
          <w:tcPr>
            <w:tcW w:w="716" w:type="dxa"/>
            <w:tcBorders>
              <w:top w:val="nil"/>
              <w:left w:val="nil"/>
              <w:bottom w:val="single" w:sz="4" w:space="0" w:color="auto"/>
              <w:right w:val="single" w:sz="4" w:space="0" w:color="auto"/>
            </w:tcBorders>
            <w:shd w:val="clear" w:color="auto" w:fill="auto"/>
            <w:noWrap/>
            <w:vAlign w:val="bottom"/>
            <w:hideMark/>
          </w:tcPr>
          <w:p w14:paraId="57A6185F"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2,72</w:t>
            </w:r>
          </w:p>
        </w:tc>
        <w:tc>
          <w:tcPr>
            <w:tcW w:w="716" w:type="dxa"/>
            <w:tcBorders>
              <w:top w:val="nil"/>
              <w:left w:val="nil"/>
              <w:bottom w:val="single" w:sz="4" w:space="0" w:color="auto"/>
              <w:right w:val="single" w:sz="4" w:space="0" w:color="auto"/>
            </w:tcBorders>
            <w:shd w:val="clear" w:color="auto" w:fill="auto"/>
            <w:noWrap/>
            <w:vAlign w:val="bottom"/>
            <w:hideMark/>
          </w:tcPr>
          <w:p w14:paraId="1A01D5B2"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2,17</w:t>
            </w:r>
          </w:p>
        </w:tc>
        <w:tc>
          <w:tcPr>
            <w:tcW w:w="716" w:type="dxa"/>
            <w:tcBorders>
              <w:top w:val="nil"/>
              <w:left w:val="nil"/>
              <w:bottom w:val="single" w:sz="4" w:space="0" w:color="auto"/>
              <w:right w:val="single" w:sz="4" w:space="0" w:color="auto"/>
            </w:tcBorders>
            <w:shd w:val="clear" w:color="auto" w:fill="auto"/>
            <w:noWrap/>
            <w:vAlign w:val="bottom"/>
            <w:hideMark/>
          </w:tcPr>
          <w:p w14:paraId="536FD7B1"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4,17</w:t>
            </w:r>
          </w:p>
        </w:tc>
        <w:tc>
          <w:tcPr>
            <w:tcW w:w="716" w:type="dxa"/>
            <w:tcBorders>
              <w:top w:val="nil"/>
              <w:left w:val="nil"/>
              <w:bottom w:val="single" w:sz="4" w:space="0" w:color="auto"/>
              <w:right w:val="single" w:sz="4" w:space="0" w:color="auto"/>
            </w:tcBorders>
            <w:shd w:val="clear" w:color="auto" w:fill="auto"/>
            <w:noWrap/>
            <w:vAlign w:val="bottom"/>
            <w:hideMark/>
          </w:tcPr>
          <w:p w14:paraId="04B28CD4" w14:textId="77777777" w:rsidR="00D00859" w:rsidRPr="009D101F" w:rsidRDefault="00D00859" w:rsidP="00D00859">
            <w:pPr>
              <w:spacing w:after="0" w:line="240" w:lineRule="auto"/>
              <w:jc w:val="right"/>
              <w:rPr>
                <w:rFonts w:ascii="Times New Roman" w:eastAsia="Times New Roman" w:hAnsi="Times New Roman" w:cs="Times New Roman"/>
                <w:color w:val="000000"/>
                <w:sz w:val="20"/>
                <w:szCs w:val="20"/>
                <w:lang w:eastAsia="lt-LT"/>
              </w:rPr>
            </w:pPr>
            <w:r w:rsidRPr="009D101F">
              <w:rPr>
                <w:rFonts w:ascii="Times New Roman" w:eastAsia="Times New Roman" w:hAnsi="Times New Roman" w:cs="Times New Roman"/>
                <w:color w:val="000000"/>
                <w:sz w:val="20"/>
                <w:szCs w:val="20"/>
                <w:lang w:eastAsia="lt-LT"/>
              </w:rPr>
              <w:t>3,42</w:t>
            </w:r>
          </w:p>
        </w:tc>
      </w:tr>
    </w:tbl>
    <w:p w14:paraId="07A66E57" w14:textId="77777777" w:rsidR="00D00859" w:rsidRDefault="00D00859" w:rsidP="00D00859">
      <w:pPr>
        <w:tabs>
          <w:tab w:val="left" w:pos="567"/>
          <w:tab w:val="left" w:pos="3650"/>
        </w:tabs>
        <w:spacing w:after="0" w:line="360" w:lineRule="auto"/>
        <w:jc w:val="both"/>
        <w:rPr>
          <w:rFonts w:ascii="Times New Roman" w:hAnsi="Times New Roman" w:cs="Times New Roman"/>
          <w:sz w:val="24"/>
          <w:szCs w:val="24"/>
        </w:rPr>
      </w:pPr>
    </w:p>
    <w:p w14:paraId="16E3B329"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Kaip matyti iš pateiktos lentelės visi likvidumo rodikliai nagrinėjamu laikotarpiu svyravo ir tendencingas jų didėjimas ar mažėjimas neįžvelgiamas. Geriausia įmonės pozicija likvidumo atžvilgiu buvo 2009 m., o prasčiausia – 2010 m., kuomet bendrojo likvidumo koeficientas sumažėjo 0,99, greitojo likvidumo – 0,98, kritinio likvidumo – 0,04, trumpalaikių įsipareigojimų apmokėjimo pinigais – 0,55. </w:t>
      </w:r>
    </w:p>
    <w:p w14:paraId="385CDE2C"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Apibendrinant, tiek tradiciniai, tiek ir trumpalaikių įsipareigojimų apmokėjimo pinigais koeficientas rodė gerą įmonės likvidumo poziciją visą tiriamą laikotarpį. Ši įmonė yra tik antroji iš auk</w:t>
      </w:r>
      <w:r w:rsidR="007D0DAF">
        <w:rPr>
          <w:rFonts w:ascii="Times New Roman" w:hAnsi="Times New Roman" w:cs="Times New Roman"/>
          <w:sz w:val="24"/>
          <w:szCs w:val="24"/>
        </w:rPr>
        <w:t>š</w:t>
      </w:r>
      <w:r>
        <w:rPr>
          <w:rFonts w:ascii="Times New Roman" w:hAnsi="Times New Roman" w:cs="Times New Roman"/>
          <w:sz w:val="24"/>
          <w:szCs w:val="24"/>
        </w:rPr>
        <w:t xml:space="preserve">čiau analizuotų, kurios tiek tradiciniai likvidumo rodikliai, tiek trumpalaikių įsipareigojimų apmokėjimo pinigais koeficientas rodė gerą likvidumo būklę. </w:t>
      </w:r>
    </w:p>
    <w:p w14:paraId="5DC41340"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p>
    <w:p w14:paraId="46237337" w14:textId="77777777" w:rsidR="00D00859" w:rsidRDefault="00D00859" w:rsidP="006E0185">
      <w:pPr>
        <w:tabs>
          <w:tab w:val="left" w:pos="567"/>
          <w:tab w:val="left" w:pos="3650"/>
        </w:tabs>
        <w:spacing w:after="0" w:line="360" w:lineRule="auto"/>
        <w:jc w:val="both"/>
        <w:rPr>
          <w:rFonts w:ascii="Times New Roman" w:hAnsi="Times New Roman" w:cs="Times New Roman"/>
          <w:b/>
          <w:sz w:val="24"/>
          <w:szCs w:val="24"/>
        </w:rPr>
      </w:pPr>
      <w:r w:rsidRPr="00D47869">
        <w:rPr>
          <w:rFonts w:ascii="Times New Roman" w:hAnsi="Times New Roman" w:cs="Times New Roman"/>
          <w:b/>
          <w:sz w:val="24"/>
          <w:szCs w:val="24"/>
        </w:rPr>
        <w:t>AB „Utenos trikotažas“</w:t>
      </w:r>
    </w:p>
    <w:p w14:paraId="5907CD36"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Įmonės lik</w:t>
      </w:r>
      <w:r w:rsidR="007D0DAF">
        <w:rPr>
          <w:rFonts w:ascii="Times New Roman" w:hAnsi="Times New Roman" w:cs="Times New Roman"/>
          <w:sz w:val="24"/>
          <w:szCs w:val="24"/>
        </w:rPr>
        <w:t>v</w:t>
      </w:r>
      <w:r>
        <w:rPr>
          <w:rFonts w:ascii="Times New Roman" w:hAnsi="Times New Roman" w:cs="Times New Roman"/>
          <w:sz w:val="24"/>
          <w:szCs w:val="24"/>
        </w:rPr>
        <w:t>idumo rodiklių dinamiką vaizduoja 2</w:t>
      </w:r>
      <w:r w:rsidR="007D0DAF">
        <w:rPr>
          <w:rFonts w:ascii="Times New Roman" w:hAnsi="Times New Roman" w:cs="Times New Roman"/>
          <w:sz w:val="24"/>
          <w:szCs w:val="24"/>
        </w:rPr>
        <w:t>6</w:t>
      </w:r>
      <w:r>
        <w:rPr>
          <w:rFonts w:ascii="Times New Roman" w:hAnsi="Times New Roman" w:cs="Times New Roman"/>
          <w:sz w:val="24"/>
          <w:szCs w:val="24"/>
        </w:rPr>
        <w:t xml:space="preserve"> paveikslas. Bendrojo ir greitojo likvidumo rodikliai nagrinėjamu laikotarpiu svyravo. Ypatingai dideli pokyčiai buvo 2010 m. ir 2011 m., kai šių </w:t>
      </w:r>
      <w:r w:rsidR="007D0DAF">
        <w:rPr>
          <w:rFonts w:ascii="Times New Roman" w:hAnsi="Times New Roman" w:cs="Times New Roman"/>
          <w:sz w:val="24"/>
          <w:szCs w:val="24"/>
        </w:rPr>
        <w:t>rodiklių reikšmės išaugo atitinkamai 0,78 ir 0,49, o jau sekančiais metasi nukrito</w:t>
      </w:r>
      <w:r w:rsidR="003E1B21">
        <w:rPr>
          <w:rFonts w:ascii="Times New Roman" w:hAnsi="Times New Roman" w:cs="Times New Roman"/>
          <w:sz w:val="24"/>
          <w:szCs w:val="24"/>
        </w:rPr>
        <w:t xml:space="preserve"> atitinkamai</w:t>
      </w:r>
      <w:r w:rsidR="007D0DAF">
        <w:rPr>
          <w:rFonts w:ascii="Times New Roman" w:hAnsi="Times New Roman" w:cs="Times New Roman"/>
          <w:sz w:val="24"/>
          <w:szCs w:val="24"/>
        </w:rPr>
        <w:t xml:space="preserve"> 0,54 ir 0,51. 2011-2012 m. laikotar</w:t>
      </w:r>
      <w:r w:rsidR="003E1B21">
        <w:rPr>
          <w:rFonts w:ascii="Times New Roman" w:hAnsi="Times New Roman" w:cs="Times New Roman"/>
          <w:sz w:val="24"/>
          <w:szCs w:val="24"/>
        </w:rPr>
        <w:t>pių šie rodikliai kito nežymiai:</w:t>
      </w:r>
      <w:r w:rsidR="007D0DAF">
        <w:rPr>
          <w:rFonts w:ascii="Times New Roman" w:hAnsi="Times New Roman" w:cs="Times New Roman"/>
          <w:sz w:val="24"/>
          <w:szCs w:val="24"/>
        </w:rPr>
        <w:t xml:space="preserve"> bendrasis likvidumas padidėjo 0,08, o greitasis likvidumas sumažėjo 0,06. Kritinio likvidumo koeficientas 2008 m. buvo nulinis, o sekančiais laikotarpiais išlaikė stabiliai žemą reikšmę</w:t>
      </w:r>
      <w:r w:rsidR="003E1B21">
        <w:rPr>
          <w:rFonts w:ascii="Times New Roman" w:hAnsi="Times New Roman" w:cs="Times New Roman"/>
          <w:sz w:val="24"/>
          <w:szCs w:val="24"/>
        </w:rPr>
        <w:t xml:space="preserve"> –</w:t>
      </w:r>
      <w:r w:rsidR="007D0DAF">
        <w:rPr>
          <w:rFonts w:ascii="Times New Roman" w:hAnsi="Times New Roman" w:cs="Times New Roman"/>
          <w:sz w:val="24"/>
          <w:szCs w:val="24"/>
        </w:rPr>
        <w:t xml:space="preserve"> 0,04 ir tik 2012 m. sumažėjo viena šimtąja.</w:t>
      </w:r>
    </w:p>
    <w:p w14:paraId="1B586E5B" w14:textId="77777777" w:rsidR="007D0DAF" w:rsidRDefault="007D0DAF" w:rsidP="00D00859">
      <w:pPr>
        <w:tabs>
          <w:tab w:val="left" w:pos="567"/>
          <w:tab w:val="left" w:pos="3650"/>
        </w:tabs>
        <w:spacing w:after="0" w:line="360" w:lineRule="auto"/>
        <w:ind w:firstLine="567"/>
        <w:jc w:val="both"/>
        <w:rPr>
          <w:rFonts w:ascii="Times New Roman" w:hAnsi="Times New Roman" w:cs="Times New Roman"/>
          <w:sz w:val="24"/>
          <w:szCs w:val="24"/>
        </w:rPr>
      </w:pPr>
    </w:p>
    <w:p w14:paraId="2A8E5574" w14:textId="77777777" w:rsidR="00D00859" w:rsidRDefault="00D00859" w:rsidP="00AB0430">
      <w:pPr>
        <w:tabs>
          <w:tab w:val="left" w:pos="567"/>
          <w:tab w:val="left" w:pos="3650"/>
        </w:tabs>
        <w:spacing w:after="0" w:line="360" w:lineRule="auto"/>
        <w:jc w:val="center"/>
        <w:rPr>
          <w:rFonts w:ascii="Times New Roman" w:hAnsi="Times New Roman" w:cs="Times New Roman"/>
          <w:sz w:val="24"/>
          <w:szCs w:val="24"/>
        </w:rPr>
      </w:pPr>
      <w:r w:rsidRPr="009C0F00">
        <w:rPr>
          <w:rFonts w:ascii="Times New Roman" w:hAnsi="Times New Roman" w:cs="Times New Roman"/>
          <w:noProof/>
          <w:sz w:val="24"/>
          <w:szCs w:val="24"/>
          <w:lang w:val="en-US"/>
        </w:rPr>
        <w:drawing>
          <wp:inline distT="0" distB="0" distL="0" distR="0" wp14:anchorId="7A8E3835" wp14:editId="778A9823">
            <wp:extent cx="4585321" cy="1903228"/>
            <wp:effectExtent l="0" t="0" r="6350" b="1905"/>
            <wp:docPr id="2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171060E" w14:textId="77777777" w:rsidR="00846558" w:rsidRPr="007F2B73" w:rsidRDefault="00FD03B1" w:rsidP="007F2B73">
      <w:pPr>
        <w:pStyle w:val="Caption"/>
        <w:rPr>
          <w:szCs w:val="24"/>
        </w:rPr>
      </w:pPr>
      <w:bookmarkStart w:id="118" w:name="_Toc227593882"/>
      <w:bookmarkStart w:id="119" w:name="_Toc227594523"/>
      <w:r w:rsidRPr="007F2B73">
        <w:rPr>
          <w:szCs w:val="24"/>
        </w:rPr>
        <w:t>26</w:t>
      </w:r>
      <w:r w:rsidR="00846558" w:rsidRPr="007F2B73">
        <w:rPr>
          <w:szCs w:val="24"/>
        </w:rPr>
        <w:t xml:space="preserve"> pav. </w:t>
      </w:r>
      <w:r w:rsidR="007D0DAF" w:rsidRPr="007F2B73">
        <w:rPr>
          <w:szCs w:val="24"/>
        </w:rPr>
        <w:t>AB „Utenos trikotažas“</w:t>
      </w:r>
      <w:r w:rsidR="00846558" w:rsidRPr="007F2B73">
        <w:rPr>
          <w:szCs w:val="24"/>
        </w:rPr>
        <w:t xml:space="preserve"> likvidumo rodiklių dinamika 2008-2012 m.</w:t>
      </w:r>
      <w:bookmarkEnd w:id="118"/>
      <w:bookmarkEnd w:id="119"/>
    </w:p>
    <w:p w14:paraId="5802026E" w14:textId="77777777" w:rsidR="007F2B73" w:rsidRDefault="007F2B73" w:rsidP="00846558">
      <w:pPr>
        <w:tabs>
          <w:tab w:val="left" w:pos="567"/>
          <w:tab w:val="left" w:pos="3650"/>
        </w:tabs>
        <w:spacing w:after="0" w:line="360" w:lineRule="auto"/>
        <w:ind w:firstLine="567"/>
        <w:jc w:val="center"/>
        <w:rPr>
          <w:rFonts w:ascii="Times New Roman" w:hAnsi="Times New Roman" w:cs="Times New Roman"/>
          <w:sz w:val="24"/>
          <w:szCs w:val="24"/>
        </w:rPr>
      </w:pPr>
    </w:p>
    <w:p w14:paraId="60240A67" w14:textId="77777777" w:rsidR="00D00859" w:rsidRPr="000A5988"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Trumpalaikių įsipareigojimų apmokėjimo pinigais koeficientas 2009-2011 m. didėjo, tačiau 2012 m. ženkliai nukrito. Tačiau šis rodiklis nepaisant svyravimų visą analizuojamą laikotarpį buvo žemas. Apibendrinant galima teigti, jog tiek tradiciniai likvidumo koeficientai, tiek ir trumpalaikių įsipareigojimų apmokėjimo pinigais rodiklis 2008-2012 m. buvo žemesni už pageidaujamą ribą.</w:t>
      </w:r>
    </w:p>
    <w:p w14:paraId="61B00674" w14:textId="77777777" w:rsidR="00D00859" w:rsidRDefault="00D00859" w:rsidP="00D00859">
      <w:pPr>
        <w:tabs>
          <w:tab w:val="left" w:pos="567"/>
          <w:tab w:val="left" w:pos="3650"/>
        </w:tabs>
        <w:spacing w:after="0" w:line="360" w:lineRule="auto"/>
        <w:jc w:val="both"/>
        <w:rPr>
          <w:rFonts w:ascii="Times New Roman" w:hAnsi="Times New Roman" w:cs="Times New Roman"/>
          <w:b/>
          <w:sz w:val="24"/>
          <w:szCs w:val="24"/>
        </w:rPr>
      </w:pPr>
    </w:p>
    <w:p w14:paraId="38F485B4" w14:textId="77777777" w:rsidR="00D00859" w:rsidRDefault="00D00859" w:rsidP="006E0185">
      <w:pPr>
        <w:tabs>
          <w:tab w:val="left" w:pos="567"/>
          <w:tab w:val="left" w:pos="36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„Vilniaus baldai“</w:t>
      </w:r>
    </w:p>
    <w:p w14:paraId="17BA2402"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„Vilniaus baldai“ likvidumas atsispindi 2</w:t>
      </w:r>
      <w:r w:rsidR="003E1B21">
        <w:rPr>
          <w:rFonts w:ascii="Times New Roman" w:hAnsi="Times New Roman" w:cs="Times New Roman"/>
          <w:sz w:val="24"/>
          <w:szCs w:val="24"/>
        </w:rPr>
        <w:t>7</w:t>
      </w:r>
      <w:r>
        <w:rPr>
          <w:rFonts w:ascii="Times New Roman" w:hAnsi="Times New Roman" w:cs="Times New Roman"/>
          <w:sz w:val="24"/>
          <w:szCs w:val="24"/>
        </w:rPr>
        <w:t xml:space="preserve"> paveiksle.</w:t>
      </w:r>
    </w:p>
    <w:p w14:paraId="5B041D7E" w14:textId="77777777" w:rsidR="003E1B21" w:rsidRPr="000A5988" w:rsidRDefault="003E1B21" w:rsidP="00D00859">
      <w:pPr>
        <w:tabs>
          <w:tab w:val="left" w:pos="567"/>
          <w:tab w:val="left" w:pos="3650"/>
        </w:tabs>
        <w:spacing w:after="0" w:line="360" w:lineRule="auto"/>
        <w:ind w:firstLine="567"/>
        <w:jc w:val="both"/>
        <w:rPr>
          <w:rFonts w:ascii="Times New Roman" w:hAnsi="Times New Roman" w:cs="Times New Roman"/>
          <w:sz w:val="24"/>
          <w:szCs w:val="24"/>
        </w:rPr>
      </w:pPr>
    </w:p>
    <w:p w14:paraId="47EC5087" w14:textId="77777777" w:rsidR="00D00859" w:rsidRDefault="00D00859" w:rsidP="00AB0430">
      <w:pPr>
        <w:tabs>
          <w:tab w:val="left" w:pos="567"/>
          <w:tab w:val="left" w:pos="3650"/>
        </w:tabs>
        <w:spacing w:after="0" w:line="360" w:lineRule="auto"/>
        <w:jc w:val="center"/>
        <w:rPr>
          <w:rFonts w:ascii="Times New Roman" w:hAnsi="Times New Roman" w:cs="Times New Roman"/>
          <w:b/>
          <w:sz w:val="24"/>
          <w:szCs w:val="24"/>
        </w:rPr>
      </w:pPr>
      <w:r w:rsidRPr="00D47869">
        <w:rPr>
          <w:rFonts w:ascii="Times New Roman" w:hAnsi="Times New Roman" w:cs="Times New Roman"/>
          <w:b/>
          <w:noProof/>
          <w:sz w:val="24"/>
          <w:szCs w:val="24"/>
          <w:lang w:val="en-US"/>
        </w:rPr>
        <w:drawing>
          <wp:inline distT="0" distB="0" distL="0" distR="0" wp14:anchorId="0AB08B3A" wp14:editId="31D9D7C9">
            <wp:extent cx="4860000" cy="1980000"/>
            <wp:effectExtent l="0" t="0" r="0" b="1270"/>
            <wp:docPr id="2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FDA1825" w14:textId="77777777" w:rsidR="00846558" w:rsidRPr="007F2B73" w:rsidRDefault="00FD03B1" w:rsidP="007F2B73">
      <w:pPr>
        <w:pStyle w:val="Caption"/>
        <w:rPr>
          <w:szCs w:val="24"/>
        </w:rPr>
      </w:pPr>
      <w:bookmarkStart w:id="120" w:name="_Toc227593883"/>
      <w:bookmarkStart w:id="121" w:name="_Toc227594524"/>
      <w:r w:rsidRPr="007F2B73">
        <w:rPr>
          <w:szCs w:val="24"/>
        </w:rPr>
        <w:t>27</w:t>
      </w:r>
      <w:r w:rsidR="00846558" w:rsidRPr="007F2B73">
        <w:rPr>
          <w:szCs w:val="24"/>
        </w:rPr>
        <w:t xml:space="preserve"> pav. </w:t>
      </w:r>
      <w:r w:rsidR="003E1B21" w:rsidRPr="007F2B73">
        <w:rPr>
          <w:szCs w:val="24"/>
        </w:rPr>
        <w:t>AB „Vilniaus baldai“</w:t>
      </w:r>
      <w:r w:rsidR="00846558" w:rsidRPr="007F2B73">
        <w:rPr>
          <w:szCs w:val="24"/>
        </w:rPr>
        <w:t xml:space="preserve"> likvidumo rodiklių dinamika 2008-2012 m.</w:t>
      </w:r>
      <w:bookmarkEnd w:id="120"/>
      <w:bookmarkEnd w:id="121"/>
    </w:p>
    <w:p w14:paraId="7CDD19C1" w14:textId="77777777" w:rsidR="003E1B21" w:rsidRDefault="003E1B21" w:rsidP="00846558">
      <w:pPr>
        <w:tabs>
          <w:tab w:val="left" w:pos="567"/>
          <w:tab w:val="left" w:pos="3650"/>
        </w:tabs>
        <w:spacing w:after="0" w:line="360" w:lineRule="auto"/>
        <w:ind w:firstLine="567"/>
        <w:jc w:val="center"/>
        <w:rPr>
          <w:rFonts w:ascii="Times New Roman" w:hAnsi="Times New Roman" w:cs="Times New Roman"/>
          <w:b/>
          <w:sz w:val="24"/>
          <w:szCs w:val="24"/>
        </w:rPr>
      </w:pPr>
    </w:p>
    <w:p w14:paraId="49320AE8"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sidRPr="000A5988">
        <w:rPr>
          <w:rFonts w:ascii="Times New Roman" w:hAnsi="Times New Roman" w:cs="Times New Roman"/>
          <w:sz w:val="24"/>
          <w:szCs w:val="24"/>
        </w:rPr>
        <w:t>Galima pastebėti</w:t>
      </w:r>
      <w:r>
        <w:rPr>
          <w:rFonts w:ascii="Times New Roman" w:hAnsi="Times New Roman" w:cs="Times New Roman"/>
          <w:sz w:val="24"/>
          <w:szCs w:val="24"/>
        </w:rPr>
        <w:t>, kad tiek tradiciniai likvidumo rodikliai, tiek trumpalaikių įsipareigojimų apmokėjimo pinigais koeficientas nagrinėjamu laikotarpiu turėjo tendenciją augti. Atkreiptinas dėmesys į tai, kad bendrojo ir greitojo likvidumo rodi</w:t>
      </w:r>
      <w:r w:rsidR="003E1B21">
        <w:rPr>
          <w:rFonts w:ascii="Times New Roman" w:hAnsi="Times New Roman" w:cs="Times New Roman"/>
          <w:sz w:val="24"/>
          <w:szCs w:val="24"/>
        </w:rPr>
        <w:t>k</w:t>
      </w:r>
      <w:r>
        <w:rPr>
          <w:rFonts w:ascii="Times New Roman" w:hAnsi="Times New Roman" w:cs="Times New Roman"/>
          <w:sz w:val="24"/>
          <w:szCs w:val="24"/>
        </w:rPr>
        <w:t>liai 2012 m. sumažėjo atitinkamai 0,37 ir 0,67. Tuo tarpu kritinio likvidumo koeficientas būtent 2012 m. pasiekė didžiausią reikšmę, kuomet lyginant su 2011 m. padidėjo 0,07. Trumpalaikių įsipareigojimų apmokėjimo pinigais koeficientas nuo 2010 m. išlaikė stabilų lygį, o lyginant 2012 m. su 2011 m. šio rodiklio reikšmė sumažėjo vos 0,01.</w:t>
      </w:r>
    </w:p>
    <w:p w14:paraId="1FD9419F" w14:textId="77777777" w:rsidR="00D00859" w:rsidRPr="000A5988"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Apibendrinant galima teigti, jog 2008-2012 m. laikotarpiu AB „Vilniaus baldai“ likvidumas tendencingai augo ir išlaikė aukštus rodiklius beveik visą analizuojamą laikotarpį, </w:t>
      </w:r>
      <w:r w:rsidR="003E1B21">
        <w:rPr>
          <w:rFonts w:ascii="Times New Roman" w:hAnsi="Times New Roman" w:cs="Times New Roman"/>
          <w:sz w:val="24"/>
          <w:szCs w:val="24"/>
        </w:rPr>
        <w:t>t. y.</w:t>
      </w:r>
      <w:r>
        <w:rPr>
          <w:rFonts w:ascii="Times New Roman" w:hAnsi="Times New Roman" w:cs="Times New Roman"/>
          <w:sz w:val="24"/>
          <w:szCs w:val="24"/>
        </w:rPr>
        <w:t>, nuo 2009 m. Galima daryti išvadą, kad įmonė išlaiko stabiliai aukštą likvidumą ir artimiausioje ateityje didelių pokyčių ar ryškaus pasikeitimo būti neturėtų.</w:t>
      </w:r>
    </w:p>
    <w:p w14:paraId="6CB73458" w14:textId="77777777" w:rsidR="00D00859" w:rsidRDefault="00D00859" w:rsidP="00D00859">
      <w:pPr>
        <w:tabs>
          <w:tab w:val="left" w:pos="567"/>
          <w:tab w:val="left" w:pos="3650"/>
        </w:tabs>
        <w:spacing w:after="0" w:line="360" w:lineRule="auto"/>
        <w:jc w:val="both"/>
        <w:rPr>
          <w:rFonts w:ascii="Times New Roman" w:hAnsi="Times New Roman" w:cs="Times New Roman"/>
          <w:b/>
          <w:sz w:val="24"/>
          <w:szCs w:val="24"/>
        </w:rPr>
      </w:pPr>
    </w:p>
    <w:p w14:paraId="4B600E07" w14:textId="77777777" w:rsidR="00D00859" w:rsidRDefault="00D00859" w:rsidP="00D00859">
      <w:pPr>
        <w:tabs>
          <w:tab w:val="left" w:pos="567"/>
          <w:tab w:val="left" w:pos="36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„Vilniaus degtinė“</w:t>
      </w:r>
    </w:p>
    <w:p w14:paraId="3F06F856" w14:textId="77777777" w:rsidR="00FD03B1" w:rsidRPr="000A5988" w:rsidRDefault="00FD03B1" w:rsidP="00FD03B1">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„Vilniaus degtinė“ likvidumas atsispindi 28 paveiksle.</w:t>
      </w:r>
    </w:p>
    <w:p w14:paraId="0971D443"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sidRPr="009C0F00">
        <w:rPr>
          <w:rFonts w:ascii="Times New Roman" w:hAnsi="Times New Roman" w:cs="Times New Roman"/>
          <w:sz w:val="24"/>
          <w:szCs w:val="24"/>
        </w:rPr>
        <w:t xml:space="preserve">Įmonės </w:t>
      </w:r>
      <w:r>
        <w:rPr>
          <w:rFonts w:ascii="Times New Roman" w:hAnsi="Times New Roman" w:cs="Times New Roman"/>
          <w:sz w:val="24"/>
          <w:szCs w:val="24"/>
        </w:rPr>
        <w:t xml:space="preserve">bendrojo ir greitojo likvidumo rodikliai nagrinėjamu periodu turėjo tendenciją kasmet mažėti ir nuo 2008 m. iki 2012 m. atitinkamai sumažėjo 1,88 ir 1,99 karto. Tuo tarpu kritinio likvidumo koeficientas visą analizuojamą laikotarpį buvo 0. </w:t>
      </w:r>
    </w:p>
    <w:p w14:paraId="6EE8B9B9" w14:textId="77777777" w:rsidR="00D00859" w:rsidRPr="009C0F00"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Trumpalaikių įsipareigojimų apmokėjimo pinigais rodiklis 2009 m. padidėjo 0,3, po to sekė tendencingas šio koeficiento reikšmės mažėjimas. Visą analizuojamą laikotarpį šio rodiklio reikšmė buvo žema, tačiau lyginant 2012 m. su 2008 m. jis padiėjo 2,25 karto.</w:t>
      </w:r>
    </w:p>
    <w:p w14:paraId="7129CE90" w14:textId="77777777" w:rsidR="00D00859" w:rsidRDefault="00D00859" w:rsidP="00D00859">
      <w:pPr>
        <w:tabs>
          <w:tab w:val="left" w:pos="567"/>
          <w:tab w:val="left" w:pos="3650"/>
        </w:tabs>
        <w:spacing w:after="0" w:line="360" w:lineRule="auto"/>
        <w:jc w:val="both"/>
        <w:rPr>
          <w:rFonts w:ascii="Times New Roman" w:hAnsi="Times New Roman" w:cs="Times New Roman"/>
          <w:b/>
          <w:sz w:val="24"/>
          <w:szCs w:val="24"/>
        </w:rPr>
      </w:pPr>
    </w:p>
    <w:p w14:paraId="6BE65AED" w14:textId="77777777" w:rsidR="00D00859" w:rsidRDefault="00D00859" w:rsidP="00AB0430">
      <w:pPr>
        <w:tabs>
          <w:tab w:val="left" w:pos="567"/>
          <w:tab w:val="left" w:pos="3650"/>
        </w:tabs>
        <w:spacing w:after="0" w:line="360" w:lineRule="auto"/>
        <w:jc w:val="center"/>
        <w:rPr>
          <w:rFonts w:ascii="Times New Roman" w:hAnsi="Times New Roman" w:cs="Times New Roman"/>
          <w:b/>
          <w:sz w:val="24"/>
          <w:szCs w:val="24"/>
        </w:rPr>
      </w:pPr>
      <w:r w:rsidRPr="00D47869">
        <w:rPr>
          <w:rFonts w:ascii="Times New Roman" w:hAnsi="Times New Roman" w:cs="Times New Roman"/>
          <w:b/>
          <w:noProof/>
          <w:sz w:val="24"/>
          <w:szCs w:val="24"/>
          <w:lang w:val="en-US"/>
        </w:rPr>
        <w:drawing>
          <wp:inline distT="0" distB="0" distL="0" distR="0" wp14:anchorId="0D37F7D7" wp14:editId="372BA0F6">
            <wp:extent cx="4860000" cy="1980000"/>
            <wp:effectExtent l="0" t="0" r="0" b="1270"/>
            <wp:docPr id="2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F3B3699" w14:textId="77777777" w:rsidR="00846558" w:rsidRPr="007F2B73" w:rsidRDefault="00FD03B1" w:rsidP="007F2B73">
      <w:pPr>
        <w:pStyle w:val="Caption"/>
        <w:rPr>
          <w:szCs w:val="24"/>
        </w:rPr>
      </w:pPr>
      <w:bookmarkStart w:id="122" w:name="_Toc227593884"/>
      <w:bookmarkStart w:id="123" w:name="_Toc227594525"/>
      <w:r w:rsidRPr="007F2B73">
        <w:rPr>
          <w:szCs w:val="24"/>
        </w:rPr>
        <w:t>28</w:t>
      </w:r>
      <w:r w:rsidR="00846558" w:rsidRPr="007F2B73">
        <w:rPr>
          <w:szCs w:val="24"/>
        </w:rPr>
        <w:t xml:space="preserve"> pav. </w:t>
      </w:r>
      <w:r w:rsidR="003E1B21" w:rsidRPr="007F2B73">
        <w:rPr>
          <w:szCs w:val="24"/>
        </w:rPr>
        <w:t>AB „Vilniaus degtinė“</w:t>
      </w:r>
      <w:r w:rsidR="00846558" w:rsidRPr="007F2B73">
        <w:rPr>
          <w:szCs w:val="24"/>
        </w:rPr>
        <w:t xml:space="preserve"> likvidumo rodiklių dinamika 2008-2012 m.</w:t>
      </w:r>
      <w:bookmarkEnd w:id="122"/>
      <w:bookmarkEnd w:id="123"/>
    </w:p>
    <w:p w14:paraId="1DAA7934" w14:textId="77777777" w:rsidR="003E1B21" w:rsidRDefault="003E1B21" w:rsidP="00846558">
      <w:pPr>
        <w:tabs>
          <w:tab w:val="left" w:pos="567"/>
          <w:tab w:val="left" w:pos="3650"/>
        </w:tabs>
        <w:spacing w:after="0" w:line="360" w:lineRule="auto"/>
        <w:ind w:firstLine="567"/>
        <w:jc w:val="center"/>
        <w:rPr>
          <w:rFonts w:ascii="Times New Roman" w:hAnsi="Times New Roman" w:cs="Times New Roman"/>
          <w:b/>
          <w:sz w:val="24"/>
          <w:szCs w:val="24"/>
        </w:rPr>
      </w:pPr>
    </w:p>
    <w:p w14:paraId="2FF88FD7" w14:textId="77777777" w:rsidR="00D00859" w:rsidRDefault="00D00859" w:rsidP="00D00859">
      <w:pPr>
        <w:tabs>
          <w:tab w:val="left" w:pos="567"/>
          <w:tab w:val="left" w:pos="3650"/>
        </w:tabs>
        <w:spacing w:after="0" w:line="360" w:lineRule="auto"/>
        <w:ind w:firstLine="567"/>
        <w:jc w:val="both"/>
        <w:rPr>
          <w:rFonts w:ascii="Times New Roman" w:hAnsi="Times New Roman" w:cs="Times New Roman"/>
          <w:sz w:val="24"/>
          <w:szCs w:val="24"/>
        </w:rPr>
      </w:pPr>
      <w:r w:rsidRPr="009B796B">
        <w:rPr>
          <w:rFonts w:ascii="Times New Roman" w:hAnsi="Times New Roman" w:cs="Times New Roman"/>
          <w:sz w:val="24"/>
          <w:szCs w:val="24"/>
        </w:rPr>
        <w:t>Apibendrinant galima teigti, jog įmonės likvidumo rodikliai turėjo tendenciją mažėti, tačiau 2012 m. tradiciniai rodikliai dar rodė patenkinamą likvidumo būklę.</w:t>
      </w:r>
    </w:p>
    <w:p w14:paraId="6DB2FDAD" w14:textId="77777777" w:rsidR="008B6C60" w:rsidRDefault="008B6C60" w:rsidP="008B6C60">
      <w:pPr>
        <w:tabs>
          <w:tab w:val="left" w:pos="567"/>
          <w:tab w:val="left" w:pos="3650"/>
        </w:tabs>
        <w:spacing w:after="0" w:line="360" w:lineRule="auto"/>
        <w:jc w:val="both"/>
        <w:rPr>
          <w:rFonts w:ascii="Times New Roman" w:hAnsi="Times New Roman" w:cs="Times New Roman"/>
          <w:sz w:val="24"/>
          <w:szCs w:val="24"/>
        </w:rPr>
      </w:pPr>
    </w:p>
    <w:p w14:paraId="06BAB622" w14:textId="77777777" w:rsidR="008B6C60" w:rsidRPr="008B6C60" w:rsidRDefault="008B6C60" w:rsidP="008B6C60">
      <w:pPr>
        <w:tabs>
          <w:tab w:val="left" w:pos="567"/>
          <w:tab w:val="left" w:pos="3650"/>
        </w:tabs>
        <w:spacing w:after="0" w:line="360" w:lineRule="auto"/>
        <w:jc w:val="both"/>
        <w:rPr>
          <w:rFonts w:ascii="Times New Roman" w:hAnsi="Times New Roman" w:cs="Times New Roman"/>
          <w:b/>
          <w:sz w:val="24"/>
          <w:szCs w:val="24"/>
        </w:rPr>
      </w:pPr>
      <w:r w:rsidRPr="008B6C60">
        <w:rPr>
          <w:rFonts w:ascii="Times New Roman" w:hAnsi="Times New Roman" w:cs="Times New Roman"/>
          <w:b/>
          <w:sz w:val="24"/>
          <w:szCs w:val="24"/>
        </w:rPr>
        <w:t>Gauti rezultatai</w:t>
      </w:r>
    </w:p>
    <w:p w14:paraId="43E9F990" w14:textId="77777777" w:rsidR="008C0C39" w:rsidRDefault="00C85068" w:rsidP="00D00859">
      <w:pPr>
        <w:tabs>
          <w:tab w:val="left" w:pos="567"/>
          <w:tab w:val="left" w:pos="36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Aukščiau autorius apžvelgė kiekvienos įmonės likvidumo dinamiką, bet tam, kad</w:t>
      </w:r>
      <w:r w:rsidR="00CD7CDB">
        <w:rPr>
          <w:rFonts w:ascii="Times New Roman" w:hAnsi="Times New Roman" w:cs="Times New Roman"/>
          <w:sz w:val="24"/>
          <w:szCs w:val="24"/>
        </w:rPr>
        <w:t xml:space="preserve"> būtų galima</w:t>
      </w:r>
      <w:r>
        <w:rPr>
          <w:rFonts w:ascii="Times New Roman" w:hAnsi="Times New Roman" w:cs="Times New Roman"/>
          <w:sz w:val="24"/>
          <w:szCs w:val="24"/>
        </w:rPr>
        <w:t xml:space="preserve"> susidaryti bendrą vaiz</w:t>
      </w:r>
      <w:r w:rsidR="00322703">
        <w:rPr>
          <w:rFonts w:ascii="Times New Roman" w:hAnsi="Times New Roman" w:cs="Times New Roman"/>
          <w:sz w:val="24"/>
          <w:szCs w:val="24"/>
        </w:rPr>
        <w:t>dą, tikslinga susisteminti gautą informaciją</w:t>
      </w:r>
      <w:r>
        <w:rPr>
          <w:rFonts w:ascii="Times New Roman" w:hAnsi="Times New Roman" w:cs="Times New Roman"/>
          <w:sz w:val="24"/>
          <w:szCs w:val="24"/>
        </w:rPr>
        <w:t>.</w:t>
      </w:r>
      <w:r w:rsidR="00B121C1">
        <w:rPr>
          <w:rFonts w:ascii="Times New Roman" w:hAnsi="Times New Roman" w:cs="Times New Roman"/>
          <w:sz w:val="24"/>
          <w:szCs w:val="24"/>
        </w:rPr>
        <w:t xml:space="preserve"> </w:t>
      </w:r>
      <w:r w:rsidR="00322703">
        <w:rPr>
          <w:rFonts w:ascii="Times New Roman" w:hAnsi="Times New Roman" w:cs="Times New Roman"/>
          <w:sz w:val="24"/>
          <w:szCs w:val="24"/>
        </w:rPr>
        <w:t>Pateiktoje lentelėje (</w:t>
      </w:r>
      <w:r w:rsidR="00CD7CDB">
        <w:rPr>
          <w:rFonts w:ascii="Times New Roman" w:hAnsi="Times New Roman" w:cs="Times New Roman"/>
          <w:sz w:val="24"/>
          <w:szCs w:val="24"/>
        </w:rPr>
        <w:t>žr. 10</w:t>
      </w:r>
      <w:r w:rsidR="00322703">
        <w:rPr>
          <w:rFonts w:ascii="Times New Roman" w:hAnsi="Times New Roman" w:cs="Times New Roman"/>
          <w:sz w:val="24"/>
          <w:szCs w:val="24"/>
        </w:rPr>
        <w:t xml:space="preserve"> lent.) atsispindi tiek esama įmonės likvidumo pozicija</w:t>
      </w:r>
      <w:r w:rsidR="00CD7CDB">
        <w:rPr>
          <w:rFonts w:ascii="Times New Roman" w:hAnsi="Times New Roman" w:cs="Times New Roman"/>
          <w:sz w:val="24"/>
          <w:szCs w:val="24"/>
        </w:rPr>
        <w:t>,</w:t>
      </w:r>
      <w:r w:rsidR="00322703">
        <w:rPr>
          <w:rFonts w:ascii="Times New Roman" w:hAnsi="Times New Roman" w:cs="Times New Roman"/>
          <w:sz w:val="24"/>
          <w:szCs w:val="24"/>
        </w:rPr>
        <w:t xml:space="preserve"> remiantis 2012 m. </w:t>
      </w:r>
      <w:r w:rsidR="005655C1">
        <w:rPr>
          <w:rFonts w:ascii="Times New Roman" w:hAnsi="Times New Roman" w:cs="Times New Roman"/>
          <w:sz w:val="24"/>
          <w:szCs w:val="24"/>
        </w:rPr>
        <w:t xml:space="preserve">tradiciniais likvidumo </w:t>
      </w:r>
      <w:r w:rsidR="00322703">
        <w:rPr>
          <w:rFonts w:ascii="Times New Roman" w:hAnsi="Times New Roman" w:cs="Times New Roman"/>
          <w:sz w:val="24"/>
          <w:szCs w:val="24"/>
        </w:rPr>
        <w:t xml:space="preserve">rodikliais, tiek likvidumo dinamika analizuojamu laikotarpiu, </w:t>
      </w:r>
      <w:r w:rsidR="00CD7CDB">
        <w:rPr>
          <w:rFonts w:ascii="Times New Roman" w:hAnsi="Times New Roman" w:cs="Times New Roman"/>
          <w:sz w:val="24"/>
          <w:szCs w:val="24"/>
        </w:rPr>
        <w:t>t. y.</w:t>
      </w:r>
      <w:r w:rsidR="00322703">
        <w:rPr>
          <w:rFonts w:ascii="Times New Roman" w:hAnsi="Times New Roman" w:cs="Times New Roman"/>
          <w:sz w:val="24"/>
          <w:szCs w:val="24"/>
        </w:rPr>
        <w:t xml:space="preserve"> 2008-2012 m., tiek ateities perspektyvos, kurios paremtos gautais rezultatais. Atkreiptinas dėmesys, jog likvidumo pozicija skaidoma į tris dalis: </w:t>
      </w:r>
      <w:r w:rsidR="00CD7CDB">
        <w:rPr>
          <w:rFonts w:ascii="Times New Roman" w:hAnsi="Times New Roman" w:cs="Times New Roman"/>
          <w:sz w:val="24"/>
          <w:szCs w:val="24"/>
        </w:rPr>
        <w:t>„</w:t>
      </w:r>
      <w:r w:rsidR="00322703">
        <w:rPr>
          <w:rFonts w:ascii="Times New Roman" w:hAnsi="Times New Roman" w:cs="Times New Roman"/>
          <w:sz w:val="24"/>
          <w:szCs w:val="24"/>
        </w:rPr>
        <w:t>gera</w:t>
      </w:r>
      <w:r w:rsidR="00CD7CDB">
        <w:rPr>
          <w:rFonts w:ascii="Times New Roman" w:hAnsi="Times New Roman" w:cs="Times New Roman"/>
          <w:sz w:val="24"/>
          <w:szCs w:val="24"/>
        </w:rPr>
        <w:t>“</w:t>
      </w:r>
      <w:r w:rsidR="00322703">
        <w:rPr>
          <w:rFonts w:ascii="Times New Roman" w:hAnsi="Times New Roman" w:cs="Times New Roman"/>
          <w:sz w:val="24"/>
          <w:szCs w:val="24"/>
        </w:rPr>
        <w:t xml:space="preserve"> reiškia, jog šios įmonės likvidumo rizika yra nedidelė; </w:t>
      </w:r>
      <w:r w:rsidR="00CD7CDB">
        <w:rPr>
          <w:rFonts w:ascii="Times New Roman" w:hAnsi="Times New Roman" w:cs="Times New Roman"/>
          <w:sz w:val="24"/>
          <w:szCs w:val="24"/>
        </w:rPr>
        <w:t>„</w:t>
      </w:r>
      <w:r w:rsidR="00322703">
        <w:rPr>
          <w:rFonts w:ascii="Times New Roman" w:hAnsi="Times New Roman" w:cs="Times New Roman"/>
          <w:sz w:val="24"/>
          <w:szCs w:val="24"/>
        </w:rPr>
        <w:t>pakankama</w:t>
      </w:r>
      <w:r w:rsidR="00CD7CDB">
        <w:rPr>
          <w:rFonts w:ascii="Times New Roman" w:hAnsi="Times New Roman" w:cs="Times New Roman"/>
          <w:sz w:val="24"/>
          <w:szCs w:val="24"/>
        </w:rPr>
        <w:t>“</w:t>
      </w:r>
      <w:r w:rsidR="00322703">
        <w:rPr>
          <w:rFonts w:ascii="Times New Roman" w:hAnsi="Times New Roman" w:cs="Times New Roman"/>
          <w:sz w:val="24"/>
          <w:szCs w:val="24"/>
        </w:rPr>
        <w:t xml:space="preserve"> – įmonės likvidumo rizika vidutinė; </w:t>
      </w:r>
      <w:r w:rsidR="00CD7CDB">
        <w:rPr>
          <w:rFonts w:ascii="Times New Roman" w:hAnsi="Times New Roman" w:cs="Times New Roman"/>
          <w:sz w:val="24"/>
          <w:szCs w:val="24"/>
        </w:rPr>
        <w:t>„</w:t>
      </w:r>
      <w:r w:rsidR="00322703">
        <w:rPr>
          <w:rFonts w:ascii="Times New Roman" w:hAnsi="Times New Roman" w:cs="Times New Roman"/>
          <w:sz w:val="24"/>
          <w:szCs w:val="24"/>
        </w:rPr>
        <w:t>bloga</w:t>
      </w:r>
      <w:r w:rsidR="00CD7CDB">
        <w:rPr>
          <w:rFonts w:ascii="Times New Roman" w:hAnsi="Times New Roman" w:cs="Times New Roman"/>
          <w:sz w:val="24"/>
          <w:szCs w:val="24"/>
        </w:rPr>
        <w:t>“</w:t>
      </w:r>
      <w:r w:rsidR="00322703">
        <w:rPr>
          <w:rFonts w:ascii="Times New Roman" w:hAnsi="Times New Roman" w:cs="Times New Roman"/>
          <w:sz w:val="24"/>
          <w:szCs w:val="24"/>
        </w:rPr>
        <w:t xml:space="preserve"> – didelė įmonės likvidumo rizika,</w:t>
      </w:r>
      <w:r w:rsidR="00437F15">
        <w:rPr>
          <w:rFonts w:ascii="Times New Roman" w:hAnsi="Times New Roman" w:cs="Times New Roman"/>
          <w:sz w:val="24"/>
          <w:szCs w:val="24"/>
        </w:rPr>
        <w:t xml:space="preserve"> </w:t>
      </w:r>
      <w:r w:rsidR="00322703">
        <w:rPr>
          <w:rFonts w:ascii="Times New Roman" w:hAnsi="Times New Roman" w:cs="Times New Roman"/>
          <w:sz w:val="24"/>
          <w:szCs w:val="24"/>
        </w:rPr>
        <w:t xml:space="preserve">neapibrėžtumas dėl veiklos tęstinumo artimiausioje ateityje. Likvidumo dinamika skaidoma į: </w:t>
      </w:r>
      <w:r w:rsidR="00CD7CDB">
        <w:rPr>
          <w:rFonts w:ascii="Times New Roman" w:hAnsi="Times New Roman" w:cs="Times New Roman"/>
          <w:sz w:val="24"/>
          <w:szCs w:val="24"/>
        </w:rPr>
        <w:t>„</w:t>
      </w:r>
      <w:r w:rsidR="00322703">
        <w:rPr>
          <w:rFonts w:ascii="Times New Roman" w:hAnsi="Times New Roman" w:cs="Times New Roman"/>
          <w:sz w:val="24"/>
          <w:szCs w:val="24"/>
        </w:rPr>
        <w:t>tendencingai augo</w:t>
      </w:r>
      <w:r w:rsidR="00CD7CDB">
        <w:rPr>
          <w:rFonts w:ascii="Times New Roman" w:hAnsi="Times New Roman" w:cs="Times New Roman"/>
          <w:sz w:val="24"/>
          <w:szCs w:val="24"/>
        </w:rPr>
        <w:t>“</w:t>
      </w:r>
      <w:r w:rsidR="00322703">
        <w:rPr>
          <w:rFonts w:ascii="Times New Roman" w:hAnsi="Times New Roman" w:cs="Times New Roman"/>
          <w:sz w:val="24"/>
          <w:szCs w:val="24"/>
        </w:rPr>
        <w:t xml:space="preserve"> – reiškia, jog analizuojamos įmonės </w:t>
      </w:r>
      <w:r w:rsidR="00437F15">
        <w:rPr>
          <w:rFonts w:ascii="Times New Roman" w:hAnsi="Times New Roman" w:cs="Times New Roman"/>
          <w:sz w:val="24"/>
          <w:szCs w:val="24"/>
        </w:rPr>
        <w:t xml:space="preserve">likvidumas tiriamuoju laikotarpiu turėjo tendenciją didėti, likvidumo pozicija gerėjo; </w:t>
      </w:r>
      <w:r w:rsidR="00CD7CDB">
        <w:rPr>
          <w:rFonts w:ascii="Times New Roman" w:hAnsi="Times New Roman" w:cs="Times New Roman"/>
          <w:sz w:val="24"/>
          <w:szCs w:val="24"/>
        </w:rPr>
        <w:t>„</w:t>
      </w:r>
      <w:r w:rsidR="00437F15">
        <w:rPr>
          <w:rFonts w:ascii="Times New Roman" w:hAnsi="Times New Roman" w:cs="Times New Roman"/>
          <w:sz w:val="24"/>
          <w:szCs w:val="24"/>
        </w:rPr>
        <w:t>svyravo</w:t>
      </w:r>
      <w:r w:rsidR="00CD7CDB">
        <w:rPr>
          <w:rFonts w:ascii="Times New Roman" w:hAnsi="Times New Roman" w:cs="Times New Roman"/>
          <w:sz w:val="24"/>
          <w:szCs w:val="24"/>
        </w:rPr>
        <w:t>“</w:t>
      </w:r>
      <w:r w:rsidR="00437F15">
        <w:rPr>
          <w:rFonts w:ascii="Times New Roman" w:hAnsi="Times New Roman" w:cs="Times New Roman"/>
          <w:sz w:val="24"/>
          <w:szCs w:val="24"/>
        </w:rPr>
        <w:t xml:space="preserve"> – nagrinėjamu laikotarpiu tendencijos neįžvelgiamos, įmonės likvidumo rodikliai kito chaotiškai arba išlaikė panašią likvidumo būklę analizuojamu laikotarpiu; </w:t>
      </w:r>
      <w:r w:rsidR="00CD7CDB">
        <w:rPr>
          <w:rFonts w:ascii="Times New Roman" w:hAnsi="Times New Roman" w:cs="Times New Roman"/>
          <w:sz w:val="24"/>
          <w:szCs w:val="24"/>
        </w:rPr>
        <w:t>„</w:t>
      </w:r>
      <w:r w:rsidR="00437F15">
        <w:rPr>
          <w:rFonts w:ascii="Times New Roman" w:hAnsi="Times New Roman" w:cs="Times New Roman"/>
          <w:sz w:val="24"/>
          <w:szCs w:val="24"/>
        </w:rPr>
        <w:t>tendencingai mažėjo</w:t>
      </w:r>
      <w:r w:rsidR="00CD7CDB">
        <w:rPr>
          <w:rFonts w:ascii="Times New Roman" w:hAnsi="Times New Roman" w:cs="Times New Roman"/>
          <w:sz w:val="24"/>
          <w:szCs w:val="24"/>
        </w:rPr>
        <w:t>“</w:t>
      </w:r>
      <w:r w:rsidR="00437F15">
        <w:rPr>
          <w:rFonts w:ascii="Times New Roman" w:hAnsi="Times New Roman" w:cs="Times New Roman"/>
          <w:sz w:val="24"/>
          <w:szCs w:val="24"/>
        </w:rPr>
        <w:t xml:space="preserve"> – įžvelgiama tendencija, jog analizuojamu laikotarpiu įmonės likvidumas mažėjo. Tuo tarpu perspektyvos išskaidytos į teigiamas ir neigiamas, kur teigiamos reiškia, jog įmonė artimiausioje ateityje neturėtų susidurti su likvidumo problemomis arba šiai dienai jos likvi</w:t>
      </w:r>
      <w:r w:rsidR="001F7AA4">
        <w:rPr>
          <w:rFonts w:ascii="Times New Roman" w:hAnsi="Times New Roman" w:cs="Times New Roman"/>
          <w:sz w:val="24"/>
          <w:szCs w:val="24"/>
        </w:rPr>
        <w:t xml:space="preserve">dumo rodikliai yra patenkinami ir </w:t>
      </w:r>
      <w:r w:rsidR="00437F15">
        <w:rPr>
          <w:rFonts w:ascii="Times New Roman" w:hAnsi="Times New Roman" w:cs="Times New Roman"/>
          <w:sz w:val="24"/>
          <w:szCs w:val="24"/>
        </w:rPr>
        <w:t>artimiausioje ateityje įžvelgiamas jų pagerėjimas</w:t>
      </w:r>
      <w:r w:rsidR="005655C1">
        <w:rPr>
          <w:rFonts w:ascii="Times New Roman" w:hAnsi="Times New Roman" w:cs="Times New Roman"/>
          <w:sz w:val="24"/>
          <w:szCs w:val="24"/>
        </w:rPr>
        <w:t xml:space="preserve"> ar bent jau panašaus lygio išlaikymas</w:t>
      </w:r>
      <w:r w:rsidR="00437F15">
        <w:rPr>
          <w:rFonts w:ascii="Times New Roman" w:hAnsi="Times New Roman" w:cs="Times New Roman"/>
          <w:sz w:val="24"/>
          <w:szCs w:val="24"/>
        </w:rPr>
        <w:t xml:space="preserve">; neigiamos perspektyvos </w:t>
      </w:r>
      <w:r w:rsidR="001F7AA4">
        <w:rPr>
          <w:rFonts w:ascii="Times New Roman" w:hAnsi="Times New Roman" w:cs="Times New Roman"/>
          <w:sz w:val="24"/>
          <w:szCs w:val="24"/>
        </w:rPr>
        <w:t xml:space="preserve">reiškia, jog įmonės likvidumo rodikliai tendencingai mažėja ir artimiausiu metu gali pasiekti kritinę ribą, įmonės likvidumo rodikliai didėja, tačiau nepakankamai greitai ir kyla </w:t>
      </w:r>
      <w:r w:rsidR="001F7AA4">
        <w:rPr>
          <w:rFonts w:ascii="Times New Roman" w:hAnsi="Times New Roman" w:cs="Times New Roman"/>
          <w:sz w:val="24"/>
          <w:szCs w:val="24"/>
        </w:rPr>
        <w:lastRenderedPageBreak/>
        <w:t>grėsmė įmonės veiklos tęstinumui arba šiai dienai įmonė išlaiko pakankamą likvidumo lygį, tačiau dėl ten</w:t>
      </w:r>
      <w:r w:rsidR="00CD7CDB">
        <w:rPr>
          <w:rFonts w:ascii="Times New Roman" w:hAnsi="Times New Roman" w:cs="Times New Roman"/>
          <w:sz w:val="24"/>
          <w:szCs w:val="24"/>
        </w:rPr>
        <w:t>den</w:t>
      </w:r>
      <w:r w:rsidR="001F7AA4">
        <w:rPr>
          <w:rFonts w:ascii="Times New Roman" w:hAnsi="Times New Roman" w:cs="Times New Roman"/>
          <w:sz w:val="24"/>
          <w:szCs w:val="24"/>
        </w:rPr>
        <w:t>cingo mažėjimo artimiausioje ateityje gali susidurti su didelėmis problemomis.</w:t>
      </w:r>
    </w:p>
    <w:p w14:paraId="0217E088" w14:textId="77777777" w:rsidR="00C85068" w:rsidRDefault="00C85068" w:rsidP="00D00859">
      <w:pPr>
        <w:tabs>
          <w:tab w:val="left" w:pos="567"/>
          <w:tab w:val="left" w:pos="3650"/>
        </w:tabs>
        <w:spacing w:after="0" w:line="360" w:lineRule="auto"/>
        <w:ind w:firstLine="567"/>
        <w:jc w:val="both"/>
        <w:rPr>
          <w:rFonts w:ascii="Times New Roman" w:hAnsi="Times New Roman" w:cs="Times New Roman"/>
          <w:sz w:val="24"/>
          <w:szCs w:val="24"/>
        </w:rPr>
      </w:pPr>
    </w:p>
    <w:p w14:paraId="690D855D" w14:textId="77777777" w:rsidR="00CD7CDB" w:rsidRPr="009900EC" w:rsidRDefault="00CD7CDB" w:rsidP="009900EC">
      <w:pPr>
        <w:pStyle w:val="1ant"/>
        <w:rPr>
          <w:sz w:val="24"/>
          <w:szCs w:val="24"/>
        </w:rPr>
      </w:pPr>
      <w:bookmarkStart w:id="124" w:name="_Toc227595966"/>
      <w:r w:rsidRPr="009900EC">
        <w:rPr>
          <w:sz w:val="24"/>
          <w:szCs w:val="24"/>
        </w:rPr>
        <w:t>10 lentelė. Tyrimo rezultatai: likvidumas, likvidumo dinamika ir perspektyvos</w:t>
      </w:r>
      <w:bookmarkEnd w:id="124"/>
    </w:p>
    <w:tbl>
      <w:tblPr>
        <w:tblW w:w="8520" w:type="dxa"/>
        <w:tblInd w:w="91" w:type="dxa"/>
        <w:tblLook w:val="04A0" w:firstRow="1" w:lastRow="0" w:firstColumn="1" w:lastColumn="0" w:noHBand="0" w:noVBand="1"/>
      </w:tblPr>
      <w:tblGrid>
        <w:gridCol w:w="2100"/>
        <w:gridCol w:w="566"/>
        <w:gridCol w:w="1146"/>
        <w:gridCol w:w="646"/>
        <w:gridCol w:w="1196"/>
        <w:gridCol w:w="816"/>
        <w:gridCol w:w="1196"/>
        <w:gridCol w:w="976"/>
        <w:gridCol w:w="996"/>
      </w:tblGrid>
      <w:tr w:rsidR="00B121C1" w:rsidRPr="00A02699" w14:paraId="00A8CFE7" w14:textId="77777777" w:rsidTr="00F53335">
        <w:trPr>
          <w:trHeight w:val="25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23753"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p>
        </w:tc>
        <w:tc>
          <w:tcPr>
            <w:tcW w:w="20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D14345" w14:textId="77777777" w:rsidR="00B121C1" w:rsidRPr="00A02699" w:rsidRDefault="00B121C1" w:rsidP="00D80D2B">
            <w:pPr>
              <w:spacing w:after="0" w:line="240" w:lineRule="auto"/>
              <w:jc w:val="center"/>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Likvidumo pozicija 2012 m.</w:t>
            </w:r>
          </w:p>
        </w:tc>
        <w:tc>
          <w:tcPr>
            <w:tcW w:w="27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0E78EC" w14:textId="77777777" w:rsidR="00B121C1" w:rsidRPr="00A02699" w:rsidRDefault="00B121C1" w:rsidP="00D80D2B">
            <w:pPr>
              <w:spacing w:after="0" w:line="240" w:lineRule="auto"/>
              <w:jc w:val="center"/>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Likvidumo dinamika 2008-2012 m.</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41BAD1" w14:textId="77777777" w:rsidR="00B121C1" w:rsidRPr="00A02699" w:rsidRDefault="00B121C1" w:rsidP="00D80D2B">
            <w:pPr>
              <w:spacing w:after="0" w:line="240" w:lineRule="auto"/>
              <w:jc w:val="center"/>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Perspektyvos</w:t>
            </w:r>
          </w:p>
        </w:tc>
      </w:tr>
      <w:tr w:rsidR="00B121C1" w:rsidRPr="00A02699" w14:paraId="251E756D" w14:textId="77777777" w:rsidTr="00F53335">
        <w:trPr>
          <w:trHeight w:val="54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73C7AA7"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Įmonės</w:t>
            </w:r>
          </w:p>
        </w:tc>
        <w:tc>
          <w:tcPr>
            <w:tcW w:w="424" w:type="dxa"/>
            <w:tcBorders>
              <w:top w:val="nil"/>
              <w:left w:val="nil"/>
              <w:bottom w:val="single" w:sz="4" w:space="0" w:color="auto"/>
              <w:right w:val="single" w:sz="4" w:space="0" w:color="auto"/>
            </w:tcBorders>
            <w:shd w:val="clear" w:color="auto" w:fill="auto"/>
            <w:noWrap/>
            <w:vAlign w:val="center"/>
            <w:hideMark/>
          </w:tcPr>
          <w:p w14:paraId="163A392E" w14:textId="77777777" w:rsidR="00B121C1" w:rsidRPr="00A02699" w:rsidRDefault="00B121C1" w:rsidP="00D80D2B">
            <w:pPr>
              <w:spacing w:after="0" w:line="240" w:lineRule="auto"/>
              <w:jc w:val="center"/>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Gera</w:t>
            </w:r>
          </w:p>
        </w:tc>
        <w:tc>
          <w:tcPr>
            <w:tcW w:w="1064" w:type="dxa"/>
            <w:tcBorders>
              <w:top w:val="nil"/>
              <w:left w:val="nil"/>
              <w:bottom w:val="single" w:sz="4" w:space="0" w:color="auto"/>
              <w:right w:val="single" w:sz="4" w:space="0" w:color="auto"/>
            </w:tcBorders>
            <w:shd w:val="clear" w:color="auto" w:fill="auto"/>
            <w:noWrap/>
            <w:vAlign w:val="center"/>
            <w:hideMark/>
          </w:tcPr>
          <w:p w14:paraId="52B056DA" w14:textId="77777777" w:rsidR="00B121C1" w:rsidRPr="00A02699" w:rsidRDefault="00B121C1" w:rsidP="00D80D2B">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Patenkinama</w:t>
            </w:r>
          </w:p>
        </w:tc>
        <w:tc>
          <w:tcPr>
            <w:tcW w:w="512" w:type="dxa"/>
            <w:tcBorders>
              <w:top w:val="nil"/>
              <w:left w:val="nil"/>
              <w:bottom w:val="single" w:sz="4" w:space="0" w:color="auto"/>
              <w:right w:val="single" w:sz="4" w:space="0" w:color="auto"/>
            </w:tcBorders>
            <w:shd w:val="clear" w:color="auto" w:fill="auto"/>
            <w:noWrap/>
            <w:vAlign w:val="center"/>
            <w:hideMark/>
          </w:tcPr>
          <w:p w14:paraId="5200CB6D" w14:textId="77777777" w:rsidR="00B121C1" w:rsidRPr="00A02699" w:rsidRDefault="00B121C1" w:rsidP="00D80D2B">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Bloga</w:t>
            </w:r>
          </w:p>
        </w:tc>
        <w:tc>
          <w:tcPr>
            <w:tcW w:w="1052" w:type="dxa"/>
            <w:tcBorders>
              <w:top w:val="nil"/>
              <w:left w:val="nil"/>
              <w:bottom w:val="single" w:sz="4" w:space="0" w:color="auto"/>
              <w:right w:val="single" w:sz="4" w:space="0" w:color="auto"/>
            </w:tcBorders>
            <w:shd w:val="clear" w:color="auto" w:fill="auto"/>
            <w:vAlign w:val="bottom"/>
            <w:hideMark/>
          </w:tcPr>
          <w:p w14:paraId="0388F376" w14:textId="77777777" w:rsidR="00B121C1" w:rsidRPr="00A02699" w:rsidRDefault="00B121C1" w:rsidP="00D80D2B">
            <w:pPr>
              <w:spacing w:after="0" w:line="240" w:lineRule="auto"/>
              <w:jc w:val="center"/>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Tendencingai augo</w:t>
            </w:r>
          </w:p>
        </w:tc>
        <w:tc>
          <w:tcPr>
            <w:tcW w:w="656" w:type="dxa"/>
            <w:tcBorders>
              <w:top w:val="nil"/>
              <w:left w:val="nil"/>
              <w:bottom w:val="single" w:sz="4" w:space="0" w:color="auto"/>
              <w:right w:val="single" w:sz="4" w:space="0" w:color="auto"/>
            </w:tcBorders>
            <w:shd w:val="clear" w:color="auto" w:fill="auto"/>
            <w:noWrap/>
            <w:vAlign w:val="center"/>
            <w:hideMark/>
          </w:tcPr>
          <w:p w14:paraId="37F0A7B2" w14:textId="77777777" w:rsidR="00B121C1" w:rsidRPr="00A02699" w:rsidRDefault="00B121C1" w:rsidP="00D80D2B">
            <w:pPr>
              <w:spacing w:after="0" w:line="240" w:lineRule="auto"/>
              <w:jc w:val="center"/>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Svyravo</w:t>
            </w:r>
          </w:p>
        </w:tc>
        <w:tc>
          <w:tcPr>
            <w:tcW w:w="1072" w:type="dxa"/>
            <w:tcBorders>
              <w:top w:val="nil"/>
              <w:left w:val="nil"/>
              <w:bottom w:val="single" w:sz="4" w:space="0" w:color="auto"/>
              <w:right w:val="single" w:sz="4" w:space="0" w:color="auto"/>
            </w:tcBorders>
            <w:shd w:val="clear" w:color="auto" w:fill="auto"/>
            <w:vAlign w:val="bottom"/>
            <w:hideMark/>
          </w:tcPr>
          <w:p w14:paraId="265E297D" w14:textId="77777777" w:rsidR="00B121C1" w:rsidRPr="00A02699" w:rsidRDefault="00B121C1" w:rsidP="00D80D2B">
            <w:pPr>
              <w:spacing w:after="0" w:line="240" w:lineRule="auto"/>
              <w:jc w:val="center"/>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Tendencingai mažėjo</w:t>
            </w:r>
          </w:p>
        </w:tc>
        <w:tc>
          <w:tcPr>
            <w:tcW w:w="810" w:type="dxa"/>
            <w:tcBorders>
              <w:top w:val="nil"/>
              <w:left w:val="nil"/>
              <w:bottom w:val="single" w:sz="4" w:space="0" w:color="auto"/>
              <w:right w:val="single" w:sz="4" w:space="0" w:color="auto"/>
            </w:tcBorders>
            <w:shd w:val="clear" w:color="auto" w:fill="auto"/>
            <w:noWrap/>
            <w:vAlign w:val="center"/>
            <w:hideMark/>
          </w:tcPr>
          <w:p w14:paraId="056A6160" w14:textId="77777777" w:rsidR="00B121C1" w:rsidRPr="00A02699" w:rsidRDefault="00B121C1" w:rsidP="00D80D2B">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Teigiamos</w:t>
            </w:r>
          </w:p>
        </w:tc>
        <w:tc>
          <w:tcPr>
            <w:tcW w:w="830" w:type="dxa"/>
            <w:tcBorders>
              <w:top w:val="nil"/>
              <w:left w:val="nil"/>
              <w:bottom w:val="single" w:sz="4" w:space="0" w:color="auto"/>
              <w:right w:val="single" w:sz="4" w:space="0" w:color="auto"/>
            </w:tcBorders>
            <w:shd w:val="clear" w:color="auto" w:fill="auto"/>
            <w:noWrap/>
            <w:vAlign w:val="center"/>
            <w:hideMark/>
          </w:tcPr>
          <w:p w14:paraId="5D2665DB" w14:textId="77777777" w:rsidR="00B121C1" w:rsidRPr="00A02699" w:rsidRDefault="00B121C1" w:rsidP="00D80D2B">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Neigiamos</w:t>
            </w:r>
          </w:p>
        </w:tc>
      </w:tr>
      <w:tr w:rsidR="00B121C1" w:rsidRPr="00A02699" w14:paraId="535A22B9"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1C8B9B89"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„Agrowill Group“</w:t>
            </w:r>
          </w:p>
        </w:tc>
        <w:tc>
          <w:tcPr>
            <w:tcW w:w="424" w:type="dxa"/>
            <w:tcBorders>
              <w:top w:val="nil"/>
              <w:left w:val="nil"/>
              <w:bottom w:val="single" w:sz="4" w:space="0" w:color="auto"/>
              <w:right w:val="single" w:sz="4" w:space="0" w:color="auto"/>
            </w:tcBorders>
            <w:shd w:val="clear" w:color="auto" w:fill="auto"/>
            <w:noWrap/>
            <w:vAlign w:val="center"/>
            <w:hideMark/>
          </w:tcPr>
          <w:p w14:paraId="32DA8E7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05975D5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1AE3C53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sidRPr="006D64E4">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2F11B23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sidRPr="006D64E4">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54EDA1C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3B64D81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26C2C10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1874C94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sidRPr="006D64E4">
              <w:rPr>
                <w:rFonts w:ascii="Times New Roman" w:eastAsia="Times New Roman" w:hAnsi="Times New Roman" w:cs="Times New Roman"/>
                <w:b/>
                <w:color w:val="000000"/>
                <w:sz w:val="18"/>
                <w:szCs w:val="18"/>
                <w:lang w:eastAsia="lt-LT"/>
              </w:rPr>
              <w:t>+</w:t>
            </w:r>
          </w:p>
        </w:tc>
      </w:tr>
      <w:tr w:rsidR="00B121C1" w:rsidRPr="00A02699" w14:paraId="23348C59"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3F2F810"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„Anykščių vynas“</w:t>
            </w:r>
          </w:p>
        </w:tc>
        <w:tc>
          <w:tcPr>
            <w:tcW w:w="424" w:type="dxa"/>
            <w:tcBorders>
              <w:top w:val="nil"/>
              <w:left w:val="nil"/>
              <w:bottom w:val="single" w:sz="4" w:space="0" w:color="auto"/>
              <w:right w:val="single" w:sz="4" w:space="0" w:color="auto"/>
            </w:tcBorders>
            <w:shd w:val="clear" w:color="auto" w:fill="auto"/>
            <w:noWrap/>
            <w:vAlign w:val="center"/>
            <w:hideMark/>
          </w:tcPr>
          <w:p w14:paraId="5B23440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72F5553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48D34AA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6CE354C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6839843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0192AF2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10" w:type="dxa"/>
            <w:tcBorders>
              <w:top w:val="nil"/>
              <w:left w:val="nil"/>
              <w:bottom w:val="single" w:sz="4" w:space="0" w:color="auto"/>
              <w:right w:val="single" w:sz="4" w:space="0" w:color="auto"/>
            </w:tcBorders>
            <w:shd w:val="clear" w:color="auto" w:fill="auto"/>
            <w:noWrap/>
            <w:vAlign w:val="center"/>
            <w:hideMark/>
          </w:tcPr>
          <w:p w14:paraId="7356AF0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5F85986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3E09BA05"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31F8FF82"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APB „Apranga“</w:t>
            </w:r>
          </w:p>
        </w:tc>
        <w:tc>
          <w:tcPr>
            <w:tcW w:w="424" w:type="dxa"/>
            <w:tcBorders>
              <w:top w:val="nil"/>
              <w:left w:val="nil"/>
              <w:bottom w:val="single" w:sz="4" w:space="0" w:color="auto"/>
              <w:right w:val="single" w:sz="4" w:space="0" w:color="auto"/>
            </w:tcBorders>
            <w:shd w:val="clear" w:color="auto" w:fill="auto"/>
            <w:noWrap/>
            <w:vAlign w:val="center"/>
            <w:hideMark/>
          </w:tcPr>
          <w:p w14:paraId="386EFB8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14B3AFE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4C6FE63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7BDEC54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2C425E8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09321E8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62C978E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662F422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1CD92BD9"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16322238"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„City Service“</w:t>
            </w:r>
          </w:p>
        </w:tc>
        <w:tc>
          <w:tcPr>
            <w:tcW w:w="424" w:type="dxa"/>
            <w:tcBorders>
              <w:top w:val="nil"/>
              <w:left w:val="nil"/>
              <w:bottom w:val="single" w:sz="4" w:space="0" w:color="auto"/>
              <w:right w:val="single" w:sz="4" w:space="0" w:color="auto"/>
            </w:tcBorders>
            <w:shd w:val="clear" w:color="auto" w:fill="auto"/>
            <w:noWrap/>
            <w:vAlign w:val="center"/>
            <w:hideMark/>
          </w:tcPr>
          <w:p w14:paraId="1C576E0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6123BD8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332BDC5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34B08A5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73B8D15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1443383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71CF7DF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401FBE6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104704FE"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273EBEA"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„Dvarčionių keramika“</w:t>
            </w:r>
          </w:p>
        </w:tc>
        <w:tc>
          <w:tcPr>
            <w:tcW w:w="424" w:type="dxa"/>
            <w:tcBorders>
              <w:top w:val="nil"/>
              <w:left w:val="nil"/>
              <w:bottom w:val="single" w:sz="4" w:space="0" w:color="auto"/>
              <w:right w:val="single" w:sz="4" w:space="0" w:color="auto"/>
            </w:tcBorders>
            <w:shd w:val="clear" w:color="auto" w:fill="auto"/>
            <w:noWrap/>
            <w:vAlign w:val="center"/>
            <w:hideMark/>
          </w:tcPr>
          <w:p w14:paraId="442E3FC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3D52ACD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27BD4FE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24AF39A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71442C6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5F68A96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10" w:type="dxa"/>
            <w:tcBorders>
              <w:top w:val="nil"/>
              <w:left w:val="nil"/>
              <w:bottom w:val="single" w:sz="4" w:space="0" w:color="auto"/>
              <w:right w:val="single" w:sz="4" w:space="0" w:color="auto"/>
            </w:tcBorders>
            <w:shd w:val="clear" w:color="auto" w:fill="auto"/>
            <w:noWrap/>
            <w:vAlign w:val="center"/>
            <w:hideMark/>
          </w:tcPr>
          <w:p w14:paraId="4D38F9B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1DD1AF8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6484DCB8"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F9733EE"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„Grigiškės“</w:t>
            </w:r>
          </w:p>
        </w:tc>
        <w:tc>
          <w:tcPr>
            <w:tcW w:w="424" w:type="dxa"/>
            <w:tcBorders>
              <w:top w:val="nil"/>
              <w:left w:val="nil"/>
              <w:bottom w:val="single" w:sz="4" w:space="0" w:color="auto"/>
              <w:right w:val="single" w:sz="4" w:space="0" w:color="auto"/>
            </w:tcBorders>
            <w:shd w:val="clear" w:color="auto" w:fill="auto"/>
            <w:noWrap/>
            <w:vAlign w:val="center"/>
            <w:hideMark/>
          </w:tcPr>
          <w:p w14:paraId="36AFF90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17F0FA3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12BB580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382C2AA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116C3D8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0081321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10" w:type="dxa"/>
            <w:tcBorders>
              <w:top w:val="nil"/>
              <w:left w:val="nil"/>
              <w:bottom w:val="single" w:sz="4" w:space="0" w:color="auto"/>
              <w:right w:val="single" w:sz="4" w:space="0" w:color="auto"/>
            </w:tcBorders>
            <w:shd w:val="clear" w:color="auto" w:fill="auto"/>
            <w:noWrap/>
            <w:vAlign w:val="center"/>
            <w:hideMark/>
          </w:tcPr>
          <w:p w14:paraId="776C8D1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1A6D0C7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199AFD50"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814595B"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„Gubernija“</w:t>
            </w:r>
          </w:p>
        </w:tc>
        <w:tc>
          <w:tcPr>
            <w:tcW w:w="424" w:type="dxa"/>
            <w:tcBorders>
              <w:top w:val="nil"/>
              <w:left w:val="nil"/>
              <w:bottom w:val="single" w:sz="4" w:space="0" w:color="auto"/>
              <w:right w:val="single" w:sz="4" w:space="0" w:color="auto"/>
            </w:tcBorders>
            <w:shd w:val="clear" w:color="auto" w:fill="auto"/>
            <w:noWrap/>
            <w:vAlign w:val="center"/>
            <w:hideMark/>
          </w:tcPr>
          <w:p w14:paraId="1FB4E21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79521A4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5DC780D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49A6B0F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1ADFCD0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16CA0C9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6052D94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65661E0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334C2E0B"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9F4A8D2"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Įmonių grupė „Alita“, AB</w:t>
            </w:r>
          </w:p>
        </w:tc>
        <w:tc>
          <w:tcPr>
            <w:tcW w:w="424" w:type="dxa"/>
            <w:tcBorders>
              <w:top w:val="nil"/>
              <w:left w:val="nil"/>
              <w:bottom w:val="single" w:sz="4" w:space="0" w:color="auto"/>
              <w:right w:val="single" w:sz="4" w:space="0" w:color="auto"/>
            </w:tcBorders>
            <w:shd w:val="clear" w:color="auto" w:fill="auto"/>
            <w:noWrap/>
            <w:vAlign w:val="center"/>
            <w:hideMark/>
          </w:tcPr>
          <w:p w14:paraId="69FD7A6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3C4E5DE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2575F4A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3937CDA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2CD8C2A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12B1463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35E0280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736CE2F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75198849"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C8F2FD8"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„Invalda“</w:t>
            </w:r>
          </w:p>
        </w:tc>
        <w:tc>
          <w:tcPr>
            <w:tcW w:w="424" w:type="dxa"/>
            <w:tcBorders>
              <w:top w:val="nil"/>
              <w:left w:val="nil"/>
              <w:bottom w:val="single" w:sz="4" w:space="0" w:color="auto"/>
              <w:right w:val="single" w:sz="4" w:space="0" w:color="auto"/>
            </w:tcBorders>
            <w:shd w:val="clear" w:color="auto" w:fill="auto"/>
            <w:noWrap/>
            <w:vAlign w:val="center"/>
            <w:hideMark/>
          </w:tcPr>
          <w:p w14:paraId="6C2B2EC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4FADB8A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569168A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2367EEC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653F757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4E8B6DF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56076F7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764CA31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303E93F6"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F8E5E1D"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„Kauno energija“</w:t>
            </w:r>
          </w:p>
        </w:tc>
        <w:tc>
          <w:tcPr>
            <w:tcW w:w="424" w:type="dxa"/>
            <w:tcBorders>
              <w:top w:val="nil"/>
              <w:left w:val="nil"/>
              <w:bottom w:val="single" w:sz="4" w:space="0" w:color="auto"/>
              <w:right w:val="single" w:sz="4" w:space="0" w:color="auto"/>
            </w:tcBorders>
            <w:shd w:val="clear" w:color="auto" w:fill="auto"/>
            <w:noWrap/>
            <w:vAlign w:val="center"/>
            <w:hideMark/>
          </w:tcPr>
          <w:p w14:paraId="43BD79A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56F0733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6180579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13AC796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5AB9ED1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29CA27B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4B62311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1102B74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7CF7A8BE" w14:textId="77777777" w:rsidTr="00F53335">
        <w:trPr>
          <w:trHeight w:val="30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BBF046E"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„Klaipėdos baldai“</w:t>
            </w:r>
          </w:p>
        </w:tc>
        <w:tc>
          <w:tcPr>
            <w:tcW w:w="424" w:type="dxa"/>
            <w:tcBorders>
              <w:top w:val="nil"/>
              <w:left w:val="nil"/>
              <w:bottom w:val="single" w:sz="4" w:space="0" w:color="auto"/>
              <w:right w:val="single" w:sz="4" w:space="0" w:color="auto"/>
            </w:tcBorders>
            <w:shd w:val="clear" w:color="auto" w:fill="auto"/>
            <w:noWrap/>
            <w:vAlign w:val="center"/>
            <w:hideMark/>
          </w:tcPr>
          <w:p w14:paraId="1A19D56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6C1D1B3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33AB34A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4A0EB7F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31B4506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6D7D58C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7CC4CB6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24BCE05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0AD486CE"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4118F3D"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„Klaipėdos nafta“</w:t>
            </w:r>
          </w:p>
        </w:tc>
        <w:tc>
          <w:tcPr>
            <w:tcW w:w="424" w:type="dxa"/>
            <w:tcBorders>
              <w:top w:val="nil"/>
              <w:left w:val="nil"/>
              <w:bottom w:val="single" w:sz="4" w:space="0" w:color="auto"/>
              <w:right w:val="single" w:sz="4" w:space="0" w:color="auto"/>
            </w:tcBorders>
            <w:shd w:val="clear" w:color="auto" w:fill="auto"/>
            <w:noWrap/>
            <w:vAlign w:val="center"/>
            <w:hideMark/>
          </w:tcPr>
          <w:p w14:paraId="70B0E7B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4DB5EEB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57937B9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4FF8D73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186491B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65374A0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151F2CD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6807B5C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24EE62B0"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16445093"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„Lesto“</w:t>
            </w:r>
          </w:p>
        </w:tc>
        <w:tc>
          <w:tcPr>
            <w:tcW w:w="424" w:type="dxa"/>
            <w:tcBorders>
              <w:top w:val="nil"/>
              <w:left w:val="nil"/>
              <w:bottom w:val="single" w:sz="4" w:space="0" w:color="auto"/>
              <w:right w:val="single" w:sz="4" w:space="0" w:color="auto"/>
            </w:tcBorders>
            <w:shd w:val="clear" w:color="auto" w:fill="auto"/>
            <w:noWrap/>
            <w:vAlign w:val="center"/>
            <w:hideMark/>
          </w:tcPr>
          <w:p w14:paraId="55D3D2A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3A45DDF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2560F92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14438F1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7ED4F5C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4AE5319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10" w:type="dxa"/>
            <w:tcBorders>
              <w:top w:val="nil"/>
              <w:left w:val="nil"/>
              <w:bottom w:val="single" w:sz="4" w:space="0" w:color="auto"/>
              <w:right w:val="single" w:sz="4" w:space="0" w:color="auto"/>
            </w:tcBorders>
            <w:shd w:val="clear" w:color="auto" w:fill="auto"/>
            <w:noWrap/>
            <w:vAlign w:val="center"/>
            <w:hideMark/>
          </w:tcPr>
          <w:p w14:paraId="55ABB86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37CF409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11C0337D"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84CAE63"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„Lietuvos dujos“</w:t>
            </w:r>
          </w:p>
        </w:tc>
        <w:tc>
          <w:tcPr>
            <w:tcW w:w="424" w:type="dxa"/>
            <w:tcBorders>
              <w:top w:val="nil"/>
              <w:left w:val="nil"/>
              <w:bottom w:val="single" w:sz="4" w:space="0" w:color="auto"/>
              <w:right w:val="single" w:sz="4" w:space="0" w:color="auto"/>
            </w:tcBorders>
            <w:shd w:val="clear" w:color="auto" w:fill="auto"/>
            <w:noWrap/>
            <w:vAlign w:val="center"/>
            <w:hideMark/>
          </w:tcPr>
          <w:p w14:paraId="60CAEB7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63B957A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5865814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491E780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30EFBDE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7855D99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1089E51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1526EF8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5DA8F828" w14:textId="77777777" w:rsidTr="00F53335">
        <w:trPr>
          <w:trHeight w:val="2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1583F849"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„Lietuvos energija“</w:t>
            </w:r>
          </w:p>
        </w:tc>
        <w:tc>
          <w:tcPr>
            <w:tcW w:w="424" w:type="dxa"/>
            <w:tcBorders>
              <w:top w:val="nil"/>
              <w:left w:val="nil"/>
              <w:bottom w:val="single" w:sz="4" w:space="0" w:color="auto"/>
              <w:right w:val="single" w:sz="4" w:space="0" w:color="auto"/>
            </w:tcBorders>
            <w:shd w:val="clear" w:color="auto" w:fill="auto"/>
            <w:noWrap/>
            <w:vAlign w:val="center"/>
            <w:hideMark/>
          </w:tcPr>
          <w:p w14:paraId="02D8D30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53236F9B" w14:textId="77777777" w:rsidR="00B121C1" w:rsidRPr="00A02699" w:rsidRDefault="005655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117D678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12F964D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049E217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41767CC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799E31D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44E9F00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20A15BB9" w14:textId="77777777" w:rsidTr="00F53335">
        <w:trPr>
          <w:trHeight w:val="48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3644ED4D"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„Lietuvos jūrų laivininkystė“</w:t>
            </w:r>
          </w:p>
        </w:tc>
        <w:tc>
          <w:tcPr>
            <w:tcW w:w="424" w:type="dxa"/>
            <w:tcBorders>
              <w:top w:val="nil"/>
              <w:left w:val="nil"/>
              <w:bottom w:val="single" w:sz="4" w:space="0" w:color="auto"/>
              <w:right w:val="single" w:sz="4" w:space="0" w:color="auto"/>
            </w:tcBorders>
            <w:shd w:val="clear" w:color="auto" w:fill="auto"/>
            <w:noWrap/>
            <w:vAlign w:val="center"/>
            <w:hideMark/>
          </w:tcPr>
          <w:p w14:paraId="0D50637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600574F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4C644D2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3EF0472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22E589C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5AE3EB3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74C2845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655C4A7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5DE297C0" w14:textId="77777777" w:rsidTr="00F53335">
        <w:trPr>
          <w:trHeight w:val="51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9488D4A"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„Limarko laivininkystės kompanija“</w:t>
            </w:r>
          </w:p>
        </w:tc>
        <w:tc>
          <w:tcPr>
            <w:tcW w:w="424" w:type="dxa"/>
            <w:tcBorders>
              <w:top w:val="nil"/>
              <w:left w:val="nil"/>
              <w:bottom w:val="single" w:sz="4" w:space="0" w:color="auto"/>
              <w:right w:val="single" w:sz="4" w:space="0" w:color="auto"/>
            </w:tcBorders>
            <w:shd w:val="clear" w:color="auto" w:fill="auto"/>
            <w:noWrap/>
            <w:vAlign w:val="center"/>
            <w:hideMark/>
          </w:tcPr>
          <w:p w14:paraId="1F613BD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7042109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3182FDA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094A655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061F44E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78A31A8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10" w:type="dxa"/>
            <w:tcBorders>
              <w:top w:val="nil"/>
              <w:left w:val="nil"/>
              <w:bottom w:val="single" w:sz="4" w:space="0" w:color="auto"/>
              <w:right w:val="single" w:sz="4" w:space="0" w:color="auto"/>
            </w:tcBorders>
            <w:shd w:val="clear" w:color="auto" w:fill="auto"/>
            <w:noWrap/>
            <w:vAlign w:val="center"/>
            <w:hideMark/>
          </w:tcPr>
          <w:p w14:paraId="243D60E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61BAFF5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152FF604"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8E49736"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„Linas“</w:t>
            </w:r>
          </w:p>
        </w:tc>
        <w:tc>
          <w:tcPr>
            <w:tcW w:w="424" w:type="dxa"/>
            <w:tcBorders>
              <w:top w:val="nil"/>
              <w:left w:val="nil"/>
              <w:bottom w:val="single" w:sz="4" w:space="0" w:color="auto"/>
              <w:right w:val="single" w:sz="4" w:space="0" w:color="auto"/>
            </w:tcBorders>
            <w:shd w:val="clear" w:color="auto" w:fill="auto"/>
            <w:noWrap/>
            <w:vAlign w:val="center"/>
            <w:hideMark/>
          </w:tcPr>
          <w:p w14:paraId="5489D32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46754AA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1CBE460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4A9083E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25222D0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2B276BF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2266DD6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5F492C2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31542AF3" w14:textId="77777777" w:rsidTr="00F53335">
        <w:trPr>
          <w:trHeight w:val="30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BFDB81D"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„Linas Agro Group“</w:t>
            </w:r>
          </w:p>
        </w:tc>
        <w:tc>
          <w:tcPr>
            <w:tcW w:w="424" w:type="dxa"/>
            <w:tcBorders>
              <w:top w:val="nil"/>
              <w:left w:val="nil"/>
              <w:bottom w:val="single" w:sz="4" w:space="0" w:color="auto"/>
              <w:right w:val="single" w:sz="4" w:space="0" w:color="auto"/>
            </w:tcBorders>
            <w:shd w:val="clear" w:color="auto" w:fill="auto"/>
            <w:noWrap/>
            <w:vAlign w:val="center"/>
            <w:hideMark/>
          </w:tcPr>
          <w:p w14:paraId="7F8D275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652C44A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6E5265C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6A16619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77AB055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76F7F35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213FB88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249633F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6BFDDE48"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5008A2B"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„Litgrid“</w:t>
            </w:r>
          </w:p>
        </w:tc>
        <w:tc>
          <w:tcPr>
            <w:tcW w:w="424" w:type="dxa"/>
            <w:tcBorders>
              <w:top w:val="nil"/>
              <w:left w:val="nil"/>
              <w:bottom w:val="single" w:sz="4" w:space="0" w:color="auto"/>
              <w:right w:val="single" w:sz="4" w:space="0" w:color="auto"/>
            </w:tcBorders>
            <w:shd w:val="clear" w:color="auto" w:fill="auto"/>
            <w:noWrap/>
            <w:vAlign w:val="center"/>
            <w:hideMark/>
          </w:tcPr>
          <w:p w14:paraId="00C1379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0F7E568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7CCA352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7465589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6F057FF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410BD79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7E5B7F9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173BCB9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5BAEDB26" w14:textId="77777777" w:rsidTr="00F53335">
        <w:trPr>
          <w:trHeight w:val="48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545511E"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„Panevėžio statybos trestas“</w:t>
            </w:r>
          </w:p>
        </w:tc>
        <w:tc>
          <w:tcPr>
            <w:tcW w:w="424" w:type="dxa"/>
            <w:tcBorders>
              <w:top w:val="nil"/>
              <w:left w:val="nil"/>
              <w:bottom w:val="single" w:sz="4" w:space="0" w:color="auto"/>
              <w:right w:val="single" w:sz="4" w:space="0" w:color="auto"/>
            </w:tcBorders>
            <w:shd w:val="clear" w:color="auto" w:fill="auto"/>
            <w:noWrap/>
            <w:vAlign w:val="center"/>
            <w:hideMark/>
          </w:tcPr>
          <w:p w14:paraId="4F45A12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3D44F47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19627CA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7253DD5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165F3CE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5EB146B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51F27C3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5E93805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72CEDC6B"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E1A2954"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„Pieno žvaigždės“</w:t>
            </w:r>
          </w:p>
        </w:tc>
        <w:tc>
          <w:tcPr>
            <w:tcW w:w="424" w:type="dxa"/>
            <w:tcBorders>
              <w:top w:val="nil"/>
              <w:left w:val="nil"/>
              <w:bottom w:val="single" w:sz="4" w:space="0" w:color="auto"/>
              <w:right w:val="single" w:sz="4" w:space="0" w:color="auto"/>
            </w:tcBorders>
            <w:shd w:val="clear" w:color="auto" w:fill="auto"/>
            <w:noWrap/>
            <w:vAlign w:val="center"/>
            <w:hideMark/>
          </w:tcPr>
          <w:p w14:paraId="2CB0644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06035C0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49ED109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26A156B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1689056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21A1D0A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57CDACD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086DAE9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095CA53F"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4EAFCB8"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„Rokiškio sūris“</w:t>
            </w:r>
          </w:p>
        </w:tc>
        <w:tc>
          <w:tcPr>
            <w:tcW w:w="424" w:type="dxa"/>
            <w:tcBorders>
              <w:top w:val="nil"/>
              <w:left w:val="nil"/>
              <w:bottom w:val="single" w:sz="4" w:space="0" w:color="auto"/>
              <w:right w:val="single" w:sz="4" w:space="0" w:color="auto"/>
            </w:tcBorders>
            <w:shd w:val="clear" w:color="auto" w:fill="auto"/>
            <w:noWrap/>
            <w:vAlign w:val="center"/>
            <w:hideMark/>
          </w:tcPr>
          <w:p w14:paraId="45EDDE7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517C108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1F923B8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4803280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3C244B6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576E39C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3AAACB4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454529A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1C6AB348"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23C1BBB"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„Sanitas“</w:t>
            </w:r>
          </w:p>
        </w:tc>
        <w:tc>
          <w:tcPr>
            <w:tcW w:w="424" w:type="dxa"/>
            <w:tcBorders>
              <w:top w:val="nil"/>
              <w:left w:val="nil"/>
              <w:bottom w:val="single" w:sz="4" w:space="0" w:color="auto"/>
              <w:right w:val="single" w:sz="4" w:space="0" w:color="auto"/>
            </w:tcBorders>
            <w:shd w:val="clear" w:color="auto" w:fill="auto"/>
            <w:noWrap/>
            <w:vAlign w:val="center"/>
            <w:hideMark/>
          </w:tcPr>
          <w:p w14:paraId="1700B77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118B249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2207EFA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2581ACF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7AD63F2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08417B7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532A0BA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0F0DB87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0B94C8CB"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446C82E9"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„Snaigė“</w:t>
            </w:r>
          </w:p>
        </w:tc>
        <w:tc>
          <w:tcPr>
            <w:tcW w:w="424" w:type="dxa"/>
            <w:tcBorders>
              <w:top w:val="nil"/>
              <w:left w:val="nil"/>
              <w:bottom w:val="single" w:sz="4" w:space="0" w:color="auto"/>
              <w:right w:val="single" w:sz="4" w:space="0" w:color="auto"/>
            </w:tcBorders>
            <w:shd w:val="clear" w:color="auto" w:fill="auto"/>
            <w:noWrap/>
            <w:vAlign w:val="center"/>
            <w:hideMark/>
          </w:tcPr>
          <w:p w14:paraId="11E6EF8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637EC69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11952E1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23166B7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2E25B42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777C588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785C837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102C390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47D1BDC1"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65E7C1E6"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„TEO LT“</w:t>
            </w:r>
          </w:p>
        </w:tc>
        <w:tc>
          <w:tcPr>
            <w:tcW w:w="424" w:type="dxa"/>
            <w:tcBorders>
              <w:top w:val="nil"/>
              <w:left w:val="nil"/>
              <w:bottom w:val="single" w:sz="4" w:space="0" w:color="auto"/>
              <w:right w:val="single" w:sz="4" w:space="0" w:color="auto"/>
            </w:tcBorders>
            <w:shd w:val="clear" w:color="auto" w:fill="auto"/>
            <w:noWrap/>
            <w:vAlign w:val="center"/>
            <w:hideMark/>
          </w:tcPr>
          <w:p w14:paraId="0706909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21E4AF6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5D29695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18BA280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389EB26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3B2F81D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2895268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7CF46B9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26670791"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4696CDA"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„Utenos trikotažas“</w:t>
            </w:r>
          </w:p>
        </w:tc>
        <w:tc>
          <w:tcPr>
            <w:tcW w:w="424" w:type="dxa"/>
            <w:tcBorders>
              <w:top w:val="nil"/>
              <w:left w:val="nil"/>
              <w:bottom w:val="single" w:sz="4" w:space="0" w:color="auto"/>
              <w:right w:val="single" w:sz="4" w:space="0" w:color="auto"/>
            </w:tcBorders>
            <w:shd w:val="clear" w:color="auto" w:fill="auto"/>
            <w:noWrap/>
            <w:vAlign w:val="center"/>
            <w:hideMark/>
          </w:tcPr>
          <w:p w14:paraId="6B81DBE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6FDF398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61AE40C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74F7618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5164D54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2456D3D8"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3209D12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3DA963D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1BC7CDE4" w14:textId="77777777" w:rsidTr="00F53335">
        <w:trPr>
          <w:trHeight w:val="270"/>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99A19D2"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„Vilkyškių pieninė“</w:t>
            </w:r>
          </w:p>
        </w:tc>
        <w:tc>
          <w:tcPr>
            <w:tcW w:w="424" w:type="dxa"/>
            <w:tcBorders>
              <w:top w:val="nil"/>
              <w:left w:val="nil"/>
              <w:bottom w:val="single" w:sz="4" w:space="0" w:color="auto"/>
              <w:right w:val="single" w:sz="4" w:space="0" w:color="auto"/>
            </w:tcBorders>
            <w:shd w:val="clear" w:color="auto" w:fill="auto"/>
            <w:noWrap/>
            <w:vAlign w:val="center"/>
            <w:hideMark/>
          </w:tcPr>
          <w:p w14:paraId="07DD667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53B04FD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2DF329C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52" w:type="dxa"/>
            <w:tcBorders>
              <w:top w:val="nil"/>
              <w:left w:val="nil"/>
              <w:bottom w:val="single" w:sz="4" w:space="0" w:color="auto"/>
              <w:right w:val="single" w:sz="4" w:space="0" w:color="auto"/>
            </w:tcBorders>
            <w:shd w:val="clear" w:color="auto" w:fill="auto"/>
            <w:noWrap/>
            <w:vAlign w:val="center"/>
            <w:hideMark/>
          </w:tcPr>
          <w:p w14:paraId="6496356B"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718C355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2AE6506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60A7292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07E29DAE"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5F6B31E0"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B3267B6"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„Vilniaus Baldai“</w:t>
            </w:r>
          </w:p>
        </w:tc>
        <w:tc>
          <w:tcPr>
            <w:tcW w:w="424" w:type="dxa"/>
            <w:tcBorders>
              <w:top w:val="nil"/>
              <w:left w:val="nil"/>
              <w:bottom w:val="single" w:sz="4" w:space="0" w:color="auto"/>
              <w:right w:val="single" w:sz="4" w:space="0" w:color="auto"/>
            </w:tcBorders>
            <w:shd w:val="clear" w:color="auto" w:fill="auto"/>
            <w:noWrap/>
            <w:vAlign w:val="center"/>
            <w:hideMark/>
          </w:tcPr>
          <w:p w14:paraId="37C1A0B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14:paraId="1A3E452D"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512" w:type="dxa"/>
            <w:tcBorders>
              <w:top w:val="nil"/>
              <w:left w:val="nil"/>
              <w:bottom w:val="single" w:sz="4" w:space="0" w:color="auto"/>
              <w:right w:val="single" w:sz="4" w:space="0" w:color="auto"/>
            </w:tcBorders>
            <w:shd w:val="clear" w:color="auto" w:fill="auto"/>
            <w:noWrap/>
            <w:vAlign w:val="center"/>
            <w:hideMark/>
          </w:tcPr>
          <w:p w14:paraId="61F07C8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61E6353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656" w:type="dxa"/>
            <w:tcBorders>
              <w:top w:val="nil"/>
              <w:left w:val="nil"/>
              <w:bottom w:val="single" w:sz="4" w:space="0" w:color="auto"/>
              <w:right w:val="single" w:sz="4" w:space="0" w:color="auto"/>
            </w:tcBorders>
            <w:shd w:val="clear" w:color="auto" w:fill="auto"/>
            <w:noWrap/>
            <w:vAlign w:val="center"/>
            <w:hideMark/>
          </w:tcPr>
          <w:p w14:paraId="57934CB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48F350B0"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396B56F7"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65F4123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r w:rsidR="00B121C1" w:rsidRPr="00A02699" w14:paraId="7761939E" w14:textId="77777777" w:rsidTr="00F53335">
        <w:trPr>
          <w:trHeight w:val="25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2E65482D" w14:textId="77777777" w:rsidR="00B121C1" w:rsidRPr="00A02699" w:rsidRDefault="00B121C1" w:rsidP="00B121C1">
            <w:pPr>
              <w:spacing w:after="0" w:line="240" w:lineRule="auto"/>
              <w:rPr>
                <w:rFonts w:ascii="Times New Roman" w:eastAsia="Times New Roman" w:hAnsi="Times New Roman" w:cs="Times New Roman"/>
                <w:color w:val="000000"/>
                <w:sz w:val="18"/>
                <w:szCs w:val="18"/>
                <w:lang w:eastAsia="lt-LT"/>
              </w:rPr>
            </w:pPr>
            <w:r w:rsidRPr="00A02699">
              <w:rPr>
                <w:rFonts w:ascii="Times New Roman" w:eastAsia="Times New Roman" w:hAnsi="Times New Roman" w:cs="Times New Roman"/>
                <w:color w:val="000000"/>
                <w:sz w:val="18"/>
                <w:szCs w:val="18"/>
                <w:lang w:eastAsia="lt-LT"/>
              </w:rPr>
              <w:t>AB „Vilniaus degtinė“</w:t>
            </w:r>
          </w:p>
        </w:tc>
        <w:tc>
          <w:tcPr>
            <w:tcW w:w="424" w:type="dxa"/>
            <w:tcBorders>
              <w:top w:val="nil"/>
              <w:left w:val="nil"/>
              <w:bottom w:val="single" w:sz="4" w:space="0" w:color="auto"/>
              <w:right w:val="single" w:sz="4" w:space="0" w:color="auto"/>
            </w:tcBorders>
            <w:shd w:val="clear" w:color="auto" w:fill="auto"/>
            <w:noWrap/>
            <w:vAlign w:val="center"/>
            <w:hideMark/>
          </w:tcPr>
          <w:p w14:paraId="7E8EAC1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426D65C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79E6080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08CE45F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6C5DE2EC"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72" w:type="dxa"/>
            <w:tcBorders>
              <w:top w:val="nil"/>
              <w:left w:val="nil"/>
              <w:bottom w:val="single" w:sz="4" w:space="0" w:color="auto"/>
              <w:right w:val="single" w:sz="4" w:space="0" w:color="auto"/>
            </w:tcBorders>
            <w:shd w:val="clear" w:color="auto" w:fill="auto"/>
            <w:noWrap/>
            <w:vAlign w:val="center"/>
            <w:hideMark/>
          </w:tcPr>
          <w:p w14:paraId="68D776A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10" w:type="dxa"/>
            <w:tcBorders>
              <w:top w:val="nil"/>
              <w:left w:val="nil"/>
              <w:bottom w:val="single" w:sz="4" w:space="0" w:color="auto"/>
              <w:right w:val="single" w:sz="4" w:space="0" w:color="auto"/>
            </w:tcBorders>
            <w:shd w:val="clear" w:color="auto" w:fill="auto"/>
            <w:noWrap/>
            <w:vAlign w:val="center"/>
            <w:hideMark/>
          </w:tcPr>
          <w:p w14:paraId="2CF02636"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30" w:type="dxa"/>
            <w:tcBorders>
              <w:top w:val="nil"/>
              <w:left w:val="nil"/>
              <w:bottom w:val="single" w:sz="4" w:space="0" w:color="auto"/>
              <w:right w:val="single" w:sz="4" w:space="0" w:color="auto"/>
            </w:tcBorders>
            <w:shd w:val="clear" w:color="auto" w:fill="auto"/>
            <w:noWrap/>
            <w:vAlign w:val="center"/>
            <w:hideMark/>
          </w:tcPr>
          <w:p w14:paraId="13F69FEA"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r>
      <w:tr w:rsidR="00B121C1" w:rsidRPr="00A02699" w14:paraId="2739166E" w14:textId="77777777" w:rsidTr="00F53335">
        <w:trPr>
          <w:trHeight w:val="328"/>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75691CC4" w14:textId="77777777" w:rsidR="00B121C1" w:rsidRPr="00A02699" w:rsidRDefault="00322703" w:rsidP="00B121C1">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AB „Ž</w:t>
            </w:r>
            <w:r w:rsidR="00B121C1" w:rsidRPr="00A02699">
              <w:rPr>
                <w:rFonts w:ascii="Times New Roman" w:eastAsia="Times New Roman" w:hAnsi="Times New Roman" w:cs="Times New Roman"/>
                <w:color w:val="000000"/>
                <w:sz w:val="18"/>
                <w:szCs w:val="18"/>
                <w:lang w:eastAsia="lt-LT"/>
              </w:rPr>
              <w:t>emaitijos pienas“</w:t>
            </w:r>
          </w:p>
        </w:tc>
        <w:tc>
          <w:tcPr>
            <w:tcW w:w="424" w:type="dxa"/>
            <w:tcBorders>
              <w:top w:val="nil"/>
              <w:left w:val="nil"/>
              <w:bottom w:val="single" w:sz="4" w:space="0" w:color="auto"/>
              <w:right w:val="single" w:sz="4" w:space="0" w:color="auto"/>
            </w:tcBorders>
            <w:shd w:val="clear" w:color="auto" w:fill="auto"/>
            <w:noWrap/>
            <w:vAlign w:val="center"/>
            <w:hideMark/>
          </w:tcPr>
          <w:p w14:paraId="5C817B8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64" w:type="dxa"/>
            <w:tcBorders>
              <w:top w:val="nil"/>
              <w:left w:val="nil"/>
              <w:bottom w:val="single" w:sz="4" w:space="0" w:color="auto"/>
              <w:right w:val="single" w:sz="4" w:space="0" w:color="auto"/>
            </w:tcBorders>
            <w:shd w:val="clear" w:color="auto" w:fill="auto"/>
            <w:noWrap/>
            <w:vAlign w:val="center"/>
            <w:hideMark/>
          </w:tcPr>
          <w:p w14:paraId="6E6C81F1"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512" w:type="dxa"/>
            <w:tcBorders>
              <w:top w:val="nil"/>
              <w:left w:val="nil"/>
              <w:bottom w:val="single" w:sz="4" w:space="0" w:color="auto"/>
              <w:right w:val="single" w:sz="4" w:space="0" w:color="auto"/>
            </w:tcBorders>
            <w:shd w:val="clear" w:color="auto" w:fill="auto"/>
            <w:noWrap/>
            <w:vAlign w:val="center"/>
            <w:hideMark/>
          </w:tcPr>
          <w:p w14:paraId="53C1F894"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1052" w:type="dxa"/>
            <w:tcBorders>
              <w:top w:val="nil"/>
              <w:left w:val="nil"/>
              <w:bottom w:val="single" w:sz="4" w:space="0" w:color="auto"/>
              <w:right w:val="single" w:sz="4" w:space="0" w:color="auto"/>
            </w:tcBorders>
            <w:shd w:val="clear" w:color="auto" w:fill="auto"/>
            <w:noWrap/>
            <w:vAlign w:val="center"/>
            <w:hideMark/>
          </w:tcPr>
          <w:p w14:paraId="536A33AF"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656" w:type="dxa"/>
            <w:tcBorders>
              <w:top w:val="nil"/>
              <w:left w:val="nil"/>
              <w:bottom w:val="single" w:sz="4" w:space="0" w:color="auto"/>
              <w:right w:val="single" w:sz="4" w:space="0" w:color="auto"/>
            </w:tcBorders>
            <w:shd w:val="clear" w:color="auto" w:fill="auto"/>
            <w:noWrap/>
            <w:vAlign w:val="center"/>
            <w:hideMark/>
          </w:tcPr>
          <w:p w14:paraId="2C4DAC53"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1072" w:type="dxa"/>
            <w:tcBorders>
              <w:top w:val="nil"/>
              <w:left w:val="nil"/>
              <w:bottom w:val="single" w:sz="4" w:space="0" w:color="auto"/>
              <w:right w:val="single" w:sz="4" w:space="0" w:color="auto"/>
            </w:tcBorders>
            <w:shd w:val="clear" w:color="auto" w:fill="auto"/>
            <w:noWrap/>
            <w:vAlign w:val="center"/>
            <w:hideMark/>
          </w:tcPr>
          <w:p w14:paraId="3AD8A745"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c>
          <w:tcPr>
            <w:tcW w:w="810" w:type="dxa"/>
            <w:tcBorders>
              <w:top w:val="nil"/>
              <w:left w:val="nil"/>
              <w:bottom w:val="single" w:sz="4" w:space="0" w:color="auto"/>
              <w:right w:val="single" w:sz="4" w:space="0" w:color="auto"/>
            </w:tcBorders>
            <w:shd w:val="clear" w:color="auto" w:fill="auto"/>
            <w:noWrap/>
            <w:vAlign w:val="center"/>
            <w:hideMark/>
          </w:tcPr>
          <w:p w14:paraId="2495E7F9"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r>
              <w:rPr>
                <w:rFonts w:ascii="Times New Roman" w:eastAsia="Times New Roman" w:hAnsi="Times New Roman" w:cs="Times New Roman"/>
                <w:b/>
                <w:color w:val="000000"/>
                <w:sz w:val="18"/>
                <w:szCs w:val="18"/>
                <w:lang w:eastAsia="lt-LT"/>
              </w:rPr>
              <w:t>+</w:t>
            </w:r>
          </w:p>
        </w:tc>
        <w:tc>
          <w:tcPr>
            <w:tcW w:w="830" w:type="dxa"/>
            <w:tcBorders>
              <w:top w:val="nil"/>
              <w:left w:val="nil"/>
              <w:bottom w:val="single" w:sz="4" w:space="0" w:color="auto"/>
              <w:right w:val="single" w:sz="4" w:space="0" w:color="auto"/>
            </w:tcBorders>
            <w:shd w:val="clear" w:color="auto" w:fill="auto"/>
            <w:noWrap/>
            <w:vAlign w:val="center"/>
            <w:hideMark/>
          </w:tcPr>
          <w:p w14:paraId="25F0F022" w14:textId="77777777" w:rsidR="00B121C1" w:rsidRPr="00A02699" w:rsidRDefault="00B121C1" w:rsidP="00D80D2B">
            <w:pPr>
              <w:spacing w:after="0" w:line="240" w:lineRule="auto"/>
              <w:jc w:val="center"/>
              <w:rPr>
                <w:rFonts w:ascii="Times New Roman" w:eastAsia="Times New Roman" w:hAnsi="Times New Roman" w:cs="Times New Roman"/>
                <w:b/>
                <w:color w:val="000000"/>
                <w:sz w:val="18"/>
                <w:szCs w:val="18"/>
                <w:lang w:eastAsia="lt-LT"/>
              </w:rPr>
            </w:pPr>
          </w:p>
        </w:tc>
      </w:tr>
    </w:tbl>
    <w:p w14:paraId="541E37C7" w14:textId="77777777" w:rsidR="00CD7CDB" w:rsidRDefault="00CD7CDB" w:rsidP="005655C1">
      <w:pPr>
        <w:tabs>
          <w:tab w:val="left" w:pos="2763"/>
        </w:tabs>
        <w:spacing w:after="0" w:line="360" w:lineRule="auto"/>
        <w:ind w:firstLine="567"/>
        <w:jc w:val="both"/>
        <w:rPr>
          <w:rFonts w:ascii="Times New Roman" w:hAnsi="Times New Roman" w:cs="Times New Roman"/>
          <w:sz w:val="24"/>
          <w:szCs w:val="24"/>
        </w:rPr>
      </w:pPr>
    </w:p>
    <w:p w14:paraId="264EA184" w14:textId="77777777" w:rsidR="00D00859" w:rsidRDefault="0085545C" w:rsidP="005655C1">
      <w:pPr>
        <w:tabs>
          <w:tab w:val="left" w:pos="276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mat</w:t>
      </w:r>
      <w:r w:rsidR="005655C1">
        <w:rPr>
          <w:rFonts w:ascii="Times New Roman" w:hAnsi="Times New Roman" w:cs="Times New Roman"/>
          <w:sz w:val="24"/>
          <w:szCs w:val="24"/>
        </w:rPr>
        <w:t>yti iš lentelės, 2012 m. buvo 11</w:t>
      </w:r>
      <w:r>
        <w:rPr>
          <w:rFonts w:ascii="Times New Roman" w:hAnsi="Times New Roman" w:cs="Times New Roman"/>
          <w:sz w:val="24"/>
          <w:szCs w:val="24"/>
        </w:rPr>
        <w:t xml:space="preserve"> biržoje kotiruojamų įmonių, kurių likvidumas aukšta</w:t>
      </w:r>
      <w:r w:rsidR="005655C1">
        <w:rPr>
          <w:rFonts w:ascii="Times New Roman" w:hAnsi="Times New Roman" w:cs="Times New Roman"/>
          <w:sz w:val="24"/>
          <w:szCs w:val="24"/>
        </w:rPr>
        <w:t>s. Tai sudaro 35 proc</w:t>
      </w:r>
      <w:r w:rsidR="00AC47E0">
        <w:rPr>
          <w:rFonts w:ascii="Times New Roman" w:hAnsi="Times New Roman" w:cs="Times New Roman"/>
          <w:sz w:val="24"/>
          <w:szCs w:val="24"/>
        </w:rPr>
        <w:t>.</w:t>
      </w:r>
      <w:r>
        <w:rPr>
          <w:rFonts w:ascii="Times New Roman" w:hAnsi="Times New Roman" w:cs="Times New Roman"/>
          <w:sz w:val="24"/>
          <w:szCs w:val="24"/>
        </w:rPr>
        <w:t xml:space="preserve"> visų biržoje kotiruojamų Lietuvos įmonių. </w:t>
      </w:r>
      <w:r w:rsidR="00AC47E0">
        <w:rPr>
          <w:rFonts w:ascii="Times New Roman" w:hAnsi="Times New Roman" w:cs="Times New Roman"/>
          <w:sz w:val="24"/>
          <w:szCs w:val="24"/>
        </w:rPr>
        <w:t>Ž</w:t>
      </w:r>
      <w:r>
        <w:rPr>
          <w:rFonts w:ascii="Times New Roman" w:hAnsi="Times New Roman" w:cs="Times New Roman"/>
          <w:sz w:val="24"/>
          <w:szCs w:val="24"/>
        </w:rPr>
        <w:t>emais likvidumo rodikliais</w:t>
      </w:r>
      <w:r w:rsidR="005655C1">
        <w:rPr>
          <w:rFonts w:ascii="Times New Roman" w:hAnsi="Times New Roman" w:cs="Times New Roman"/>
          <w:sz w:val="24"/>
          <w:szCs w:val="24"/>
        </w:rPr>
        <w:t xml:space="preserve"> </w:t>
      </w:r>
      <w:r w:rsidR="00AC47E0">
        <w:rPr>
          <w:rFonts w:ascii="Times New Roman" w:hAnsi="Times New Roman" w:cs="Times New Roman"/>
          <w:sz w:val="24"/>
          <w:szCs w:val="24"/>
        </w:rPr>
        <w:t>pasižymi</w:t>
      </w:r>
      <w:r w:rsidR="00CD7CDB">
        <w:rPr>
          <w:rFonts w:ascii="Times New Roman" w:hAnsi="Times New Roman" w:cs="Times New Roman"/>
          <w:sz w:val="24"/>
          <w:szCs w:val="24"/>
        </w:rPr>
        <w:t xml:space="preserve"> </w:t>
      </w:r>
      <w:r w:rsidR="00AC47E0">
        <w:rPr>
          <w:rFonts w:ascii="Times New Roman" w:hAnsi="Times New Roman" w:cs="Times New Roman"/>
          <w:sz w:val="24"/>
          <w:szCs w:val="24"/>
        </w:rPr>
        <w:t>12 įmonių, t. y. beveik</w:t>
      </w:r>
      <w:r w:rsidR="005655C1">
        <w:rPr>
          <w:rFonts w:ascii="Times New Roman" w:hAnsi="Times New Roman" w:cs="Times New Roman"/>
          <w:sz w:val="24"/>
          <w:szCs w:val="24"/>
        </w:rPr>
        <w:t xml:space="preserve"> 39 proc</w:t>
      </w:r>
      <w:r>
        <w:rPr>
          <w:rFonts w:ascii="Times New Roman" w:hAnsi="Times New Roman" w:cs="Times New Roman"/>
          <w:sz w:val="24"/>
          <w:szCs w:val="24"/>
        </w:rPr>
        <w:t>. Tuo tarpu patenkinamą likvidumo lygį turi</w:t>
      </w:r>
      <w:r w:rsidR="005655C1">
        <w:rPr>
          <w:rFonts w:ascii="Times New Roman" w:hAnsi="Times New Roman" w:cs="Times New Roman"/>
          <w:sz w:val="24"/>
          <w:szCs w:val="24"/>
        </w:rPr>
        <w:t xml:space="preserve"> 8</w:t>
      </w:r>
      <w:r w:rsidR="00D80D2B">
        <w:rPr>
          <w:rFonts w:ascii="Times New Roman" w:hAnsi="Times New Roman" w:cs="Times New Roman"/>
          <w:sz w:val="24"/>
          <w:szCs w:val="24"/>
        </w:rPr>
        <w:t xml:space="preserve"> įmonės, kas sudaro</w:t>
      </w:r>
      <w:r>
        <w:rPr>
          <w:rFonts w:ascii="Times New Roman" w:hAnsi="Times New Roman" w:cs="Times New Roman"/>
          <w:sz w:val="24"/>
          <w:szCs w:val="24"/>
        </w:rPr>
        <w:t xml:space="preserve"> </w:t>
      </w:r>
      <w:r w:rsidR="005655C1">
        <w:rPr>
          <w:rFonts w:ascii="Times New Roman" w:hAnsi="Times New Roman" w:cs="Times New Roman"/>
          <w:sz w:val="24"/>
          <w:szCs w:val="24"/>
        </w:rPr>
        <w:t>beveik 26</w:t>
      </w:r>
      <w:r w:rsidR="00D80D2B">
        <w:rPr>
          <w:rFonts w:ascii="Times New Roman" w:hAnsi="Times New Roman" w:cs="Times New Roman"/>
          <w:sz w:val="24"/>
          <w:szCs w:val="24"/>
        </w:rPr>
        <w:t xml:space="preserve"> proc</w:t>
      </w:r>
      <w:r w:rsidR="00AC47E0">
        <w:rPr>
          <w:rFonts w:ascii="Times New Roman" w:hAnsi="Times New Roman" w:cs="Times New Roman"/>
          <w:sz w:val="24"/>
          <w:szCs w:val="24"/>
        </w:rPr>
        <w:t>.</w:t>
      </w:r>
      <w:r w:rsidR="00D80D2B">
        <w:rPr>
          <w:rFonts w:ascii="Times New Roman" w:hAnsi="Times New Roman" w:cs="Times New Roman"/>
          <w:sz w:val="24"/>
          <w:szCs w:val="24"/>
        </w:rPr>
        <w:t xml:space="preserve"> </w:t>
      </w:r>
    </w:p>
    <w:p w14:paraId="3196FEB9" w14:textId="77777777" w:rsidR="00D80D2B" w:rsidRDefault="00D80D2B" w:rsidP="005655C1">
      <w:pPr>
        <w:tabs>
          <w:tab w:val="left" w:pos="276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Žvelgiant į likvidumo dinamiką</w:t>
      </w:r>
      <w:r w:rsidR="00AC47E0">
        <w:rPr>
          <w:rFonts w:ascii="Times New Roman" w:hAnsi="Times New Roman" w:cs="Times New Roman"/>
          <w:sz w:val="24"/>
          <w:szCs w:val="24"/>
        </w:rPr>
        <w:t>,</w:t>
      </w:r>
      <w:r>
        <w:rPr>
          <w:rFonts w:ascii="Times New Roman" w:hAnsi="Times New Roman" w:cs="Times New Roman"/>
          <w:sz w:val="24"/>
          <w:szCs w:val="24"/>
        </w:rPr>
        <w:t xml:space="preserve"> analizuojamu laikotarpiu 9 įmonių likvidumo rodikliai turėjo tendenciją didėti, kas sudaro 29 proc</w:t>
      </w:r>
      <w:r w:rsidR="00AD4037">
        <w:rPr>
          <w:rFonts w:ascii="Times New Roman" w:hAnsi="Times New Roman" w:cs="Times New Roman"/>
          <w:sz w:val="24"/>
          <w:szCs w:val="24"/>
        </w:rPr>
        <w:t>.</w:t>
      </w:r>
      <w:r>
        <w:rPr>
          <w:rFonts w:ascii="Times New Roman" w:hAnsi="Times New Roman" w:cs="Times New Roman"/>
          <w:sz w:val="24"/>
          <w:szCs w:val="24"/>
        </w:rPr>
        <w:t xml:space="preserve"> 16 įmonių likvidumo rodikliai svyravo arba išlaikė daugmaž stabilų likvidumo lygį, </w:t>
      </w:r>
      <w:r w:rsidR="00AD4037">
        <w:rPr>
          <w:rFonts w:ascii="Times New Roman" w:hAnsi="Times New Roman" w:cs="Times New Roman"/>
          <w:sz w:val="24"/>
          <w:szCs w:val="24"/>
        </w:rPr>
        <w:t>t. y.</w:t>
      </w:r>
      <w:r w:rsidR="005655C1">
        <w:rPr>
          <w:rFonts w:ascii="Times New Roman" w:hAnsi="Times New Roman" w:cs="Times New Roman"/>
          <w:sz w:val="24"/>
          <w:szCs w:val="24"/>
        </w:rPr>
        <w:t xml:space="preserve"> beveik 52 proc</w:t>
      </w:r>
      <w:r>
        <w:rPr>
          <w:rFonts w:ascii="Times New Roman" w:hAnsi="Times New Roman" w:cs="Times New Roman"/>
          <w:sz w:val="24"/>
          <w:szCs w:val="24"/>
        </w:rPr>
        <w:t xml:space="preserve">. Tendencingai mažėjo </w:t>
      </w:r>
      <w:r w:rsidR="005655C1">
        <w:rPr>
          <w:rFonts w:ascii="Times New Roman" w:hAnsi="Times New Roman" w:cs="Times New Roman"/>
          <w:sz w:val="24"/>
          <w:szCs w:val="24"/>
        </w:rPr>
        <w:t xml:space="preserve">6 įmonių likvidumo rodikliai – 19 </w:t>
      </w:r>
      <w:r w:rsidR="00AD4037">
        <w:rPr>
          <w:rFonts w:ascii="Times New Roman" w:hAnsi="Times New Roman" w:cs="Times New Roman"/>
          <w:sz w:val="24"/>
          <w:szCs w:val="24"/>
        </w:rPr>
        <w:t>proc</w:t>
      </w:r>
      <w:r w:rsidR="005655C1">
        <w:rPr>
          <w:rFonts w:ascii="Times New Roman" w:hAnsi="Times New Roman" w:cs="Times New Roman"/>
          <w:sz w:val="24"/>
          <w:szCs w:val="24"/>
        </w:rPr>
        <w:t xml:space="preserve">. </w:t>
      </w:r>
    </w:p>
    <w:p w14:paraId="08B6DAC6" w14:textId="77777777" w:rsidR="005655C1" w:rsidRDefault="005655C1" w:rsidP="005655C1">
      <w:pPr>
        <w:tabs>
          <w:tab w:val="left" w:pos="276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Atsižvelgiant į minėtą dinamiką ir rezultatus, daroma prielaida jog artimiausioje ateityje 16 įmonių turi teigiamas perspektyvas likvidumo atžvilgiu, tuo tarpu 15 įmonių – neigiamas. Tai atitinkamai sudaro 51,6 ir 48,4 proc.</w:t>
      </w:r>
    </w:p>
    <w:p w14:paraId="69F3900E" w14:textId="77777777" w:rsidR="005655C1" w:rsidRDefault="005655C1" w:rsidP="005655C1">
      <w:pPr>
        <w:tabs>
          <w:tab w:val="left" w:pos="276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Atkreiptinas dėmesys, jog iš visų įmonių ne tik aukštą likvidumo lygį išlaikė, bet ir tendencingai jį gerino 7 įmonės: APB „Apranga“, AB „Invalda“, AB „Lietuvos dujos“, AB „Linas Agro Group“, AB „Rokiškio sūris“, AB „Vilniaus baldai“. Visiškai priešingus rezultatus, kuomet visą nagrinėjamą laikotarpį t</w:t>
      </w:r>
      <w:r w:rsidR="00AD4037">
        <w:rPr>
          <w:rFonts w:ascii="Times New Roman" w:hAnsi="Times New Roman" w:cs="Times New Roman"/>
          <w:sz w:val="24"/>
          <w:szCs w:val="24"/>
        </w:rPr>
        <w:t>endencingai mažėjo likvidumas, o</w:t>
      </w:r>
      <w:r>
        <w:rPr>
          <w:rFonts w:ascii="Times New Roman" w:hAnsi="Times New Roman" w:cs="Times New Roman"/>
          <w:sz w:val="24"/>
          <w:szCs w:val="24"/>
        </w:rPr>
        <w:t xml:space="preserve"> paskutinių metų rodikliai kelia abejones dėl įmonių veiklos tęstinumo</w:t>
      </w:r>
      <w:r w:rsidR="00AD4037">
        <w:rPr>
          <w:rFonts w:ascii="Times New Roman" w:hAnsi="Times New Roman" w:cs="Times New Roman"/>
          <w:sz w:val="24"/>
          <w:szCs w:val="24"/>
        </w:rPr>
        <w:t>,</w:t>
      </w:r>
      <w:r>
        <w:rPr>
          <w:rFonts w:ascii="Times New Roman" w:hAnsi="Times New Roman" w:cs="Times New Roman"/>
          <w:sz w:val="24"/>
          <w:szCs w:val="24"/>
        </w:rPr>
        <w:t xml:space="preserve"> parodė 5 įmonės: AB „Anykščių vynas“, AB „Dvarčionių keramika“, AB „Grigiškės“ (tiesa,</w:t>
      </w:r>
      <w:r w:rsidR="00AD4037">
        <w:rPr>
          <w:rFonts w:ascii="Times New Roman" w:hAnsi="Times New Roman" w:cs="Times New Roman"/>
          <w:sz w:val="24"/>
          <w:szCs w:val="24"/>
        </w:rPr>
        <w:t xml:space="preserve"> įmonė</w:t>
      </w:r>
      <w:r>
        <w:rPr>
          <w:rFonts w:ascii="Times New Roman" w:hAnsi="Times New Roman" w:cs="Times New Roman"/>
          <w:sz w:val="24"/>
          <w:szCs w:val="24"/>
        </w:rPr>
        <w:t xml:space="preserve"> paskutinius 3 metus išlaik</w:t>
      </w:r>
      <w:r w:rsidR="00AD4037">
        <w:rPr>
          <w:rFonts w:ascii="Times New Roman" w:hAnsi="Times New Roman" w:cs="Times New Roman"/>
          <w:sz w:val="24"/>
          <w:szCs w:val="24"/>
        </w:rPr>
        <w:t>ė</w:t>
      </w:r>
      <w:r>
        <w:rPr>
          <w:rFonts w:ascii="Times New Roman" w:hAnsi="Times New Roman" w:cs="Times New Roman"/>
          <w:sz w:val="24"/>
          <w:szCs w:val="24"/>
        </w:rPr>
        <w:t xml:space="preserve"> panašų likvidumo lygį), AB „Lesto“ ir AB „Limarko laivininkystės kompanija“. Taip pat pažymėtina, jog nepaisant tendencingo likvidumo rodiklių didėjimo, AB „Agrowill Group“ padėtis išliko kritinė, kadangi pozicija gerėjo itin lėtai. Analizuojamu laikotarpiu stabilias pozicijas išlaikė ir teigiamas perspektyvas galima įžvelgti 4 įmonių likvidumo valdyme: AB „City service“, AB „Kauno energija“, AB „Litgrid“ ir AB „Žemaitijos pienas“.</w:t>
      </w:r>
    </w:p>
    <w:p w14:paraId="3FEA56C8" w14:textId="77777777" w:rsidR="00AD4037" w:rsidRDefault="005655C1" w:rsidP="005655C1">
      <w:pPr>
        <w:tabs>
          <w:tab w:val="left" w:pos="276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Atliekant tyrimą, buvo pastebėta, jog trumpalaikių įsipareigojimų apmokėjimo pinigais koeficientas rodė silpnesnę likvidumo poziciją visose įmonėse, išskyrus AB „Lesto“, kur visą laikotarpį atspindėjo geresnę poziciją nei tradiciniai rodikliai. Daugumoje įmonių šis rodiklis buvo itin žemas, o neretai netgi neigiamas arba artimas nuliui. AB „Klaipėdos nafta“, AB „TEO LT“ ir AB „Vilniaus baldai“ buvo vienintelės įmonės, kurių trumpalaikių įsipareigojimų apmokėjimo pinigais koeficientas visą nagrinėjamą laikotarpį išliko aukštas. Taip pat dar galima išskirti AB „Lietuvos dujos“, nes šioje įmonėje tik paskutiniais metais minėtasis rodiklis sumažėjo iki nepakankamo </w:t>
      </w:r>
      <w:r w:rsidR="00C20E27">
        <w:rPr>
          <w:rFonts w:ascii="Times New Roman" w:hAnsi="Times New Roman" w:cs="Times New Roman"/>
          <w:sz w:val="24"/>
          <w:szCs w:val="24"/>
        </w:rPr>
        <w:t>lygio</w:t>
      </w:r>
      <w:r>
        <w:rPr>
          <w:rFonts w:ascii="Times New Roman" w:hAnsi="Times New Roman" w:cs="Times New Roman"/>
          <w:sz w:val="24"/>
          <w:szCs w:val="24"/>
        </w:rPr>
        <w:t>.</w:t>
      </w:r>
      <w:r w:rsidR="00302815">
        <w:rPr>
          <w:rFonts w:ascii="Times New Roman" w:hAnsi="Times New Roman" w:cs="Times New Roman"/>
          <w:sz w:val="24"/>
          <w:szCs w:val="24"/>
        </w:rPr>
        <w:t xml:space="preserve"> </w:t>
      </w:r>
    </w:p>
    <w:p w14:paraId="1C100D80" w14:textId="77777777" w:rsidR="005655C1" w:rsidRPr="00302815" w:rsidRDefault="00302815" w:rsidP="005655C1">
      <w:pPr>
        <w:tabs>
          <w:tab w:val="left" w:pos="276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Remiantis gautais rezultatais</w:t>
      </w:r>
      <w:r w:rsidR="00AD4037">
        <w:rPr>
          <w:rFonts w:ascii="Times New Roman" w:hAnsi="Times New Roman" w:cs="Times New Roman"/>
          <w:sz w:val="24"/>
          <w:szCs w:val="24"/>
        </w:rPr>
        <w:t>,</w:t>
      </w:r>
      <w:r>
        <w:rPr>
          <w:rFonts w:ascii="Times New Roman" w:hAnsi="Times New Roman" w:cs="Times New Roman"/>
          <w:sz w:val="24"/>
          <w:szCs w:val="24"/>
        </w:rPr>
        <w:t xml:space="preserve"> hipotezė H</w:t>
      </w:r>
      <w:r>
        <w:rPr>
          <w:rFonts w:ascii="Times New Roman" w:hAnsi="Times New Roman" w:cs="Times New Roman"/>
          <w:sz w:val="24"/>
          <w:szCs w:val="24"/>
          <w:vertAlign w:val="subscript"/>
        </w:rPr>
        <w:t>1</w:t>
      </w:r>
      <w:r>
        <w:rPr>
          <w:rFonts w:ascii="Times New Roman" w:hAnsi="Times New Roman" w:cs="Times New Roman"/>
          <w:sz w:val="24"/>
          <w:szCs w:val="24"/>
        </w:rPr>
        <w:t xml:space="preserve"> atmeta</w:t>
      </w:r>
      <w:r w:rsidR="00AD4037">
        <w:rPr>
          <w:rFonts w:ascii="Times New Roman" w:hAnsi="Times New Roman" w:cs="Times New Roman"/>
          <w:sz w:val="24"/>
          <w:szCs w:val="24"/>
        </w:rPr>
        <w:t>ma</w:t>
      </w:r>
      <w:r>
        <w:rPr>
          <w:rFonts w:ascii="Times New Roman" w:hAnsi="Times New Roman" w:cs="Times New Roman"/>
          <w:sz w:val="24"/>
          <w:szCs w:val="24"/>
        </w:rPr>
        <w:t xml:space="preserve">, kadangi pagal gautus rezultatus likvidumo pozicijų gerėjimą įžvelgti sunku. </w:t>
      </w:r>
    </w:p>
    <w:p w14:paraId="2EE2AEFC" w14:textId="77777777" w:rsidR="005655C1" w:rsidRDefault="005655C1" w:rsidP="005655C1">
      <w:pPr>
        <w:tabs>
          <w:tab w:val="left" w:pos="276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parodė atlikta analizė, likvidumo valdymas yra pakankamai opi problema biržoje kotiruojamose Lietuvos įmonėse, todėl tikslinga būtų nustatyti likvidumo valdymo galimybes ir ribotumus. Ketvirtajame darbo skyriuje</w:t>
      </w:r>
      <w:r w:rsidR="004735F5">
        <w:rPr>
          <w:rFonts w:ascii="Times New Roman" w:hAnsi="Times New Roman" w:cs="Times New Roman"/>
          <w:sz w:val="24"/>
          <w:szCs w:val="24"/>
        </w:rPr>
        <w:t>, naudojant ekspertinį vertinimą, atliktas tyrimas</w:t>
      </w:r>
      <w:r>
        <w:rPr>
          <w:rFonts w:ascii="Times New Roman" w:hAnsi="Times New Roman" w:cs="Times New Roman"/>
          <w:sz w:val="24"/>
          <w:szCs w:val="24"/>
        </w:rPr>
        <w:t>, kuriame bandoma nustatyti likvidumo valdymo galimybes ir ribotumus</w:t>
      </w:r>
      <w:r w:rsidR="00B82CA7">
        <w:rPr>
          <w:rFonts w:ascii="Times New Roman" w:hAnsi="Times New Roman" w:cs="Times New Roman"/>
          <w:sz w:val="24"/>
          <w:szCs w:val="24"/>
        </w:rPr>
        <w:t xml:space="preserve"> įtakojančius veiksnius</w:t>
      </w:r>
      <w:r w:rsidR="00C20E27">
        <w:rPr>
          <w:rFonts w:ascii="Times New Roman" w:hAnsi="Times New Roman" w:cs="Times New Roman"/>
          <w:sz w:val="24"/>
          <w:szCs w:val="24"/>
        </w:rPr>
        <w:t xml:space="preserve"> bendrame ekonominiame kontekste</w:t>
      </w:r>
      <w:r>
        <w:rPr>
          <w:rFonts w:ascii="Times New Roman" w:hAnsi="Times New Roman" w:cs="Times New Roman"/>
          <w:sz w:val="24"/>
          <w:szCs w:val="24"/>
        </w:rPr>
        <w:t>.</w:t>
      </w:r>
    </w:p>
    <w:p w14:paraId="495FB7F6" w14:textId="77777777" w:rsidR="00AD4037" w:rsidRDefault="00AD4037" w:rsidP="005655C1">
      <w:pPr>
        <w:tabs>
          <w:tab w:val="left" w:pos="2763"/>
        </w:tabs>
        <w:spacing w:after="0" w:line="360" w:lineRule="auto"/>
        <w:ind w:firstLine="567"/>
        <w:jc w:val="both"/>
        <w:rPr>
          <w:rFonts w:ascii="Times New Roman" w:hAnsi="Times New Roman" w:cs="Times New Roman"/>
          <w:sz w:val="24"/>
          <w:szCs w:val="24"/>
        </w:rPr>
      </w:pPr>
    </w:p>
    <w:p w14:paraId="78213DF8" w14:textId="77777777" w:rsidR="00AD4037" w:rsidRDefault="00AD4037" w:rsidP="005655C1">
      <w:pPr>
        <w:tabs>
          <w:tab w:val="left" w:pos="2763"/>
        </w:tabs>
        <w:spacing w:after="0" w:line="360" w:lineRule="auto"/>
        <w:ind w:firstLine="567"/>
        <w:jc w:val="both"/>
        <w:rPr>
          <w:rFonts w:ascii="Times New Roman" w:hAnsi="Times New Roman" w:cs="Times New Roman"/>
          <w:sz w:val="24"/>
          <w:szCs w:val="24"/>
        </w:rPr>
      </w:pPr>
    </w:p>
    <w:p w14:paraId="2E53389F" w14:textId="77777777" w:rsidR="00092678" w:rsidRDefault="00092678" w:rsidP="00D81A0D">
      <w:pPr>
        <w:tabs>
          <w:tab w:val="left" w:pos="2763"/>
        </w:tabs>
        <w:spacing w:after="0" w:line="360" w:lineRule="auto"/>
        <w:jc w:val="both"/>
        <w:rPr>
          <w:rFonts w:ascii="Times New Roman" w:hAnsi="Times New Roman" w:cs="Times New Roman"/>
          <w:sz w:val="24"/>
          <w:szCs w:val="24"/>
        </w:rPr>
      </w:pPr>
    </w:p>
    <w:p w14:paraId="49B00A65" w14:textId="77777777" w:rsidR="005655C1" w:rsidRPr="009E1406" w:rsidRDefault="00C20E27" w:rsidP="00447752">
      <w:pPr>
        <w:pStyle w:val="Heading1"/>
        <w:numPr>
          <w:ilvl w:val="0"/>
          <w:numId w:val="26"/>
        </w:numPr>
        <w:spacing w:before="0" w:line="360" w:lineRule="auto"/>
        <w:ind w:left="284" w:hanging="284"/>
        <w:jc w:val="center"/>
        <w:rPr>
          <w:rStyle w:val="1antChar"/>
          <w:rFonts w:eastAsiaTheme="majorEastAsia"/>
          <w:b/>
          <w:color w:val="auto"/>
        </w:rPr>
      </w:pPr>
      <w:bookmarkStart w:id="125" w:name="_Toc353730662"/>
      <w:r w:rsidRPr="009E1406">
        <w:rPr>
          <w:rStyle w:val="1antChar"/>
          <w:rFonts w:eastAsiaTheme="majorEastAsia"/>
          <w:b/>
          <w:color w:val="auto"/>
        </w:rPr>
        <w:lastRenderedPageBreak/>
        <w:t>LIKVIDUMO VALDYMĄ RIBOJANČIŲ VEIKSNIŲ TYRIMAS</w:t>
      </w:r>
      <w:bookmarkEnd w:id="125"/>
    </w:p>
    <w:p w14:paraId="018BAE58" w14:textId="77777777" w:rsidR="00C20E27" w:rsidRDefault="00C20E27" w:rsidP="00C20E27">
      <w:pPr>
        <w:tabs>
          <w:tab w:val="left" w:pos="2763"/>
        </w:tabs>
        <w:spacing w:after="0" w:line="360" w:lineRule="auto"/>
        <w:jc w:val="center"/>
        <w:rPr>
          <w:rFonts w:ascii="Times New Roman" w:hAnsi="Times New Roman" w:cs="Times New Roman"/>
          <w:b/>
          <w:sz w:val="28"/>
          <w:szCs w:val="28"/>
        </w:rPr>
      </w:pPr>
    </w:p>
    <w:p w14:paraId="66AC1DCA" w14:textId="77777777" w:rsidR="00354FB2" w:rsidRPr="009900EC" w:rsidRDefault="00354FB2" w:rsidP="009900EC">
      <w:pPr>
        <w:spacing w:after="0" w:line="360" w:lineRule="auto"/>
        <w:ind w:firstLine="567"/>
        <w:jc w:val="both"/>
        <w:rPr>
          <w:rFonts w:ascii="Times New Roman" w:hAnsi="Times New Roman" w:cs="Times New Roman"/>
          <w:sz w:val="24"/>
          <w:szCs w:val="24"/>
        </w:rPr>
      </w:pPr>
      <w:r w:rsidRPr="009900EC">
        <w:rPr>
          <w:rFonts w:ascii="Times New Roman" w:hAnsi="Times New Roman" w:cs="Times New Roman"/>
          <w:sz w:val="24"/>
          <w:szCs w:val="24"/>
        </w:rPr>
        <w:t>Trečiajame darbo skyriuje atlikta biržoje kotiruojamų įmonių likvidumo dinamikos analizė parodė, jog likvidumas yra pakankamai opi problema daugelyje įmonių. Siekiant išsiaiškinti kokie veiksniai ir kokios priežastys įtakoja prastus rezultatus, autorius išsikelia problemą: kokie veiksniai įtakoja ir riboja įmonių likvidumo valdymą ekonominiame kontekste? Tam, kad</w:t>
      </w:r>
      <w:r w:rsidR="0015462D" w:rsidRPr="009900EC">
        <w:rPr>
          <w:rFonts w:ascii="Times New Roman" w:hAnsi="Times New Roman" w:cs="Times New Roman"/>
          <w:sz w:val="24"/>
          <w:szCs w:val="24"/>
        </w:rPr>
        <w:t xml:space="preserve"> būtų galima</w:t>
      </w:r>
      <w:r w:rsidRPr="009900EC">
        <w:rPr>
          <w:rFonts w:ascii="Times New Roman" w:hAnsi="Times New Roman" w:cs="Times New Roman"/>
          <w:sz w:val="24"/>
          <w:szCs w:val="24"/>
        </w:rPr>
        <w:t xml:space="preserve"> atsakyti į </w:t>
      </w:r>
      <w:bookmarkStart w:id="126" w:name="_GoBack"/>
      <w:bookmarkEnd w:id="126"/>
      <w:r w:rsidRPr="009900EC">
        <w:rPr>
          <w:rFonts w:ascii="Times New Roman" w:hAnsi="Times New Roman" w:cs="Times New Roman"/>
          <w:sz w:val="24"/>
          <w:szCs w:val="24"/>
        </w:rPr>
        <w:t>šį probleminį klausimą</w:t>
      </w:r>
      <w:r w:rsidR="0015462D" w:rsidRPr="009900EC">
        <w:rPr>
          <w:rFonts w:ascii="Times New Roman" w:hAnsi="Times New Roman" w:cs="Times New Roman"/>
          <w:sz w:val="24"/>
          <w:szCs w:val="24"/>
        </w:rPr>
        <w:t>,</w:t>
      </w:r>
      <w:r w:rsidRPr="009900EC">
        <w:rPr>
          <w:rFonts w:ascii="Times New Roman" w:hAnsi="Times New Roman" w:cs="Times New Roman"/>
          <w:sz w:val="24"/>
          <w:szCs w:val="24"/>
        </w:rPr>
        <w:t xml:space="preserve"> darbe naudojamas ekspertinio vertinimo metodas. </w:t>
      </w:r>
    </w:p>
    <w:p w14:paraId="73FFB495" w14:textId="77777777" w:rsidR="00354FB2" w:rsidRPr="009900EC" w:rsidRDefault="00354FB2" w:rsidP="009900EC">
      <w:pPr>
        <w:spacing w:after="0" w:line="360" w:lineRule="auto"/>
        <w:jc w:val="both"/>
        <w:rPr>
          <w:rFonts w:ascii="Times New Roman" w:hAnsi="Times New Roman" w:cs="Times New Roman"/>
          <w:sz w:val="24"/>
          <w:szCs w:val="24"/>
        </w:rPr>
      </w:pPr>
    </w:p>
    <w:p w14:paraId="33BFBA81" w14:textId="77777777" w:rsidR="00EA7C9D" w:rsidRPr="009900EC" w:rsidRDefault="009900EC" w:rsidP="009900EC">
      <w:pPr>
        <w:pStyle w:val="Heading3"/>
        <w:jc w:val="center"/>
        <w:rPr>
          <w:rFonts w:ascii="Times" w:hAnsi="Times"/>
          <w:color w:val="auto"/>
          <w:sz w:val="24"/>
          <w:szCs w:val="24"/>
        </w:rPr>
      </w:pPr>
      <w:bookmarkStart w:id="127" w:name="_Toc353730663"/>
      <w:r>
        <w:rPr>
          <w:rFonts w:ascii="Times" w:hAnsi="Times"/>
          <w:color w:val="auto"/>
          <w:sz w:val="24"/>
          <w:szCs w:val="24"/>
        </w:rPr>
        <w:t xml:space="preserve">4. 1. </w:t>
      </w:r>
      <w:r w:rsidR="00EA7C9D" w:rsidRPr="009900EC">
        <w:rPr>
          <w:rFonts w:ascii="Times" w:hAnsi="Times"/>
          <w:color w:val="auto"/>
          <w:sz w:val="24"/>
          <w:szCs w:val="24"/>
        </w:rPr>
        <w:t xml:space="preserve">Ekspertinio vertinimo </w:t>
      </w:r>
      <w:r w:rsidR="00AA272F" w:rsidRPr="009900EC">
        <w:rPr>
          <w:rFonts w:ascii="Times" w:hAnsi="Times"/>
          <w:color w:val="auto"/>
          <w:sz w:val="24"/>
          <w:szCs w:val="24"/>
        </w:rPr>
        <w:t>samprata</w:t>
      </w:r>
      <w:bookmarkEnd w:id="127"/>
    </w:p>
    <w:p w14:paraId="5D62C2CC" w14:textId="77777777" w:rsidR="00EA7C9D" w:rsidRPr="009900EC" w:rsidRDefault="00EA7C9D" w:rsidP="009900EC">
      <w:pPr>
        <w:spacing w:after="0" w:line="360" w:lineRule="auto"/>
        <w:jc w:val="both"/>
        <w:rPr>
          <w:rFonts w:ascii="Times New Roman" w:hAnsi="Times New Roman" w:cs="Times New Roman"/>
          <w:sz w:val="24"/>
          <w:szCs w:val="24"/>
        </w:rPr>
      </w:pPr>
    </w:p>
    <w:p w14:paraId="30D80771" w14:textId="77777777" w:rsidR="00AF7031" w:rsidRPr="009900EC" w:rsidRDefault="00EA7C9D" w:rsidP="009900EC">
      <w:pPr>
        <w:spacing w:after="0" w:line="360" w:lineRule="auto"/>
        <w:ind w:firstLine="567"/>
        <w:jc w:val="both"/>
        <w:rPr>
          <w:rFonts w:ascii="Times New Roman" w:hAnsi="Times New Roman" w:cs="Times New Roman"/>
          <w:sz w:val="24"/>
          <w:szCs w:val="24"/>
        </w:rPr>
      </w:pPr>
      <w:r w:rsidRPr="009900EC">
        <w:rPr>
          <w:rFonts w:ascii="Times New Roman" w:hAnsi="Times New Roman" w:cs="Times New Roman"/>
          <w:sz w:val="24"/>
          <w:szCs w:val="24"/>
        </w:rPr>
        <w:t>Rudzkienės ir kitų 2008 m. darbe pateiki</w:t>
      </w:r>
      <w:r w:rsidR="00C80ABF" w:rsidRPr="009900EC">
        <w:rPr>
          <w:rFonts w:ascii="Times New Roman" w:hAnsi="Times New Roman" w:cs="Times New Roman"/>
          <w:sz w:val="24"/>
          <w:szCs w:val="24"/>
        </w:rPr>
        <w:t>a</w:t>
      </w:r>
      <w:r w:rsidRPr="009900EC">
        <w:rPr>
          <w:rFonts w:ascii="Times New Roman" w:hAnsi="Times New Roman" w:cs="Times New Roman"/>
          <w:sz w:val="24"/>
          <w:szCs w:val="24"/>
        </w:rPr>
        <w:t xml:space="preserve">ma ekspertinio vertinimo metodika. Pagal </w:t>
      </w:r>
      <w:r w:rsidR="0015462D" w:rsidRPr="009900EC">
        <w:rPr>
          <w:rFonts w:ascii="Times New Roman" w:hAnsi="Times New Roman" w:cs="Times New Roman"/>
          <w:sz w:val="24"/>
          <w:szCs w:val="24"/>
        </w:rPr>
        <w:t>šią metodiką</w:t>
      </w:r>
      <w:r w:rsidRPr="009900EC">
        <w:rPr>
          <w:rFonts w:ascii="Times New Roman" w:hAnsi="Times New Roman" w:cs="Times New Roman"/>
          <w:sz w:val="24"/>
          <w:szCs w:val="24"/>
        </w:rPr>
        <w:t>, e</w:t>
      </w:r>
      <w:r w:rsidR="00AF7031" w:rsidRPr="009900EC">
        <w:rPr>
          <w:rFonts w:ascii="Times New Roman" w:hAnsi="Times New Roman" w:cs="Times New Roman"/>
          <w:sz w:val="24"/>
          <w:szCs w:val="24"/>
        </w:rPr>
        <w:t>kspertinis vertinimas suprantamas kaip apibe</w:t>
      </w:r>
      <w:r w:rsidR="00AA272F" w:rsidRPr="009900EC">
        <w:rPr>
          <w:rFonts w:ascii="Times New Roman" w:hAnsi="Times New Roman" w:cs="Times New Roman"/>
          <w:sz w:val="24"/>
          <w:szCs w:val="24"/>
        </w:rPr>
        <w:t xml:space="preserve">ndrinta ekspertų grupės nuomonė. Šios nuomonės gavimui taikomos </w:t>
      </w:r>
      <w:r w:rsidR="00AF7031" w:rsidRPr="009900EC">
        <w:rPr>
          <w:rFonts w:ascii="Times New Roman" w:hAnsi="Times New Roman" w:cs="Times New Roman"/>
          <w:sz w:val="24"/>
          <w:szCs w:val="24"/>
        </w:rPr>
        <w:t xml:space="preserve">ekspertų žinios, patirtis ir intuicija. Ekspertinio vertinimo metodas </w:t>
      </w:r>
      <w:r w:rsidR="00AA272F" w:rsidRPr="009900EC">
        <w:rPr>
          <w:rFonts w:ascii="Times New Roman" w:hAnsi="Times New Roman" w:cs="Times New Roman"/>
          <w:sz w:val="24"/>
          <w:szCs w:val="24"/>
        </w:rPr>
        <w:t>apibrėžiamas kaip</w:t>
      </w:r>
      <w:r w:rsidR="00AF7031" w:rsidRPr="009900EC">
        <w:rPr>
          <w:rFonts w:ascii="Times New Roman" w:hAnsi="Times New Roman" w:cs="Times New Roman"/>
          <w:sz w:val="24"/>
          <w:szCs w:val="24"/>
        </w:rPr>
        <w:t xml:space="preserve"> procedūra, </w:t>
      </w:r>
      <w:r w:rsidR="00AA272F" w:rsidRPr="009900EC">
        <w:rPr>
          <w:rFonts w:ascii="Times New Roman" w:hAnsi="Times New Roman" w:cs="Times New Roman"/>
          <w:sz w:val="24"/>
          <w:szCs w:val="24"/>
        </w:rPr>
        <w:t>kuri leidžia</w:t>
      </w:r>
      <w:r w:rsidR="00AF7031" w:rsidRPr="009900EC">
        <w:rPr>
          <w:rFonts w:ascii="Times New Roman" w:hAnsi="Times New Roman" w:cs="Times New Roman"/>
          <w:sz w:val="24"/>
          <w:szCs w:val="24"/>
        </w:rPr>
        <w:t xml:space="preserve"> suderinti atskirų ekspertų nuomones ir suformuoti bendrą sprendimą. </w:t>
      </w:r>
      <w:r w:rsidR="00AA272F" w:rsidRPr="009900EC">
        <w:rPr>
          <w:rFonts w:ascii="Times New Roman" w:hAnsi="Times New Roman" w:cs="Times New Roman"/>
          <w:sz w:val="24"/>
          <w:szCs w:val="24"/>
        </w:rPr>
        <w:t>D</w:t>
      </w:r>
      <w:r w:rsidR="00AF7031" w:rsidRPr="009900EC">
        <w:rPr>
          <w:rFonts w:ascii="Times New Roman" w:hAnsi="Times New Roman" w:cs="Times New Roman"/>
          <w:sz w:val="24"/>
          <w:szCs w:val="24"/>
        </w:rPr>
        <w:t xml:space="preserve">ažniausiai taikomas kokios </w:t>
      </w:r>
      <w:r w:rsidR="0015462D" w:rsidRPr="009900EC">
        <w:rPr>
          <w:rFonts w:ascii="Times New Roman" w:hAnsi="Times New Roman" w:cs="Times New Roman"/>
          <w:sz w:val="24"/>
          <w:szCs w:val="24"/>
        </w:rPr>
        <w:t>nors</w:t>
      </w:r>
      <w:r w:rsidR="00AF7031" w:rsidRPr="009900EC">
        <w:rPr>
          <w:rFonts w:ascii="Times New Roman" w:hAnsi="Times New Roman" w:cs="Times New Roman"/>
          <w:sz w:val="24"/>
          <w:szCs w:val="24"/>
        </w:rPr>
        <w:t xml:space="preserve"> </w:t>
      </w:r>
      <w:r w:rsidR="0015462D" w:rsidRPr="009900EC">
        <w:rPr>
          <w:rFonts w:ascii="Times New Roman" w:hAnsi="Times New Roman" w:cs="Times New Roman"/>
          <w:sz w:val="24"/>
          <w:szCs w:val="24"/>
        </w:rPr>
        <w:t>problemos, proceso ar reiškinio</w:t>
      </w:r>
      <w:r w:rsidR="00AF7031" w:rsidRPr="009900EC">
        <w:rPr>
          <w:rFonts w:ascii="Times New Roman" w:hAnsi="Times New Roman" w:cs="Times New Roman"/>
          <w:sz w:val="24"/>
          <w:szCs w:val="24"/>
        </w:rPr>
        <w:t xml:space="preserve"> tyrimui, reikalaujančiam specialių žinių ir gebėjimų</w:t>
      </w:r>
    </w:p>
    <w:p w14:paraId="6AA25323" w14:textId="77777777" w:rsidR="00BF37B9" w:rsidRDefault="00AF7031" w:rsidP="00BF37B9">
      <w:pPr>
        <w:spacing w:after="0" w:line="360" w:lineRule="auto"/>
        <w:ind w:firstLine="567"/>
        <w:jc w:val="both"/>
        <w:rPr>
          <w:rFonts w:ascii="Times New Roman" w:hAnsi="Times New Roman" w:cs="Times New Roman"/>
          <w:sz w:val="24"/>
          <w:szCs w:val="24"/>
        </w:rPr>
      </w:pPr>
      <w:r w:rsidRPr="009900EC">
        <w:rPr>
          <w:rFonts w:ascii="Times New Roman" w:hAnsi="Times New Roman" w:cs="Times New Roman"/>
          <w:sz w:val="24"/>
          <w:szCs w:val="24"/>
        </w:rPr>
        <w:t>Bendru atveju ekspertinio vertinimo metodologija grindžiama dv</w:t>
      </w:r>
      <w:r w:rsidR="00935778" w:rsidRPr="009900EC">
        <w:rPr>
          <w:rFonts w:ascii="Times New Roman" w:hAnsi="Times New Roman" w:cs="Times New Roman"/>
          <w:sz w:val="24"/>
          <w:szCs w:val="24"/>
        </w:rPr>
        <w:t>i</w:t>
      </w:r>
      <w:r w:rsidRPr="009900EC">
        <w:rPr>
          <w:rFonts w:ascii="Times New Roman" w:hAnsi="Times New Roman" w:cs="Times New Roman"/>
          <w:sz w:val="24"/>
          <w:szCs w:val="24"/>
        </w:rPr>
        <w:t>ejomis prielaidomis: ekspertas sukaupęs didelį kiekį racionaliai apdorotos</w:t>
      </w:r>
      <w:r w:rsidR="00935778" w:rsidRPr="009900EC">
        <w:rPr>
          <w:rFonts w:ascii="Times New Roman" w:hAnsi="Times New Roman" w:cs="Times New Roman"/>
          <w:sz w:val="24"/>
          <w:szCs w:val="24"/>
        </w:rPr>
        <w:t xml:space="preserve"> informacijos</w:t>
      </w:r>
      <w:r w:rsidRPr="009900EC">
        <w:rPr>
          <w:rFonts w:ascii="Times New Roman" w:hAnsi="Times New Roman" w:cs="Times New Roman"/>
          <w:sz w:val="24"/>
          <w:szCs w:val="24"/>
        </w:rPr>
        <w:t xml:space="preserve"> ir todėl ekspertas gali būti kokybinės informacijos šaltiniu; ekspertų grupės nuomonė nedaug skiriasi nuo tikrojo problemos sprendinio. Siekiant patenkinti ekspertiniam vertinimui keliamus reikalavimus, procedūrų ir gautų duomenų analizės algoritmų sudarymui taikomi matavimų teorijos ir matematinės statistikos metodai (Rudzkienė ir kt. 2008). Problemos, kurios sprendžiamos ekspertiniais vertinimais, dalinamos į dvi pagrindines grupes:</w:t>
      </w:r>
    </w:p>
    <w:p w14:paraId="705C64CA" w14:textId="77777777" w:rsidR="00AF7031" w:rsidRPr="00E612B9" w:rsidRDefault="00AF7031" w:rsidP="00E612B9">
      <w:pPr>
        <w:pStyle w:val="ListParagraph"/>
        <w:numPr>
          <w:ilvl w:val="0"/>
          <w:numId w:val="28"/>
        </w:numPr>
        <w:spacing w:after="0" w:line="360" w:lineRule="auto"/>
        <w:jc w:val="both"/>
        <w:rPr>
          <w:rFonts w:ascii="Times New Roman" w:hAnsi="Times New Roman" w:cs="Times New Roman"/>
          <w:sz w:val="24"/>
          <w:szCs w:val="24"/>
        </w:rPr>
      </w:pPr>
      <w:r w:rsidRPr="00E612B9">
        <w:rPr>
          <w:rFonts w:ascii="Times New Roman" w:hAnsi="Times New Roman" w:cs="Times New Roman"/>
          <w:sz w:val="24"/>
          <w:szCs w:val="24"/>
        </w:rPr>
        <w:t xml:space="preserve">atvejai, kai informacijos yra daug, tačiau ji pasižymi kokybine prigimtimi arba daugiakriteriškumu. Tokiais atvejais plačiai taikomi matematinės statistikos metodai. </w:t>
      </w:r>
    </w:p>
    <w:p w14:paraId="23939BFC" w14:textId="77777777" w:rsidR="00AF7031" w:rsidRPr="00E612B9" w:rsidRDefault="00AF7031" w:rsidP="00E612B9">
      <w:pPr>
        <w:pStyle w:val="ListParagraph"/>
        <w:numPr>
          <w:ilvl w:val="0"/>
          <w:numId w:val="28"/>
        </w:numPr>
        <w:spacing w:after="0" w:line="360" w:lineRule="auto"/>
        <w:jc w:val="both"/>
        <w:rPr>
          <w:rFonts w:ascii="Times New Roman" w:hAnsi="Times New Roman" w:cs="Times New Roman"/>
          <w:sz w:val="24"/>
          <w:szCs w:val="24"/>
        </w:rPr>
      </w:pPr>
      <w:r w:rsidRPr="00E612B9">
        <w:rPr>
          <w:rFonts w:ascii="Times New Roman" w:hAnsi="Times New Roman" w:cs="Times New Roman"/>
          <w:sz w:val="24"/>
          <w:szCs w:val="24"/>
        </w:rPr>
        <w:t xml:space="preserve">atvejai, kai informacijos nepakanka. </w:t>
      </w:r>
    </w:p>
    <w:p w14:paraId="70D3DD19" w14:textId="77777777" w:rsidR="00EA7C9D" w:rsidRPr="006E0185" w:rsidRDefault="00EA7C9D" w:rsidP="001A651D">
      <w:pPr>
        <w:spacing w:after="0" w:line="360" w:lineRule="auto"/>
        <w:ind w:firstLine="567"/>
        <w:jc w:val="both"/>
        <w:rPr>
          <w:rFonts w:ascii="Times New Roman" w:hAnsi="Times New Roman"/>
          <w:sz w:val="24"/>
          <w:szCs w:val="24"/>
          <w:lang w:eastAsia="lt-LT"/>
        </w:rPr>
      </w:pPr>
      <w:r w:rsidRPr="006E0185">
        <w:rPr>
          <w:rFonts w:ascii="Times New Roman" w:hAnsi="Times New Roman"/>
          <w:sz w:val="24"/>
          <w:szCs w:val="24"/>
          <w:lang w:eastAsia="lt-LT"/>
        </w:rPr>
        <w:t>Nustatant priimtiną ekspertų skaičių reikia vadovautis metodologinėmis prielaidomis, suformuluotomis klasikinėje testų teorijoje</w:t>
      </w:r>
      <w:r w:rsidR="00935778" w:rsidRPr="006E0185">
        <w:rPr>
          <w:rFonts w:ascii="Times New Roman" w:hAnsi="Times New Roman"/>
          <w:sz w:val="24"/>
          <w:szCs w:val="24"/>
          <w:lang w:eastAsia="lt-LT"/>
        </w:rPr>
        <w:t>.</w:t>
      </w:r>
      <w:r w:rsidRPr="006E0185">
        <w:rPr>
          <w:rFonts w:ascii="Times New Roman" w:hAnsi="Times New Roman"/>
          <w:sz w:val="24"/>
          <w:szCs w:val="24"/>
          <w:lang w:eastAsia="lt-LT"/>
        </w:rPr>
        <w:t xml:space="preserve"> </w:t>
      </w:r>
      <w:r w:rsidR="00AA272F" w:rsidRPr="006E0185">
        <w:rPr>
          <w:rFonts w:ascii="Times New Roman" w:hAnsi="Times New Roman"/>
          <w:sz w:val="24"/>
          <w:szCs w:val="24"/>
          <w:lang w:eastAsia="lt-LT"/>
        </w:rPr>
        <w:t>Yra įrodyta (2 priedas),</w:t>
      </w:r>
      <w:r w:rsidRPr="006E0185">
        <w:rPr>
          <w:rFonts w:ascii="Times New Roman" w:hAnsi="Times New Roman"/>
          <w:sz w:val="24"/>
          <w:szCs w:val="24"/>
          <w:lang w:eastAsia="lt-LT"/>
        </w:rPr>
        <w:t xml:space="preserve"> kad agreguotų ekspertinių vertinimo moduliuose su vienodais svoriais nedidelės ekspertų grupės sprendimų ir vertinimų tikslumas nenusileidžia didelės ekspertų grupės sprendimų ir vertinimų tikslumui. </w:t>
      </w:r>
    </w:p>
    <w:p w14:paraId="0AD5FE06" w14:textId="77777777" w:rsidR="00935778" w:rsidRPr="003E5890" w:rsidRDefault="00935778" w:rsidP="001A651D">
      <w:pPr>
        <w:spacing w:after="0" w:line="360" w:lineRule="auto"/>
        <w:ind w:firstLine="567"/>
        <w:jc w:val="both"/>
        <w:rPr>
          <w:rFonts w:ascii="Times New Roman" w:hAnsi="Times New Roman"/>
          <w:color w:val="FF0000"/>
          <w:sz w:val="24"/>
          <w:szCs w:val="24"/>
          <w:lang w:eastAsia="lt-LT"/>
        </w:rPr>
      </w:pPr>
    </w:p>
    <w:p w14:paraId="4E7EDC0F" w14:textId="77777777" w:rsidR="00C20E27" w:rsidRPr="006E0185" w:rsidRDefault="009900EC" w:rsidP="009900EC">
      <w:pPr>
        <w:pStyle w:val="Heading2"/>
        <w:numPr>
          <w:ilvl w:val="0"/>
          <w:numId w:val="12"/>
        </w:numPr>
        <w:spacing w:before="0" w:beforeAutospacing="0" w:after="0" w:afterAutospacing="0"/>
        <w:jc w:val="center"/>
      </w:pPr>
      <w:bookmarkStart w:id="128" w:name="_Toc353730664"/>
      <w:r>
        <w:rPr>
          <w:rFonts w:eastAsiaTheme="minorHAnsi"/>
          <w:sz w:val="24"/>
          <w:szCs w:val="24"/>
          <w:lang w:eastAsia="en-US"/>
        </w:rPr>
        <w:t xml:space="preserve">2. </w:t>
      </w:r>
      <w:r w:rsidR="00AA272F" w:rsidRPr="00E2302E">
        <w:rPr>
          <w:rFonts w:eastAsiaTheme="minorHAnsi"/>
          <w:sz w:val="24"/>
          <w:szCs w:val="24"/>
          <w:lang w:eastAsia="en-US"/>
        </w:rPr>
        <w:t>Efektyvų likvidumo valdymą ribojančių veiksnių tyrimas</w:t>
      </w:r>
      <w:bookmarkEnd w:id="128"/>
    </w:p>
    <w:p w14:paraId="73CD07E8" w14:textId="77777777" w:rsidR="00935778" w:rsidRPr="006E0185" w:rsidRDefault="00935778" w:rsidP="001A651D">
      <w:pPr>
        <w:tabs>
          <w:tab w:val="left" w:pos="8895"/>
        </w:tabs>
        <w:spacing w:after="0" w:line="360" w:lineRule="auto"/>
        <w:ind w:firstLine="567"/>
        <w:jc w:val="both"/>
        <w:rPr>
          <w:rFonts w:ascii="Times New Roman" w:hAnsi="Times New Roman"/>
          <w:sz w:val="24"/>
          <w:szCs w:val="24"/>
        </w:rPr>
      </w:pPr>
    </w:p>
    <w:p w14:paraId="1BB55508" w14:textId="77777777" w:rsidR="006D78B0" w:rsidRPr="006E0185" w:rsidRDefault="00AA272F" w:rsidP="001A651D">
      <w:pPr>
        <w:tabs>
          <w:tab w:val="left" w:pos="8895"/>
        </w:tabs>
        <w:spacing w:after="0" w:line="360" w:lineRule="auto"/>
        <w:ind w:firstLine="567"/>
        <w:jc w:val="both"/>
        <w:rPr>
          <w:rFonts w:ascii="Times New Roman" w:hAnsi="Times New Roman"/>
          <w:sz w:val="24"/>
          <w:szCs w:val="24"/>
          <w:lang w:val="en-US"/>
        </w:rPr>
      </w:pPr>
      <w:r w:rsidRPr="006E0185">
        <w:rPr>
          <w:rFonts w:ascii="Times New Roman" w:hAnsi="Times New Roman"/>
          <w:sz w:val="24"/>
          <w:szCs w:val="24"/>
        </w:rPr>
        <w:t>Tyrimo tikslas</w:t>
      </w:r>
      <w:r w:rsidR="00935778" w:rsidRPr="006E0185">
        <w:rPr>
          <w:rFonts w:ascii="Times New Roman" w:hAnsi="Times New Roman"/>
          <w:sz w:val="24"/>
          <w:szCs w:val="24"/>
        </w:rPr>
        <w:t xml:space="preserve"> –</w:t>
      </w:r>
      <w:r w:rsidRPr="006E0185">
        <w:rPr>
          <w:rFonts w:ascii="Times New Roman" w:hAnsi="Times New Roman"/>
          <w:sz w:val="24"/>
          <w:szCs w:val="24"/>
        </w:rPr>
        <w:t xml:space="preserve"> ištirti</w:t>
      </w:r>
      <w:r w:rsidR="00935778" w:rsidRPr="006E0185">
        <w:rPr>
          <w:rFonts w:ascii="Times New Roman" w:hAnsi="Times New Roman"/>
          <w:sz w:val="24"/>
          <w:szCs w:val="24"/>
        </w:rPr>
        <w:t xml:space="preserve"> </w:t>
      </w:r>
      <w:r w:rsidRPr="006E0185">
        <w:rPr>
          <w:rFonts w:ascii="Times New Roman" w:hAnsi="Times New Roman"/>
          <w:sz w:val="24"/>
          <w:szCs w:val="24"/>
        </w:rPr>
        <w:t>pagrindinius veiksnius</w:t>
      </w:r>
      <w:r w:rsidR="00935778" w:rsidRPr="006E0185">
        <w:rPr>
          <w:rFonts w:ascii="Times New Roman" w:hAnsi="Times New Roman"/>
          <w:sz w:val="24"/>
          <w:szCs w:val="24"/>
        </w:rPr>
        <w:t>,</w:t>
      </w:r>
      <w:r w:rsidRPr="006E0185">
        <w:rPr>
          <w:rFonts w:ascii="Times New Roman" w:hAnsi="Times New Roman"/>
          <w:sz w:val="24"/>
          <w:szCs w:val="24"/>
        </w:rPr>
        <w:t xml:space="preserve"> ribojančius efektyvų likvidumo valdymą. </w:t>
      </w:r>
      <w:proofErr w:type="spellStart"/>
      <w:proofErr w:type="gramStart"/>
      <w:r w:rsidR="006D78B0" w:rsidRPr="006E0185">
        <w:rPr>
          <w:rFonts w:ascii="Times New Roman" w:hAnsi="Times New Roman"/>
          <w:sz w:val="24"/>
          <w:szCs w:val="24"/>
          <w:lang w:val="en-US"/>
        </w:rPr>
        <w:t>Išanalizavęs</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mokslinę</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literatūrą</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autorius</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išskyrė</w:t>
      </w:r>
      <w:proofErr w:type="spellEnd"/>
      <w:r w:rsidR="006D78B0" w:rsidRPr="006E0185">
        <w:rPr>
          <w:rFonts w:ascii="Times New Roman" w:hAnsi="Times New Roman"/>
          <w:sz w:val="24"/>
          <w:szCs w:val="24"/>
          <w:lang w:val="en-US"/>
        </w:rPr>
        <w:t xml:space="preserve"> 7 </w:t>
      </w:r>
      <w:proofErr w:type="spellStart"/>
      <w:r w:rsidR="006D78B0" w:rsidRPr="006E0185">
        <w:rPr>
          <w:rFonts w:ascii="Times New Roman" w:hAnsi="Times New Roman"/>
          <w:sz w:val="24"/>
          <w:szCs w:val="24"/>
          <w:lang w:val="en-US"/>
        </w:rPr>
        <w:t>pagrindinius</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veiksnius</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kurie</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riboja</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likvidumo</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lastRenderedPageBreak/>
        <w:t>valdymo</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efektyvumą</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bendrame</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ekonominiame</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kontekste</w:t>
      </w:r>
      <w:proofErr w:type="spellEnd"/>
      <w:r w:rsidR="006D78B0" w:rsidRPr="006E0185">
        <w:rPr>
          <w:rFonts w:ascii="Times New Roman" w:hAnsi="Times New Roman"/>
          <w:sz w:val="24"/>
          <w:szCs w:val="24"/>
          <w:lang w:val="en-US"/>
        </w:rPr>
        <w:t xml:space="preserve"> (</w:t>
      </w:r>
      <w:proofErr w:type="spellStart"/>
      <w:r w:rsidR="00935778" w:rsidRPr="006E0185">
        <w:rPr>
          <w:rFonts w:ascii="Times New Roman" w:hAnsi="Times New Roman"/>
          <w:sz w:val="24"/>
          <w:szCs w:val="24"/>
          <w:lang w:val="en-US"/>
        </w:rPr>
        <w:t>žr</w:t>
      </w:r>
      <w:proofErr w:type="spellEnd"/>
      <w:r w:rsidR="00935778" w:rsidRPr="006E0185">
        <w:rPr>
          <w:rFonts w:ascii="Times New Roman" w:hAnsi="Times New Roman"/>
          <w:sz w:val="24"/>
          <w:szCs w:val="24"/>
          <w:lang w:val="en-US"/>
        </w:rPr>
        <w:t xml:space="preserve">. </w:t>
      </w:r>
      <w:r w:rsidR="006D78B0" w:rsidRPr="006E0185">
        <w:rPr>
          <w:rFonts w:ascii="Times New Roman" w:hAnsi="Times New Roman"/>
          <w:sz w:val="24"/>
          <w:szCs w:val="24"/>
          <w:lang w:val="en-US"/>
        </w:rPr>
        <w:t>10 lent.).</w:t>
      </w:r>
      <w:proofErr w:type="gram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Šiuos</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veiksnius</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galima</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suskirstyti</w:t>
      </w:r>
      <w:proofErr w:type="spellEnd"/>
      <w:r w:rsidR="006D78B0" w:rsidRPr="006E0185">
        <w:rPr>
          <w:rFonts w:ascii="Times New Roman" w:hAnsi="Times New Roman"/>
          <w:sz w:val="24"/>
          <w:szCs w:val="24"/>
          <w:lang w:val="en-US"/>
        </w:rPr>
        <w:t xml:space="preserve"> į </w:t>
      </w:r>
      <w:proofErr w:type="gramStart"/>
      <w:r w:rsidR="006D78B0" w:rsidRPr="006E0185">
        <w:rPr>
          <w:rFonts w:ascii="Times New Roman" w:hAnsi="Times New Roman"/>
          <w:sz w:val="24"/>
          <w:szCs w:val="24"/>
          <w:lang w:val="en-US"/>
        </w:rPr>
        <w:t>dvi</w:t>
      </w:r>
      <w:proofErr w:type="gram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kategorijas</w:t>
      </w:r>
      <w:proofErr w:type="spellEnd"/>
      <w:r w:rsidR="006D78B0" w:rsidRPr="006E0185">
        <w:rPr>
          <w:rFonts w:ascii="Times New Roman" w:hAnsi="Times New Roman"/>
          <w:sz w:val="24"/>
          <w:szCs w:val="24"/>
          <w:lang w:val="en-US"/>
        </w:rPr>
        <w:t xml:space="preserve">: tai </w:t>
      </w:r>
      <w:proofErr w:type="spellStart"/>
      <w:r w:rsidR="006D78B0" w:rsidRPr="006E0185">
        <w:rPr>
          <w:rFonts w:ascii="Times New Roman" w:hAnsi="Times New Roman"/>
          <w:sz w:val="24"/>
          <w:szCs w:val="24"/>
          <w:lang w:val="en-US"/>
        </w:rPr>
        <w:t>yra</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veiksniai</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nepriklausantys</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nuo</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įmonės</w:t>
      </w:r>
      <w:proofErr w:type="spellEnd"/>
      <w:r w:rsidR="00935778" w:rsidRPr="006E0185">
        <w:rPr>
          <w:rFonts w:ascii="Times New Roman" w:hAnsi="Times New Roman"/>
          <w:sz w:val="24"/>
          <w:szCs w:val="24"/>
          <w:lang w:val="en-US"/>
        </w:rPr>
        <w:t>,</w:t>
      </w:r>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ir</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veiksniai</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kuriuos</w:t>
      </w:r>
      <w:proofErr w:type="spellEnd"/>
      <w:r w:rsidR="006D78B0"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įmonės</w:t>
      </w:r>
      <w:proofErr w:type="spellEnd"/>
      <w:r w:rsidR="00113DDC"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gali</w:t>
      </w:r>
      <w:proofErr w:type="spellEnd"/>
      <w:r w:rsidR="00113DDC"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valdyti</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Veiksniai</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išsskirti</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remiantis</w:t>
      </w:r>
      <w:proofErr w:type="spellEnd"/>
      <w:r w:rsidR="006D78B0" w:rsidRPr="006E0185">
        <w:rPr>
          <w:rFonts w:ascii="Times New Roman" w:hAnsi="Times New Roman"/>
          <w:sz w:val="24"/>
          <w:szCs w:val="24"/>
          <w:lang w:val="en-US"/>
        </w:rPr>
        <w:t xml:space="preserve"> Kirkham</w:t>
      </w:r>
      <w:r w:rsidR="00113DDC" w:rsidRPr="006E0185">
        <w:rPr>
          <w:rFonts w:ascii="Times New Roman" w:hAnsi="Times New Roman"/>
          <w:sz w:val="24"/>
          <w:szCs w:val="24"/>
          <w:lang w:val="en-US"/>
        </w:rPr>
        <w:t>, 2012</w:t>
      </w:r>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Bolek</w:t>
      </w:r>
      <w:proofErr w:type="spellEnd"/>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Wolski</w:t>
      </w:r>
      <w:proofErr w:type="spellEnd"/>
      <w:r w:rsidR="00113DDC" w:rsidRPr="006E0185">
        <w:rPr>
          <w:rFonts w:ascii="Times New Roman" w:hAnsi="Times New Roman"/>
          <w:sz w:val="24"/>
          <w:szCs w:val="24"/>
          <w:lang w:val="en-US"/>
        </w:rPr>
        <w:t>, 2012</w:t>
      </w:r>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Alexandru</w:t>
      </w:r>
      <w:proofErr w:type="spellEnd"/>
      <w:r w:rsidR="00113DDC" w:rsidRPr="006E0185">
        <w:rPr>
          <w:rFonts w:ascii="Times New Roman" w:hAnsi="Times New Roman"/>
          <w:sz w:val="24"/>
          <w:szCs w:val="24"/>
          <w:lang w:val="en-US"/>
        </w:rPr>
        <w:t>, 2008</w:t>
      </w:r>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Gamb</w:t>
      </w:r>
      <w:r w:rsidR="00113DDC" w:rsidRPr="006E0185">
        <w:rPr>
          <w:rFonts w:ascii="Times New Roman" w:hAnsi="Times New Roman"/>
          <w:sz w:val="24"/>
          <w:szCs w:val="24"/>
          <w:lang w:val="en-US"/>
        </w:rPr>
        <w:t>a</w:t>
      </w:r>
      <w:proofErr w:type="spellEnd"/>
      <w:r w:rsidR="006D78B0" w:rsidRPr="006E0185">
        <w:rPr>
          <w:rFonts w:ascii="Times New Roman" w:hAnsi="Times New Roman"/>
          <w:sz w:val="24"/>
          <w:szCs w:val="24"/>
          <w:lang w:val="en-US"/>
        </w:rPr>
        <w:t>, Triantis</w:t>
      </w:r>
      <w:r w:rsidR="00113DDC" w:rsidRPr="006E0185">
        <w:rPr>
          <w:rFonts w:ascii="Times New Roman" w:hAnsi="Times New Roman"/>
          <w:sz w:val="24"/>
          <w:szCs w:val="24"/>
          <w:lang w:val="en-US"/>
        </w:rPr>
        <w:t>, 2008</w:t>
      </w:r>
      <w:r w:rsidR="006D78B0" w:rsidRPr="006E0185">
        <w:rPr>
          <w:rFonts w:ascii="Times New Roman" w:hAnsi="Times New Roman"/>
          <w:sz w:val="24"/>
          <w:szCs w:val="24"/>
          <w:lang w:val="en-US"/>
        </w:rPr>
        <w:t>; Huff, Harper</w:t>
      </w:r>
      <w:r w:rsidR="00113DDC" w:rsidRPr="006E0185">
        <w:rPr>
          <w:rFonts w:ascii="Times New Roman" w:hAnsi="Times New Roman"/>
          <w:sz w:val="24"/>
          <w:szCs w:val="24"/>
          <w:lang w:val="en-US"/>
        </w:rPr>
        <w:t>, 1999</w:t>
      </w:r>
      <w:r w:rsidR="006D78B0" w:rsidRPr="006E0185">
        <w:rPr>
          <w:rFonts w:ascii="Times New Roman" w:hAnsi="Times New Roman"/>
          <w:sz w:val="24"/>
          <w:szCs w:val="24"/>
          <w:lang w:val="en-US"/>
        </w:rPr>
        <w:t xml:space="preserve"> </w:t>
      </w:r>
      <w:proofErr w:type="spellStart"/>
      <w:r w:rsidR="006D78B0" w:rsidRPr="006E0185">
        <w:rPr>
          <w:rFonts w:ascii="Times New Roman" w:hAnsi="Times New Roman"/>
          <w:sz w:val="24"/>
          <w:szCs w:val="24"/>
          <w:lang w:val="en-US"/>
        </w:rPr>
        <w:t>ir</w:t>
      </w:r>
      <w:proofErr w:type="spellEnd"/>
      <w:r w:rsidR="006D78B0" w:rsidRPr="006E0185">
        <w:rPr>
          <w:rFonts w:ascii="Times New Roman" w:hAnsi="Times New Roman"/>
          <w:sz w:val="24"/>
          <w:szCs w:val="24"/>
          <w:lang w:val="en-US"/>
        </w:rPr>
        <w:t xml:space="preserve"> kt.</w:t>
      </w:r>
      <w:r w:rsidR="00113DDC"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atliktais</w:t>
      </w:r>
      <w:proofErr w:type="spellEnd"/>
      <w:r w:rsidR="00113DDC"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tyrimais</w:t>
      </w:r>
      <w:proofErr w:type="spellEnd"/>
      <w:r w:rsidR="00113DDC"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bei</w:t>
      </w:r>
      <w:proofErr w:type="spellEnd"/>
      <w:r w:rsidR="00113DDC"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moksliniais</w:t>
      </w:r>
      <w:proofErr w:type="spellEnd"/>
      <w:r w:rsidR="00113DDC" w:rsidRPr="006E0185">
        <w:rPr>
          <w:rFonts w:ascii="Times New Roman" w:hAnsi="Times New Roman"/>
          <w:sz w:val="24"/>
          <w:szCs w:val="24"/>
          <w:lang w:val="en-US"/>
        </w:rPr>
        <w:t xml:space="preserve"> </w:t>
      </w:r>
      <w:proofErr w:type="spellStart"/>
      <w:r w:rsidR="00113DDC" w:rsidRPr="006E0185">
        <w:rPr>
          <w:rFonts w:ascii="Times New Roman" w:hAnsi="Times New Roman"/>
          <w:sz w:val="24"/>
          <w:szCs w:val="24"/>
          <w:lang w:val="en-US"/>
        </w:rPr>
        <w:t>straipsniais</w:t>
      </w:r>
      <w:proofErr w:type="spellEnd"/>
      <w:r w:rsidR="00113DDC" w:rsidRPr="006E0185">
        <w:rPr>
          <w:rFonts w:ascii="Times New Roman" w:hAnsi="Times New Roman"/>
          <w:sz w:val="24"/>
          <w:szCs w:val="24"/>
          <w:lang w:val="en-US"/>
        </w:rPr>
        <w:t>.</w:t>
      </w:r>
    </w:p>
    <w:p w14:paraId="168BD03A" w14:textId="77777777" w:rsidR="006D78B0" w:rsidRPr="006E0185" w:rsidRDefault="006D78B0" w:rsidP="006D78B0">
      <w:pPr>
        <w:tabs>
          <w:tab w:val="left" w:pos="8895"/>
        </w:tabs>
        <w:spacing w:after="0" w:line="360" w:lineRule="auto"/>
        <w:rPr>
          <w:rFonts w:ascii="Times New Roman" w:hAnsi="Times New Roman"/>
          <w:b/>
          <w:sz w:val="24"/>
          <w:szCs w:val="24"/>
          <w:lang w:val="en-US"/>
        </w:rPr>
      </w:pPr>
    </w:p>
    <w:p w14:paraId="0CBFFD04" w14:textId="77777777" w:rsidR="006D78B0" w:rsidRPr="00BF37B9" w:rsidRDefault="006D78B0" w:rsidP="00BF37B9">
      <w:pPr>
        <w:pStyle w:val="1ant"/>
        <w:rPr>
          <w:sz w:val="24"/>
          <w:szCs w:val="24"/>
        </w:rPr>
      </w:pPr>
      <w:bookmarkStart w:id="129" w:name="_Toc227595967"/>
      <w:r w:rsidRPr="00BF37B9">
        <w:rPr>
          <w:sz w:val="24"/>
          <w:szCs w:val="24"/>
          <w:lang w:val="en-US"/>
        </w:rPr>
        <w:t xml:space="preserve">10 </w:t>
      </w:r>
      <w:proofErr w:type="spellStart"/>
      <w:r w:rsidRPr="00BF37B9">
        <w:rPr>
          <w:sz w:val="24"/>
          <w:szCs w:val="24"/>
          <w:lang w:val="en-US"/>
        </w:rPr>
        <w:t>lentel</w:t>
      </w:r>
      <w:proofErr w:type="spellEnd"/>
      <w:r w:rsidRPr="00BF37B9">
        <w:rPr>
          <w:sz w:val="24"/>
          <w:szCs w:val="24"/>
        </w:rPr>
        <w:t>ė. Veiksniai ribojantys likvidumo valdymo efektyvumą</w:t>
      </w:r>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8142"/>
      </w:tblGrid>
      <w:tr w:rsidR="006D78B0" w:rsidRPr="003E5890" w14:paraId="210DC940" w14:textId="77777777" w:rsidTr="00C80ABF">
        <w:trPr>
          <w:trHeight w:val="274"/>
        </w:trPr>
        <w:tc>
          <w:tcPr>
            <w:tcW w:w="1889" w:type="dxa"/>
          </w:tcPr>
          <w:p w14:paraId="3C5A41EB" w14:textId="77777777" w:rsidR="006D78B0" w:rsidRPr="00C73E37" w:rsidRDefault="006D78B0" w:rsidP="00895405">
            <w:pPr>
              <w:spacing w:after="0" w:line="240" w:lineRule="auto"/>
              <w:rPr>
                <w:rFonts w:ascii="Times New Roman" w:hAnsi="Times New Roman"/>
                <w:sz w:val="20"/>
                <w:szCs w:val="20"/>
              </w:rPr>
            </w:pPr>
            <w:r w:rsidRPr="00C73E37">
              <w:rPr>
                <w:rFonts w:ascii="Times New Roman" w:hAnsi="Times New Roman"/>
                <w:sz w:val="20"/>
                <w:szCs w:val="20"/>
              </w:rPr>
              <w:t>Veiksniai</w:t>
            </w:r>
          </w:p>
        </w:tc>
        <w:tc>
          <w:tcPr>
            <w:tcW w:w="8142" w:type="dxa"/>
          </w:tcPr>
          <w:p w14:paraId="6D9FA870" w14:textId="77777777" w:rsidR="006D78B0" w:rsidRPr="00C73E37" w:rsidRDefault="006D78B0" w:rsidP="00895405">
            <w:pPr>
              <w:spacing w:after="0" w:line="240" w:lineRule="auto"/>
              <w:jc w:val="both"/>
              <w:rPr>
                <w:rFonts w:ascii="Times New Roman" w:hAnsi="Times New Roman"/>
                <w:sz w:val="20"/>
                <w:szCs w:val="20"/>
              </w:rPr>
            </w:pPr>
            <w:r w:rsidRPr="00C73E37">
              <w:rPr>
                <w:rFonts w:ascii="Times New Roman" w:hAnsi="Times New Roman"/>
                <w:sz w:val="20"/>
                <w:szCs w:val="20"/>
              </w:rPr>
              <w:t>Esminiai požymiai</w:t>
            </w:r>
          </w:p>
        </w:tc>
      </w:tr>
      <w:tr w:rsidR="006D78B0" w:rsidRPr="003E5890" w14:paraId="406EE543" w14:textId="77777777" w:rsidTr="00C80ABF">
        <w:tc>
          <w:tcPr>
            <w:tcW w:w="1889" w:type="dxa"/>
          </w:tcPr>
          <w:p w14:paraId="28EE59C5" w14:textId="77777777" w:rsidR="006D78B0" w:rsidRPr="00C73E37" w:rsidRDefault="006D78B0" w:rsidP="00895405">
            <w:pPr>
              <w:spacing w:after="0"/>
              <w:rPr>
                <w:rFonts w:ascii="Times New Roman" w:hAnsi="Times New Roman"/>
                <w:sz w:val="20"/>
                <w:szCs w:val="20"/>
              </w:rPr>
            </w:pPr>
            <w:r w:rsidRPr="00C73E37">
              <w:rPr>
                <w:rFonts w:ascii="Times New Roman" w:hAnsi="Times New Roman"/>
                <w:sz w:val="20"/>
                <w:szCs w:val="20"/>
              </w:rPr>
              <w:t>Pramonės šaka</w:t>
            </w:r>
          </w:p>
        </w:tc>
        <w:tc>
          <w:tcPr>
            <w:tcW w:w="8142" w:type="dxa"/>
          </w:tcPr>
          <w:p w14:paraId="5AF692E9" w14:textId="77777777" w:rsidR="006D78B0" w:rsidRPr="00C73E37" w:rsidRDefault="006D78B0" w:rsidP="00895405">
            <w:pPr>
              <w:spacing w:after="0"/>
              <w:jc w:val="both"/>
              <w:rPr>
                <w:rFonts w:ascii="Times New Roman" w:hAnsi="Times New Roman"/>
                <w:sz w:val="20"/>
                <w:szCs w:val="20"/>
              </w:rPr>
            </w:pPr>
            <w:r w:rsidRPr="00C73E37">
              <w:rPr>
                <w:rFonts w:ascii="Times New Roman" w:hAnsi="Times New Roman"/>
                <w:sz w:val="20"/>
                <w:szCs w:val="20"/>
              </w:rPr>
              <w:t>Skirtingose pramonės šakose skirtingos</w:t>
            </w:r>
            <w:r w:rsidR="00935778" w:rsidRPr="00C73E37">
              <w:rPr>
                <w:rFonts w:ascii="Times New Roman" w:hAnsi="Times New Roman"/>
                <w:sz w:val="20"/>
                <w:szCs w:val="20"/>
              </w:rPr>
              <w:t xml:space="preserve"> ir</w:t>
            </w:r>
            <w:r w:rsidRPr="00C73E37">
              <w:rPr>
                <w:rFonts w:ascii="Times New Roman" w:hAnsi="Times New Roman"/>
                <w:sz w:val="20"/>
                <w:szCs w:val="20"/>
              </w:rPr>
              <w:t xml:space="preserve"> likvidumo rodiklių reikšmės. Priklausomai nuo verslo specifikos, kai kuriuose sektoriuose sudėtinga arba neįmanoma pasiekti ir išlaikyti aukštų likvidumo rodiklių nepriklausomai nuo veiklos pobūdžio.</w:t>
            </w:r>
          </w:p>
        </w:tc>
      </w:tr>
      <w:tr w:rsidR="006D78B0" w:rsidRPr="003E5890" w14:paraId="147B61BE" w14:textId="77777777" w:rsidTr="00C73E37">
        <w:trPr>
          <w:trHeight w:val="252"/>
        </w:trPr>
        <w:tc>
          <w:tcPr>
            <w:tcW w:w="1889" w:type="dxa"/>
          </w:tcPr>
          <w:p w14:paraId="795E1567" w14:textId="77777777" w:rsidR="006D78B0" w:rsidRPr="00C73E37" w:rsidRDefault="006D78B0" w:rsidP="00895405">
            <w:pPr>
              <w:spacing w:after="0"/>
              <w:rPr>
                <w:rFonts w:ascii="Times New Roman" w:hAnsi="Times New Roman"/>
                <w:sz w:val="20"/>
                <w:szCs w:val="20"/>
              </w:rPr>
            </w:pPr>
            <w:r w:rsidRPr="00C73E37">
              <w:rPr>
                <w:rFonts w:ascii="Times New Roman" w:hAnsi="Times New Roman"/>
                <w:sz w:val="20"/>
                <w:szCs w:val="20"/>
              </w:rPr>
              <w:t>Įmonės dydis</w:t>
            </w:r>
          </w:p>
        </w:tc>
        <w:tc>
          <w:tcPr>
            <w:tcW w:w="8142" w:type="dxa"/>
          </w:tcPr>
          <w:p w14:paraId="2967F6FF" w14:textId="77777777" w:rsidR="006D78B0" w:rsidRPr="00C73E37" w:rsidRDefault="006E0185" w:rsidP="00895405">
            <w:pPr>
              <w:autoSpaceDE w:val="0"/>
              <w:autoSpaceDN w:val="0"/>
              <w:adjustRightInd w:val="0"/>
              <w:spacing w:after="0"/>
              <w:jc w:val="both"/>
              <w:rPr>
                <w:rFonts w:ascii="Times New Roman" w:hAnsi="Times New Roman"/>
                <w:sz w:val="20"/>
                <w:szCs w:val="20"/>
              </w:rPr>
            </w:pPr>
            <w:r w:rsidRPr="00C73E37">
              <w:rPr>
                <w:rFonts w:ascii="Times New Roman" w:hAnsi="Times New Roman"/>
                <w:sz w:val="20"/>
                <w:szCs w:val="20"/>
              </w:rPr>
              <w:t>Įmonės dydis yra svarbus faktorius finansiniams rezultatams valdyti ir gerinti.</w:t>
            </w:r>
          </w:p>
        </w:tc>
      </w:tr>
      <w:tr w:rsidR="006D78B0" w:rsidRPr="003E5890" w14:paraId="40C67183" w14:textId="77777777" w:rsidTr="00C80ABF">
        <w:tc>
          <w:tcPr>
            <w:tcW w:w="1889" w:type="dxa"/>
          </w:tcPr>
          <w:p w14:paraId="5C6165FA" w14:textId="77777777" w:rsidR="006D78B0" w:rsidRPr="00C73E37" w:rsidRDefault="006D78B0" w:rsidP="00895405">
            <w:pPr>
              <w:spacing w:after="0"/>
              <w:rPr>
                <w:rFonts w:ascii="Times New Roman" w:hAnsi="Times New Roman"/>
                <w:sz w:val="20"/>
                <w:szCs w:val="20"/>
              </w:rPr>
            </w:pPr>
            <w:r w:rsidRPr="00C73E37">
              <w:rPr>
                <w:rFonts w:ascii="Times New Roman" w:hAnsi="Times New Roman"/>
                <w:sz w:val="20"/>
                <w:szCs w:val="20"/>
              </w:rPr>
              <w:t>Ekonominė padėtis</w:t>
            </w:r>
          </w:p>
        </w:tc>
        <w:tc>
          <w:tcPr>
            <w:tcW w:w="8142" w:type="dxa"/>
          </w:tcPr>
          <w:p w14:paraId="1F920B41" w14:textId="77777777" w:rsidR="006D78B0" w:rsidRPr="00C73E37" w:rsidRDefault="006D78B0" w:rsidP="00895405">
            <w:pPr>
              <w:autoSpaceDE w:val="0"/>
              <w:autoSpaceDN w:val="0"/>
              <w:adjustRightInd w:val="0"/>
              <w:spacing w:after="0"/>
              <w:jc w:val="both"/>
              <w:rPr>
                <w:rFonts w:ascii="Times New Roman" w:hAnsi="Times New Roman"/>
                <w:sz w:val="20"/>
                <w:szCs w:val="20"/>
              </w:rPr>
            </w:pPr>
            <w:r w:rsidRPr="00C73E37">
              <w:rPr>
                <w:rFonts w:ascii="Times New Roman" w:hAnsi="Times New Roman"/>
                <w:sz w:val="20"/>
                <w:szCs w:val="20"/>
              </w:rPr>
              <w:t>Dėl staigaus ekonominės aplinkos pasikeitimo įmonėms dažnai iškyla problemų. Finansinės krizės, valdžios organų priimti nepalankūs sprendimai įtakoja tiek kapitalo kainas, tiek pirkėjų ir partnerių mokumą, tiek paklausą. Visa tai yra reikšminga likvidumo valdymui.</w:t>
            </w:r>
          </w:p>
        </w:tc>
      </w:tr>
      <w:tr w:rsidR="006D78B0" w:rsidRPr="003E5890" w14:paraId="573E57E7" w14:textId="77777777" w:rsidTr="00C80ABF">
        <w:tc>
          <w:tcPr>
            <w:tcW w:w="1889" w:type="dxa"/>
          </w:tcPr>
          <w:p w14:paraId="17FD9193" w14:textId="77777777" w:rsidR="006D78B0" w:rsidRPr="00C73E37" w:rsidRDefault="006D78B0" w:rsidP="00895405">
            <w:pPr>
              <w:spacing w:after="0"/>
              <w:rPr>
                <w:rFonts w:ascii="Times New Roman" w:hAnsi="Times New Roman"/>
                <w:sz w:val="20"/>
                <w:szCs w:val="20"/>
              </w:rPr>
            </w:pPr>
            <w:r w:rsidRPr="00C73E37">
              <w:rPr>
                <w:rFonts w:ascii="Times New Roman" w:hAnsi="Times New Roman"/>
                <w:sz w:val="20"/>
                <w:szCs w:val="20"/>
              </w:rPr>
              <w:t>Konkurencinė aplinka</w:t>
            </w:r>
          </w:p>
        </w:tc>
        <w:tc>
          <w:tcPr>
            <w:tcW w:w="8142" w:type="dxa"/>
          </w:tcPr>
          <w:p w14:paraId="75C665DA" w14:textId="77777777" w:rsidR="006D78B0" w:rsidRPr="00C73E37" w:rsidRDefault="006D78B0" w:rsidP="00895405">
            <w:pPr>
              <w:spacing w:after="0"/>
              <w:jc w:val="both"/>
              <w:rPr>
                <w:rFonts w:ascii="Times New Roman" w:hAnsi="Times New Roman"/>
                <w:sz w:val="20"/>
                <w:szCs w:val="20"/>
              </w:rPr>
            </w:pPr>
            <w:r w:rsidRPr="00C73E37">
              <w:rPr>
                <w:rFonts w:ascii="Times New Roman" w:hAnsi="Times New Roman"/>
                <w:sz w:val="20"/>
                <w:szCs w:val="20"/>
              </w:rPr>
              <w:t>Nesveika konkurencinė aplinka gali priversti įmones priiminėti ne visai teisingus sprendimus siekiant išsilaikyti rinkoje.</w:t>
            </w:r>
          </w:p>
        </w:tc>
      </w:tr>
      <w:tr w:rsidR="006D78B0" w:rsidRPr="003E5890" w14:paraId="5B0A5751" w14:textId="77777777" w:rsidTr="00C80ABF">
        <w:tc>
          <w:tcPr>
            <w:tcW w:w="1889" w:type="dxa"/>
          </w:tcPr>
          <w:p w14:paraId="0DBF0E90" w14:textId="77777777" w:rsidR="006D78B0" w:rsidRPr="00C73E37" w:rsidRDefault="006D78B0" w:rsidP="00895405">
            <w:pPr>
              <w:spacing w:after="0"/>
              <w:rPr>
                <w:rFonts w:ascii="Times New Roman" w:hAnsi="Times New Roman"/>
                <w:sz w:val="20"/>
                <w:szCs w:val="20"/>
              </w:rPr>
            </w:pPr>
            <w:r w:rsidRPr="00C73E37">
              <w:rPr>
                <w:rFonts w:ascii="Times New Roman" w:hAnsi="Times New Roman"/>
                <w:sz w:val="20"/>
                <w:szCs w:val="20"/>
              </w:rPr>
              <w:t>Neaiški vertinimo sistema</w:t>
            </w:r>
          </w:p>
        </w:tc>
        <w:tc>
          <w:tcPr>
            <w:tcW w:w="8142" w:type="dxa"/>
          </w:tcPr>
          <w:p w14:paraId="759E7563" w14:textId="77777777" w:rsidR="006D78B0" w:rsidRPr="00C73E37" w:rsidRDefault="006D78B0" w:rsidP="00895405">
            <w:pPr>
              <w:spacing w:after="0"/>
              <w:jc w:val="both"/>
              <w:rPr>
                <w:rFonts w:ascii="Times New Roman" w:hAnsi="Times New Roman"/>
                <w:sz w:val="20"/>
                <w:szCs w:val="20"/>
              </w:rPr>
            </w:pPr>
            <w:r w:rsidRPr="00C73E37">
              <w:rPr>
                <w:rFonts w:ascii="Times New Roman" w:hAnsi="Times New Roman"/>
                <w:sz w:val="20"/>
                <w:szCs w:val="20"/>
              </w:rPr>
              <w:t>Kadangi likvidumui matuoti egz</w:t>
            </w:r>
            <w:r w:rsidR="00935778" w:rsidRPr="00C73E37">
              <w:rPr>
                <w:rFonts w:ascii="Times New Roman" w:hAnsi="Times New Roman"/>
                <w:sz w:val="20"/>
                <w:szCs w:val="20"/>
              </w:rPr>
              <w:t xml:space="preserve">istuoja daugybė rodiklių, </w:t>
            </w:r>
            <w:r w:rsidRPr="00C73E37">
              <w:rPr>
                <w:rFonts w:ascii="Times New Roman" w:hAnsi="Times New Roman"/>
                <w:sz w:val="20"/>
                <w:szCs w:val="20"/>
              </w:rPr>
              <w:t>itin sunku pasirinkti tinkamus, kurie tiksliai ir teisingai a</w:t>
            </w:r>
            <w:r w:rsidR="00935778" w:rsidRPr="00C73E37">
              <w:rPr>
                <w:rFonts w:ascii="Times New Roman" w:hAnsi="Times New Roman"/>
                <w:sz w:val="20"/>
                <w:szCs w:val="20"/>
              </w:rPr>
              <w:t>tspindėtų</w:t>
            </w:r>
            <w:r w:rsidRPr="00C73E37">
              <w:rPr>
                <w:rFonts w:ascii="Times New Roman" w:hAnsi="Times New Roman"/>
                <w:sz w:val="20"/>
                <w:szCs w:val="20"/>
              </w:rPr>
              <w:t xml:space="preserve"> realią įmonės padėtį. Kiekviena įmonė turė</w:t>
            </w:r>
            <w:r w:rsidR="00935778" w:rsidRPr="00C73E37">
              <w:rPr>
                <w:rFonts w:ascii="Times New Roman" w:hAnsi="Times New Roman"/>
                <w:sz w:val="20"/>
                <w:szCs w:val="20"/>
              </w:rPr>
              <w:t>tų pasirinkti vertinimo sistemą</w:t>
            </w:r>
            <w:r w:rsidRPr="00C73E37">
              <w:rPr>
                <w:rFonts w:ascii="Times New Roman" w:hAnsi="Times New Roman"/>
                <w:sz w:val="20"/>
                <w:szCs w:val="20"/>
              </w:rPr>
              <w:t xml:space="preserve"> pagal savo veiklos specifiką, tačiau mokslinėje literatūroje nėra apibrėžta, kokiais tiksliai rodikliais reiktų remtis. Dažniausiai remiamasi tradiciniais likvidumo rodikliais, kurie ne visada atspindi esamą situaciją.</w:t>
            </w:r>
          </w:p>
        </w:tc>
      </w:tr>
      <w:tr w:rsidR="006D78B0" w:rsidRPr="003E5890" w14:paraId="02CA91BE" w14:textId="77777777" w:rsidTr="00C73E37">
        <w:trPr>
          <w:trHeight w:val="990"/>
        </w:trPr>
        <w:tc>
          <w:tcPr>
            <w:tcW w:w="1889" w:type="dxa"/>
          </w:tcPr>
          <w:p w14:paraId="36C49E1C" w14:textId="77777777" w:rsidR="006D78B0" w:rsidRPr="00C73E37" w:rsidRDefault="006D78B0" w:rsidP="00895405">
            <w:pPr>
              <w:spacing w:after="0"/>
              <w:rPr>
                <w:rFonts w:ascii="Times New Roman" w:hAnsi="Times New Roman"/>
                <w:sz w:val="20"/>
                <w:szCs w:val="20"/>
              </w:rPr>
            </w:pPr>
            <w:r w:rsidRPr="00C73E37">
              <w:rPr>
                <w:rFonts w:ascii="Times New Roman" w:hAnsi="Times New Roman"/>
                <w:sz w:val="20"/>
                <w:szCs w:val="20"/>
              </w:rPr>
              <w:t>Vadovų kompetencija</w:t>
            </w:r>
          </w:p>
        </w:tc>
        <w:tc>
          <w:tcPr>
            <w:tcW w:w="8142" w:type="dxa"/>
          </w:tcPr>
          <w:p w14:paraId="2FF2704A" w14:textId="77777777" w:rsidR="006D78B0" w:rsidRPr="00C73E37" w:rsidRDefault="00C73E37" w:rsidP="00C73E37">
            <w:pPr>
              <w:spacing w:after="0" w:line="240" w:lineRule="auto"/>
              <w:jc w:val="both"/>
              <w:rPr>
                <w:rFonts w:ascii="Times New Roman" w:eastAsia="Times New Roman" w:hAnsi="Times New Roman" w:cs="Times New Roman"/>
                <w:sz w:val="20"/>
                <w:szCs w:val="20"/>
                <w:lang w:eastAsia="lt-LT"/>
              </w:rPr>
            </w:pPr>
            <w:r w:rsidRPr="00C73E37">
              <w:rPr>
                <w:rFonts w:ascii="Times New Roman" w:eastAsia="Times New Roman" w:hAnsi="Times New Roman" w:cs="Times New Roman"/>
                <w:sz w:val="20"/>
                <w:szCs w:val="20"/>
                <w:lang w:eastAsia="lt-LT"/>
              </w:rPr>
              <w:t>Vadovo kompetencija yra daugialypė, tai ne tik profesinė, bet ir metodinė, socialinė kompetencija. Ji turi apimti daugybę teorinių ir praktinių žinių, įgūdžių turėjimą, sprendžiant susidariusias problemas, sugebėjimą dalintis patirtimi, bendradarbiaujant, ieškant informacijos,</w:t>
            </w:r>
            <w:r>
              <w:rPr>
                <w:rFonts w:ascii="Times New Roman" w:eastAsia="Times New Roman" w:hAnsi="Times New Roman" w:cs="Times New Roman"/>
                <w:sz w:val="20"/>
                <w:szCs w:val="20"/>
                <w:lang w:eastAsia="lt-LT"/>
              </w:rPr>
              <w:t xml:space="preserve"> </w:t>
            </w:r>
            <w:r w:rsidRPr="00C73E37">
              <w:rPr>
                <w:rFonts w:ascii="Times New Roman" w:eastAsia="Times New Roman" w:hAnsi="Times New Roman" w:cs="Times New Roman"/>
                <w:sz w:val="20"/>
                <w:szCs w:val="20"/>
                <w:lang w:eastAsia="lt-LT"/>
              </w:rPr>
              <w:t>analizuojant ir sisteminant,  strategiškai mąstant.</w:t>
            </w:r>
          </w:p>
        </w:tc>
      </w:tr>
      <w:tr w:rsidR="006D78B0" w:rsidRPr="003E5890" w14:paraId="428F55AA" w14:textId="77777777" w:rsidTr="00C80ABF">
        <w:tc>
          <w:tcPr>
            <w:tcW w:w="1889" w:type="dxa"/>
          </w:tcPr>
          <w:p w14:paraId="3045C4BF" w14:textId="77777777" w:rsidR="006D78B0" w:rsidRPr="00C73E37" w:rsidRDefault="006D78B0" w:rsidP="00895405">
            <w:pPr>
              <w:spacing w:after="0"/>
              <w:rPr>
                <w:rFonts w:ascii="Times New Roman" w:hAnsi="Times New Roman"/>
                <w:sz w:val="20"/>
                <w:szCs w:val="20"/>
              </w:rPr>
            </w:pPr>
            <w:r w:rsidRPr="00C73E37">
              <w:rPr>
                <w:rFonts w:ascii="Times New Roman" w:hAnsi="Times New Roman"/>
                <w:sz w:val="20"/>
                <w:szCs w:val="20"/>
              </w:rPr>
              <w:t>Įmonės politika</w:t>
            </w:r>
          </w:p>
        </w:tc>
        <w:tc>
          <w:tcPr>
            <w:tcW w:w="8142" w:type="dxa"/>
          </w:tcPr>
          <w:p w14:paraId="7F9998FE" w14:textId="77777777" w:rsidR="006D78B0" w:rsidRPr="00C73E37" w:rsidRDefault="006D78B0" w:rsidP="00895405">
            <w:pPr>
              <w:spacing w:after="0"/>
              <w:jc w:val="both"/>
              <w:rPr>
                <w:rFonts w:ascii="Times New Roman" w:hAnsi="Times New Roman"/>
                <w:sz w:val="20"/>
                <w:szCs w:val="20"/>
              </w:rPr>
            </w:pPr>
            <w:r w:rsidRPr="00C73E37">
              <w:rPr>
                <w:rFonts w:ascii="Times New Roman" w:hAnsi="Times New Roman"/>
                <w:sz w:val="20"/>
                <w:szCs w:val="20"/>
              </w:rPr>
              <w:t>Įmonės</w:t>
            </w:r>
            <w:r w:rsidR="00935778" w:rsidRPr="00C73E37">
              <w:rPr>
                <w:rFonts w:ascii="Times New Roman" w:hAnsi="Times New Roman"/>
                <w:sz w:val="20"/>
                <w:szCs w:val="20"/>
              </w:rPr>
              <w:t>,</w:t>
            </w:r>
            <w:r w:rsidRPr="00C73E37">
              <w:rPr>
                <w:rFonts w:ascii="Times New Roman" w:hAnsi="Times New Roman"/>
                <w:sz w:val="20"/>
                <w:szCs w:val="20"/>
              </w:rPr>
              <w:t xml:space="preserve"> priklausomai nuo jų siekių</w:t>
            </w:r>
            <w:r w:rsidR="00935778" w:rsidRPr="00C73E37">
              <w:rPr>
                <w:rFonts w:ascii="Times New Roman" w:hAnsi="Times New Roman"/>
                <w:sz w:val="20"/>
                <w:szCs w:val="20"/>
              </w:rPr>
              <w:t>,</w:t>
            </w:r>
            <w:r w:rsidRPr="00C73E37">
              <w:rPr>
                <w:rFonts w:ascii="Times New Roman" w:hAnsi="Times New Roman"/>
                <w:sz w:val="20"/>
                <w:szCs w:val="20"/>
              </w:rPr>
              <w:t xml:space="preserve"> pasirenka toleruotiną rizikos lygį. Tai įtakoja</w:t>
            </w:r>
            <w:r w:rsidR="00935778" w:rsidRPr="00C73E37">
              <w:rPr>
                <w:rFonts w:ascii="Times New Roman" w:hAnsi="Times New Roman"/>
                <w:sz w:val="20"/>
                <w:szCs w:val="20"/>
              </w:rPr>
              <w:t>,</w:t>
            </w:r>
            <w:r w:rsidRPr="00C73E37">
              <w:rPr>
                <w:rFonts w:ascii="Times New Roman" w:hAnsi="Times New Roman"/>
                <w:sz w:val="20"/>
                <w:szCs w:val="20"/>
              </w:rPr>
              <w:t xml:space="preserve"> ar įmonė daugiau dėmesio skiria pelningumui ir ne</w:t>
            </w:r>
            <w:r w:rsidR="00935778" w:rsidRPr="00C73E37">
              <w:rPr>
                <w:rFonts w:ascii="Times New Roman" w:hAnsi="Times New Roman"/>
                <w:sz w:val="20"/>
                <w:szCs w:val="20"/>
              </w:rPr>
              <w:t xml:space="preserve"> </w:t>
            </w:r>
            <w:r w:rsidRPr="00C73E37">
              <w:rPr>
                <w:rFonts w:ascii="Times New Roman" w:hAnsi="Times New Roman"/>
                <w:sz w:val="20"/>
                <w:szCs w:val="20"/>
              </w:rPr>
              <w:t>taip nuosekliai tiria kitas sritis, ar įmonė taiko subalansuotą politiką, kuomet visų tipų analizei skiriamas vienodas dėmesys.</w:t>
            </w:r>
          </w:p>
        </w:tc>
      </w:tr>
    </w:tbl>
    <w:p w14:paraId="0FD62B4F" w14:textId="77777777" w:rsidR="006D78B0" w:rsidRPr="003E5890" w:rsidRDefault="006D78B0" w:rsidP="00113DDC">
      <w:pPr>
        <w:spacing w:after="0" w:line="360" w:lineRule="auto"/>
        <w:rPr>
          <w:rFonts w:ascii="Times New Roman" w:hAnsi="Times New Roman"/>
          <w:color w:val="FF0000"/>
          <w:sz w:val="24"/>
          <w:szCs w:val="24"/>
        </w:rPr>
      </w:pPr>
    </w:p>
    <w:p w14:paraId="2648334B" w14:textId="77777777" w:rsidR="00262506" w:rsidRPr="00C73E37" w:rsidRDefault="00FA0A52" w:rsidP="00290BE4">
      <w:pPr>
        <w:tabs>
          <w:tab w:val="left" w:pos="2763"/>
        </w:tabs>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Tyrime apklausti septyni ekspertai. Šie ekspertai atrinkti įvertinant jų kompetenciją bei darbinės veiklos specifiką nagrinėjamos problemos atžvilgiu. </w:t>
      </w:r>
      <w:r w:rsidR="00113DDC" w:rsidRPr="00C73E37">
        <w:rPr>
          <w:rFonts w:ascii="Times New Roman" w:hAnsi="Times New Roman" w:cs="Times New Roman"/>
          <w:sz w:val="24"/>
          <w:szCs w:val="24"/>
        </w:rPr>
        <w:t>Autorius savo darbe ekspertinį vertinimą atlieka naudojant tiesioginio prioriteto vertinimo metodą. Tai reiškia, jog ekspertai iš p</w:t>
      </w:r>
      <w:r w:rsidR="00935778" w:rsidRPr="00C73E37">
        <w:rPr>
          <w:rFonts w:ascii="Times New Roman" w:hAnsi="Times New Roman" w:cs="Times New Roman"/>
          <w:sz w:val="24"/>
          <w:szCs w:val="24"/>
        </w:rPr>
        <w:t>ra</w:t>
      </w:r>
      <w:r w:rsidR="00113DDC" w:rsidRPr="00C73E37">
        <w:rPr>
          <w:rFonts w:ascii="Times New Roman" w:hAnsi="Times New Roman" w:cs="Times New Roman"/>
          <w:sz w:val="24"/>
          <w:szCs w:val="24"/>
        </w:rPr>
        <w:t>džių buvo supažindinti su tyrimo esme</w:t>
      </w:r>
      <w:r w:rsidR="00C80ABF" w:rsidRPr="00C73E37">
        <w:rPr>
          <w:rFonts w:ascii="Times New Roman" w:hAnsi="Times New Roman" w:cs="Times New Roman"/>
          <w:sz w:val="24"/>
          <w:szCs w:val="24"/>
        </w:rPr>
        <w:t xml:space="preserve"> bei medžiaga</w:t>
      </w:r>
      <w:r w:rsidR="00113DDC" w:rsidRPr="00C73E37">
        <w:rPr>
          <w:rFonts w:ascii="Times New Roman" w:hAnsi="Times New Roman" w:cs="Times New Roman"/>
          <w:sz w:val="24"/>
          <w:szCs w:val="24"/>
        </w:rPr>
        <w:t xml:space="preserve"> ir </w:t>
      </w:r>
      <w:r w:rsidR="00290BE4" w:rsidRPr="00C73E37">
        <w:rPr>
          <w:rFonts w:ascii="Times New Roman" w:hAnsi="Times New Roman" w:cs="Times New Roman"/>
          <w:sz w:val="24"/>
          <w:szCs w:val="24"/>
        </w:rPr>
        <w:t xml:space="preserve">po to </w:t>
      </w:r>
      <w:r w:rsidR="00113DDC" w:rsidRPr="00C73E37">
        <w:rPr>
          <w:rFonts w:ascii="Times New Roman" w:hAnsi="Times New Roman" w:cs="Times New Roman"/>
          <w:sz w:val="24"/>
          <w:szCs w:val="24"/>
        </w:rPr>
        <w:t xml:space="preserve">jiems buvo pateikti visi 7 veiksniai paprašant </w:t>
      </w:r>
      <w:r w:rsidR="00290BE4" w:rsidRPr="00C73E37">
        <w:rPr>
          <w:rFonts w:ascii="Times New Roman" w:hAnsi="Times New Roman" w:cs="Times New Roman"/>
          <w:sz w:val="24"/>
          <w:szCs w:val="24"/>
        </w:rPr>
        <w:t xml:space="preserve">suranguoti prioriteto tvarka nuo svarbiausio iki mažiausiai svarbaus. Apklausa vyko telefonu ir susitikimo metu. </w:t>
      </w:r>
      <w:r w:rsidR="00935778" w:rsidRPr="00C73E37">
        <w:rPr>
          <w:rFonts w:ascii="Times New Roman" w:hAnsi="Times New Roman"/>
          <w:sz w:val="24"/>
          <w:szCs w:val="24"/>
        </w:rPr>
        <w:t>Ekspertiniame vertini</w:t>
      </w:r>
      <w:r w:rsidR="00113DDC" w:rsidRPr="00C73E37">
        <w:rPr>
          <w:rFonts w:ascii="Times New Roman" w:hAnsi="Times New Roman"/>
          <w:sz w:val="24"/>
          <w:szCs w:val="24"/>
        </w:rPr>
        <w:t>me remtasi UAB „Rosvanta“, AB „City service“, UAB „Difera“</w:t>
      </w:r>
      <w:r w:rsidR="00C80ABF" w:rsidRPr="00C73E37">
        <w:rPr>
          <w:rFonts w:ascii="Times New Roman" w:hAnsi="Times New Roman"/>
          <w:sz w:val="24"/>
          <w:szCs w:val="24"/>
        </w:rPr>
        <w:t xml:space="preserve"> ir mokslo įstaigų dėstytojų</w:t>
      </w:r>
      <w:r w:rsidR="00113DDC" w:rsidRPr="00C73E37">
        <w:rPr>
          <w:rFonts w:ascii="Times New Roman" w:hAnsi="Times New Roman"/>
          <w:sz w:val="24"/>
          <w:szCs w:val="24"/>
        </w:rPr>
        <w:t xml:space="preserve"> (Mykolo Romerio universitetas, Vilniaus Gedimino technikos universitetas)</w:t>
      </w:r>
      <w:r w:rsidR="00C80ABF" w:rsidRPr="00C73E37">
        <w:rPr>
          <w:rFonts w:ascii="Times New Roman" w:hAnsi="Times New Roman"/>
          <w:sz w:val="24"/>
          <w:szCs w:val="24"/>
        </w:rPr>
        <w:t xml:space="preserve"> nuomone</w:t>
      </w:r>
      <w:r w:rsidR="00113DDC" w:rsidRPr="00C73E37">
        <w:rPr>
          <w:rFonts w:ascii="Times New Roman" w:hAnsi="Times New Roman"/>
          <w:sz w:val="24"/>
          <w:szCs w:val="24"/>
        </w:rPr>
        <w:t xml:space="preserve">. </w:t>
      </w:r>
      <w:r w:rsidRPr="00C73E37">
        <w:rPr>
          <w:rFonts w:ascii="Times New Roman" w:hAnsi="Times New Roman"/>
          <w:sz w:val="24"/>
          <w:szCs w:val="24"/>
        </w:rPr>
        <w:t>Remiantis ekspertų pareikšta nuomone sudaryta lentelė, kurioje suranguotos alternatyvos.</w:t>
      </w:r>
    </w:p>
    <w:p w14:paraId="3AE48390" w14:textId="77777777" w:rsidR="00C80ABF" w:rsidRDefault="00C80ABF" w:rsidP="00C80ABF">
      <w:pPr>
        <w:tabs>
          <w:tab w:val="left" w:pos="2763"/>
        </w:tabs>
        <w:spacing w:after="0" w:line="360" w:lineRule="auto"/>
        <w:ind w:firstLine="567"/>
        <w:jc w:val="both"/>
        <w:rPr>
          <w:rFonts w:ascii="Times New Roman" w:hAnsi="Times New Roman" w:cs="Times New Roman"/>
          <w:color w:val="FF0000"/>
          <w:sz w:val="24"/>
          <w:szCs w:val="24"/>
        </w:rPr>
      </w:pPr>
    </w:p>
    <w:p w14:paraId="6B97F171" w14:textId="77777777" w:rsidR="00C73E37" w:rsidRDefault="00C73E37" w:rsidP="00C80ABF">
      <w:pPr>
        <w:tabs>
          <w:tab w:val="left" w:pos="2763"/>
        </w:tabs>
        <w:spacing w:after="0" w:line="360" w:lineRule="auto"/>
        <w:ind w:firstLine="567"/>
        <w:jc w:val="both"/>
        <w:rPr>
          <w:rFonts w:ascii="Times New Roman" w:hAnsi="Times New Roman" w:cs="Times New Roman"/>
          <w:color w:val="FF0000"/>
          <w:sz w:val="24"/>
          <w:szCs w:val="24"/>
        </w:rPr>
      </w:pPr>
    </w:p>
    <w:p w14:paraId="3F167CDA" w14:textId="77777777" w:rsidR="00C73E37" w:rsidRDefault="00C73E37" w:rsidP="00C80ABF">
      <w:pPr>
        <w:tabs>
          <w:tab w:val="left" w:pos="2763"/>
        </w:tabs>
        <w:spacing w:after="0" w:line="360" w:lineRule="auto"/>
        <w:ind w:firstLine="567"/>
        <w:jc w:val="both"/>
        <w:rPr>
          <w:rFonts w:ascii="Times New Roman" w:hAnsi="Times New Roman" w:cs="Times New Roman"/>
          <w:color w:val="FF0000"/>
          <w:sz w:val="24"/>
          <w:szCs w:val="24"/>
        </w:rPr>
      </w:pPr>
    </w:p>
    <w:p w14:paraId="5CC09A53" w14:textId="77777777" w:rsidR="00C73E37" w:rsidRDefault="00C73E37" w:rsidP="00C80ABF">
      <w:pPr>
        <w:tabs>
          <w:tab w:val="left" w:pos="2763"/>
        </w:tabs>
        <w:spacing w:after="0" w:line="360" w:lineRule="auto"/>
        <w:ind w:firstLine="567"/>
        <w:jc w:val="both"/>
        <w:rPr>
          <w:rFonts w:ascii="Times New Roman" w:hAnsi="Times New Roman" w:cs="Times New Roman"/>
          <w:color w:val="FF0000"/>
          <w:sz w:val="24"/>
          <w:szCs w:val="24"/>
        </w:rPr>
      </w:pPr>
    </w:p>
    <w:p w14:paraId="63ED47E7" w14:textId="77777777" w:rsidR="00C73E37" w:rsidRDefault="00C73E37" w:rsidP="00C80ABF">
      <w:pPr>
        <w:tabs>
          <w:tab w:val="left" w:pos="2763"/>
        </w:tabs>
        <w:spacing w:after="0" w:line="360" w:lineRule="auto"/>
        <w:ind w:firstLine="567"/>
        <w:jc w:val="both"/>
        <w:rPr>
          <w:rFonts w:ascii="Times New Roman" w:hAnsi="Times New Roman" w:cs="Times New Roman"/>
          <w:color w:val="FF0000"/>
          <w:sz w:val="24"/>
          <w:szCs w:val="24"/>
        </w:rPr>
      </w:pPr>
    </w:p>
    <w:p w14:paraId="20EC5C62" w14:textId="77777777" w:rsidR="00C73E37" w:rsidRPr="003E5890" w:rsidRDefault="00C73E37" w:rsidP="00C80ABF">
      <w:pPr>
        <w:tabs>
          <w:tab w:val="left" w:pos="2763"/>
        </w:tabs>
        <w:spacing w:after="0" w:line="360" w:lineRule="auto"/>
        <w:ind w:firstLine="567"/>
        <w:jc w:val="both"/>
        <w:rPr>
          <w:rFonts w:ascii="Times New Roman" w:hAnsi="Times New Roman" w:cs="Times New Roman"/>
          <w:color w:val="FF0000"/>
          <w:sz w:val="24"/>
          <w:szCs w:val="24"/>
        </w:rPr>
      </w:pPr>
    </w:p>
    <w:p w14:paraId="26A0F1EC" w14:textId="77777777" w:rsidR="00262506" w:rsidRPr="00BF37B9" w:rsidRDefault="00290BE4" w:rsidP="00BF37B9">
      <w:pPr>
        <w:pStyle w:val="1ant"/>
        <w:rPr>
          <w:sz w:val="24"/>
          <w:szCs w:val="24"/>
        </w:rPr>
      </w:pPr>
      <w:bookmarkStart w:id="130" w:name="_Toc227595968"/>
      <w:r w:rsidRPr="00BF37B9">
        <w:rPr>
          <w:sz w:val="24"/>
          <w:szCs w:val="24"/>
        </w:rPr>
        <w:lastRenderedPageBreak/>
        <w:t>11</w:t>
      </w:r>
      <w:r w:rsidR="00262506" w:rsidRPr="00BF37B9">
        <w:rPr>
          <w:sz w:val="24"/>
          <w:szCs w:val="24"/>
        </w:rPr>
        <w:t xml:space="preserve"> lentelė. Ekspert</w:t>
      </w:r>
      <w:r w:rsidRPr="00BF37B9">
        <w:rPr>
          <w:sz w:val="24"/>
          <w:szCs w:val="24"/>
        </w:rPr>
        <w:t>inio vertinimo anketa</w:t>
      </w:r>
      <w:bookmarkEnd w:id="130"/>
    </w:p>
    <w:tbl>
      <w:tblPr>
        <w:tblW w:w="990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080"/>
        <w:gridCol w:w="1188"/>
        <w:gridCol w:w="851"/>
        <w:gridCol w:w="1276"/>
        <w:gridCol w:w="1559"/>
        <w:gridCol w:w="1134"/>
        <w:gridCol w:w="1417"/>
        <w:gridCol w:w="1395"/>
      </w:tblGrid>
      <w:tr w:rsidR="00262506" w:rsidRPr="00C73E37" w14:paraId="54329547" w14:textId="77777777" w:rsidTr="00354FB2">
        <w:trPr>
          <w:trHeight w:val="464"/>
        </w:trPr>
        <w:tc>
          <w:tcPr>
            <w:tcW w:w="1080" w:type="dxa"/>
            <w:vMerge w:val="restart"/>
            <w:shd w:val="clear" w:color="auto" w:fill="auto"/>
            <w:vAlign w:val="center"/>
          </w:tcPr>
          <w:p w14:paraId="076DA7CE"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Ekspertas</w:t>
            </w:r>
          </w:p>
        </w:tc>
        <w:tc>
          <w:tcPr>
            <w:tcW w:w="8820" w:type="dxa"/>
            <w:gridSpan w:val="7"/>
            <w:shd w:val="clear" w:color="auto" w:fill="auto"/>
          </w:tcPr>
          <w:p w14:paraId="14CB3EBD" w14:textId="2E5FE35C" w:rsidR="00262506" w:rsidRPr="00C73E37" w:rsidRDefault="00262506" w:rsidP="00E612B9">
            <w:pPr>
              <w:spacing w:after="0" w:line="240" w:lineRule="auto"/>
              <w:jc w:val="center"/>
              <w:rPr>
                <w:rFonts w:ascii="Times New Roman" w:hAnsi="Times New Roman" w:cs="Times New Roman"/>
                <w:sz w:val="20"/>
                <w:szCs w:val="20"/>
              </w:rPr>
            </w:pPr>
            <w:r w:rsidRPr="00C73E37">
              <w:rPr>
                <w:rFonts w:ascii="Times New Roman" w:hAnsi="Times New Roman" w:cs="Times New Roman"/>
                <w:b/>
                <w:sz w:val="20"/>
                <w:szCs w:val="20"/>
              </w:rPr>
              <w:t xml:space="preserve">Pagrindiniai veiksniai įtakojantys </w:t>
            </w:r>
            <w:r w:rsidR="00E612B9">
              <w:rPr>
                <w:rFonts w:ascii="Times New Roman" w:hAnsi="Times New Roman" w:cs="Times New Roman"/>
                <w:b/>
                <w:sz w:val="20"/>
                <w:szCs w:val="20"/>
              </w:rPr>
              <w:t>likvidumo valdymo efektyvumą</w:t>
            </w:r>
          </w:p>
        </w:tc>
      </w:tr>
      <w:tr w:rsidR="00262506" w:rsidRPr="00C73E37" w14:paraId="4F81FBC4" w14:textId="77777777" w:rsidTr="00354FB2">
        <w:tc>
          <w:tcPr>
            <w:tcW w:w="1080" w:type="dxa"/>
            <w:vMerge/>
            <w:shd w:val="clear" w:color="auto" w:fill="auto"/>
            <w:vAlign w:val="center"/>
          </w:tcPr>
          <w:p w14:paraId="33959C9C" w14:textId="77777777" w:rsidR="00262506" w:rsidRPr="00C73E37" w:rsidRDefault="00262506" w:rsidP="00354FB2">
            <w:pPr>
              <w:spacing w:after="0" w:line="240" w:lineRule="auto"/>
              <w:jc w:val="center"/>
              <w:rPr>
                <w:rFonts w:ascii="Times New Roman" w:hAnsi="Times New Roman" w:cs="Times New Roman"/>
                <w:b/>
                <w:sz w:val="20"/>
                <w:szCs w:val="20"/>
              </w:rPr>
            </w:pPr>
          </w:p>
        </w:tc>
        <w:tc>
          <w:tcPr>
            <w:tcW w:w="1188" w:type="dxa"/>
            <w:shd w:val="clear" w:color="auto" w:fill="auto"/>
            <w:vAlign w:val="center"/>
          </w:tcPr>
          <w:p w14:paraId="0DA5E205" w14:textId="77777777" w:rsidR="00262506" w:rsidRPr="00C73E37" w:rsidRDefault="00262506" w:rsidP="00354FB2">
            <w:pPr>
              <w:spacing w:after="0" w:line="240" w:lineRule="auto"/>
              <w:jc w:val="center"/>
              <w:rPr>
                <w:rFonts w:ascii="Times New Roman" w:hAnsi="Times New Roman" w:cs="Times New Roman"/>
                <w:b/>
                <w:sz w:val="20"/>
                <w:szCs w:val="20"/>
                <w:vertAlign w:val="subscript"/>
              </w:rPr>
            </w:pPr>
            <w:r w:rsidRPr="00C73E37">
              <w:rPr>
                <w:rFonts w:ascii="Times New Roman" w:hAnsi="Times New Roman" w:cs="Times New Roman"/>
                <w:b/>
                <w:sz w:val="20"/>
                <w:szCs w:val="20"/>
              </w:rPr>
              <w:t>Pramonės šaka (V</w:t>
            </w:r>
            <w:r w:rsidRPr="00C73E37">
              <w:rPr>
                <w:rFonts w:ascii="Times New Roman" w:hAnsi="Times New Roman" w:cs="Times New Roman"/>
                <w:b/>
                <w:sz w:val="20"/>
                <w:szCs w:val="20"/>
                <w:vertAlign w:val="subscript"/>
              </w:rPr>
              <w:t>1</w:t>
            </w:r>
            <w:r w:rsidRPr="00C73E37">
              <w:rPr>
                <w:rFonts w:ascii="Times New Roman" w:hAnsi="Times New Roman" w:cs="Times New Roman"/>
                <w:b/>
                <w:sz w:val="20"/>
                <w:szCs w:val="20"/>
              </w:rPr>
              <w:t>)</w:t>
            </w:r>
          </w:p>
        </w:tc>
        <w:tc>
          <w:tcPr>
            <w:tcW w:w="851" w:type="dxa"/>
            <w:shd w:val="clear" w:color="auto" w:fill="auto"/>
            <w:vAlign w:val="center"/>
          </w:tcPr>
          <w:p w14:paraId="2FDC8906"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Įmonės dydis (V</w:t>
            </w:r>
            <w:r w:rsidRPr="00C73E37">
              <w:rPr>
                <w:rFonts w:ascii="Times New Roman" w:hAnsi="Times New Roman" w:cs="Times New Roman"/>
                <w:b/>
                <w:sz w:val="20"/>
                <w:szCs w:val="20"/>
                <w:vertAlign w:val="subscript"/>
              </w:rPr>
              <w:t>2</w:t>
            </w:r>
            <w:r w:rsidRPr="00C73E37">
              <w:rPr>
                <w:rFonts w:ascii="Times New Roman" w:hAnsi="Times New Roman" w:cs="Times New Roman"/>
                <w:b/>
                <w:sz w:val="20"/>
                <w:szCs w:val="20"/>
              </w:rPr>
              <w:t>)</w:t>
            </w:r>
          </w:p>
        </w:tc>
        <w:tc>
          <w:tcPr>
            <w:tcW w:w="1276" w:type="dxa"/>
            <w:shd w:val="clear" w:color="auto" w:fill="auto"/>
            <w:vAlign w:val="center"/>
          </w:tcPr>
          <w:p w14:paraId="3A816F4A"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Ekonominė padėtis (V</w:t>
            </w:r>
            <w:r w:rsidRPr="00C73E37">
              <w:rPr>
                <w:rFonts w:ascii="Times New Roman" w:hAnsi="Times New Roman" w:cs="Times New Roman"/>
                <w:b/>
                <w:sz w:val="20"/>
                <w:szCs w:val="20"/>
                <w:vertAlign w:val="subscript"/>
              </w:rPr>
              <w:t>3</w:t>
            </w:r>
            <w:r w:rsidRPr="00C73E37">
              <w:rPr>
                <w:rFonts w:ascii="Times New Roman" w:hAnsi="Times New Roman" w:cs="Times New Roman"/>
                <w:b/>
                <w:sz w:val="20"/>
                <w:szCs w:val="20"/>
              </w:rPr>
              <w:t>)</w:t>
            </w:r>
          </w:p>
        </w:tc>
        <w:tc>
          <w:tcPr>
            <w:tcW w:w="1559" w:type="dxa"/>
            <w:shd w:val="clear" w:color="auto" w:fill="auto"/>
            <w:vAlign w:val="center"/>
          </w:tcPr>
          <w:p w14:paraId="129747FF" w14:textId="77777777" w:rsidR="00262506" w:rsidRPr="00C73E37" w:rsidRDefault="00262506" w:rsidP="00354FB2">
            <w:pPr>
              <w:spacing w:after="0" w:line="240" w:lineRule="auto"/>
              <w:ind w:left="-3" w:right="-108"/>
              <w:jc w:val="center"/>
              <w:rPr>
                <w:rFonts w:ascii="Times New Roman" w:hAnsi="Times New Roman" w:cs="Times New Roman"/>
                <w:b/>
                <w:sz w:val="20"/>
                <w:szCs w:val="20"/>
              </w:rPr>
            </w:pPr>
            <w:r w:rsidRPr="00C73E37">
              <w:rPr>
                <w:rFonts w:ascii="Times New Roman" w:hAnsi="Times New Roman" w:cs="Times New Roman"/>
                <w:b/>
                <w:sz w:val="20"/>
                <w:szCs w:val="20"/>
              </w:rPr>
              <w:t>Konkurencinė aplinka (V</w:t>
            </w:r>
            <w:r w:rsidRPr="00C73E37">
              <w:rPr>
                <w:rFonts w:ascii="Times New Roman" w:hAnsi="Times New Roman" w:cs="Times New Roman"/>
                <w:b/>
                <w:sz w:val="20"/>
                <w:szCs w:val="20"/>
                <w:vertAlign w:val="subscript"/>
              </w:rPr>
              <w:t>4</w:t>
            </w:r>
            <w:r w:rsidRPr="00C73E37">
              <w:rPr>
                <w:rFonts w:ascii="Times New Roman" w:hAnsi="Times New Roman" w:cs="Times New Roman"/>
                <w:b/>
                <w:sz w:val="20"/>
                <w:szCs w:val="20"/>
              </w:rPr>
              <w:t>)</w:t>
            </w:r>
          </w:p>
        </w:tc>
        <w:tc>
          <w:tcPr>
            <w:tcW w:w="1134" w:type="dxa"/>
            <w:shd w:val="clear" w:color="auto" w:fill="auto"/>
            <w:vAlign w:val="center"/>
          </w:tcPr>
          <w:p w14:paraId="50B1BA82" w14:textId="77777777" w:rsidR="00262506" w:rsidRPr="00C73E37" w:rsidRDefault="00262506" w:rsidP="00354FB2">
            <w:pPr>
              <w:spacing w:after="0" w:line="240" w:lineRule="auto"/>
              <w:jc w:val="center"/>
              <w:rPr>
                <w:rFonts w:ascii="Times New Roman" w:hAnsi="Times New Roman" w:cs="Times New Roman"/>
                <w:b/>
                <w:sz w:val="20"/>
                <w:szCs w:val="20"/>
                <w:vertAlign w:val="subscript"/>
              </w:rPr>
            </w:pPr>
            <w:r w:rsidRPr="00C73E37">
              <w:rPr>
                <w:rFonts w:ascii="Times New Roman" w:hAnsi="Times New Roman" w:cs="Times New Roman"/>
                <w:b/>
                <w:sz w:val="20"/>
                <w:szCs w:val="20"/>
              </w:rPr>
              <w:t>Neaiški vertinimo sistema (V</w:t>
            </w:r>
            <w:r w:rsidRPr="00C73E37">
              <w:rPr>
                <w:rFonts w:ascii="Times New Roman" w:hAnsi="Times New Roman" w:cs="Times New Roman"/>
                <w:b/>
                <w:sz w:val="20"/>
                <w:szCs w:val="20"/>
                <w:vertAlign w:val="subscript"/>
              </w:rPr>
              <w:t>5</w:t>
            </w:r>
            <w:r w:rsidRPr="00C73E37">
              <w:rPr>
                <w:rFonts w:ascii="Times New Roman" w:hAnsi="Times New Roman" w:cs="Times New Roman"/>
                <w:b/>
                <w:sz w:val="20"/>
                <w:szCs w:val="20"/>
              </w:rPr>
              <w:t>)</w:t>
            </w:r>
          </w:p>
        </w:tc>
        <w:tc>
          <w:tcPr>
            <w:tcW w:w="1417" w:type="dxa"/>
            <w:shd w:val="clear" w:color="auto" w:fill="auto"/>
            <w:vAlign w:val="center"/>
          </w:tcPr>
          <w:p w14:paraId="4D4CE1E5"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Vadovų kompetencija (V</w:t>
            </w:r>
            <w:r w:rsidRPr="00C73E37">
              <w:rPr>
                <w:rFonts w:ascii="Times New Roman" w:hAnsi="Times New Roman" w:cs="Times New Roman"/>
                <w:b/>
                <w:sz w:val="20"/>
                <w:szCs w:val="20"/>
                <w:vertAlign w:val="subscript"/>
              </w:rPr>
              <w:t>6</w:t>
            </w:r>
            <w:r w:rsidRPr="00C73E37">
              <w:rPr>
                <w:rFonts w:ascii="Times New Roman" w:hAnsi="Times New Roman" w:cs="Times New Roman"/>
                <w:b/>
                <w:sz w:val="20"/>
                <w:szCs w:val="20"/>
              </w:rPr>
              <w:t>)</w:t>
            </w:r>
          </w:p>
        </w:tc>
        <w:tc>
          <w:tcPr>
            <w:tcW w:w="1395" w:type="dxa"/>
            <w:shd w:val="clear" w:color="auto" w:fill="auto"/>
            <w:vAlign w:val="center"/>
          </w:tcPr>
          <w:p w14:paraId="1982F1C6"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Įmonės politika (V</w:t>
            </w:r>
            <w:r w:rsidRPr="00C73E37">
              <w:rPr>
                <w:rFonts w:ascii="Times New Roman" w:hAnsi="Times New Roman" w:cs="Times New Roman"/>
                <w:b/>
                <w:sz w:val="20"/>
                <w:szCs w:val="20"/>
                <w:vertAlign w:val="subscript"/>
              </w:rPr>
              <w:t>7</w:t>
            </w:r>
            <w:r w:rsidRPr="00C73E37">
              <w:rPr>
                <w:rFonts w:ascii="Times New Roman" w:hAnsi="Times New Roman" w:cs="Times New Roman"/>
                <w:b/>
                <w:sz w:val="20"/>
                <w:szCs w:val="20"/>
              </w:rPr>
              <w:t>)</w:t>
            </w:r>
          </w:p>
        </w:tc>
      </w:tr>
      <w:tr w:rsidR="00262506" w:rsidRPr="00C73E37" w14:paraId="56F414D9" w14:textId="77777777" w:rsidTr="00354FB2">
        <w:tc>
          <w:tcPr>
            <w:tcW w:w="1080" w:type="dxa"/>
            <w:shd w:val="clear" w:color="auto" w:fill="auto"/>
            <w:vAlign w:val="center"/>
          </w:tcPr>
          <w:p w14:paraId="48A468F1"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1</w:t>
            </w:r>
          </w:p>
        </w:tc>
        <w:tc>
          <w:tcPr>
            <w:tcW w:w="1188" w:type="dxa"/>
            <w:shd w:val="clear" w:color="auto" w:fill="auto"/>
            <w:vAlign w:val="center"/>
          </w:tcPr>
          <w:p w14:paraId="665ABE1D" w14:textId="77777777" w:rsidR="00262506" w:rsidRPr="00C73E37" w:rsidRDefault="00262506" w:rsidP="00354FB2">
            <w:pPr>
              <w:spacing w:after="0" w:line="240" w:lineRule="auto"/>
              <w:jc w:val="center"/>
              <w:rPr>
                <w:rFonts w:ascii="Times New Roman" w:hAnsi="Times New Roman" w:cs="Times New Roman"/>
                <w:sz w:val="20"/>
                <w:szCs w:val="20"/>
              </w:rPr>
            </w:pPr>
            <w:bookmarkStart w:id="131" w:name="OLE_LINK1"/>
            <w:bookmarkStart w:id="132" w:name="OLE_LINK2"/>
            <w:r w:rsidRPr="00C73E37">
              <w:rPr>
                <w:rFonts w:ascii="Times New Roman" w:hAnsi="Times New Roman" w:cs="Times New Roman"/>
                <w:sz w:val="20"/>
                <w:szCs w:val="20"/>
              </w:rPr>
              <w:t>1</w:t>
            </w:r>
          </w:p>
        </w:tc>
        <w:tc>
          <w:tcPr>
            <w:tcW w:w="851" w:type="dxa"/>
            <w:shd w:val="clear" w:color="auto" w:fill="auto"/>
            <w:vAlign w:val="center"/>
          </w:tcPr>
          <w:p w14:paraId="423C533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w:t>
            </w:r>
          </w:p>
        </w:tc>
        <w:tc>
          <w:tcPr>
            <w:tcW w:w="1276" w:type="dxa"/>
            <w:shd w:val="clear" w:color="auto" w:fill="auto"/>
            <w:vAlign w:val="center"/>
          </w:tcPr>
          <w:p w14:paraId="1F509E40"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w:t>
            </w:r>
          </w:p>
        </w:tc>
        <w:tc>
          <w:tcPr>
            <w:tcW w:w="1559" w:type="dxa"/>
            <w:shd w:val="clear" w:color="auto" w:fill="auto"/>
            <w:vAlign w:val="center"/>
          </w:tcPr>
          <w:p w14:paraId="72D3C51A"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7</w:t>
            </w:r>
          </w:p>
        </w:tc>
        <w:tc>
          <w:tcPr>
            <w:tcW w:w="1134" w:type="dxa"/>
            <w:shd w:val="clear" w:color="auto" w:fill="auto"/>
            <w:vAlign w:val="center"/>
          </w:tcPr>
          <w:p w14:paraId="413D7E11"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w:t>
            </w:r>
          </w:p>
        </w:tc>
        <w:tc>
          <w:tcPr>
            <w:tcW w:w="1417" w:type="dxa"/>
            <w:shd w:val="clear" w:color="auto" w:fill="auto"/>
            <w:vAlign w:val="center"/>
          </w:tcPr>
          <w:p w14:paraId="6F1A2352"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w:t>
            </w:r>
          </w:p>
        </w:tc>
        <w:tc>
          <w:tcPr>
            <w:tcW w:w="1395" w:type="dxa"/>
            <w:shd w:val="clear" w:color="auto" w:fill="auto"/>
            <w:vAlign w:val="center"/>
          </w:tcPr>
          <w:p w14:paraId="58C9F620"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w:t>
            </w:r>
          </w:p>
        </w:tc>
      </w:tr>
      <w:tr w:rsidR="00262506" w:rsidRPr="00C73E37" w14:paraId="3DF5BC3B" w14:textId="77777777" w:rsidTr="00354FB2">
        <w:tc>
          <w:tcPr>
            <w:tcW w:w="1080" w:type="dxa"/>
            <w:shd w:val="clear" w:color="auto" w:fill="auto"/>
            <w:vAlign w:val="center"/>
          </w:tcPr>
          <w:p w14:paraId="6CD09FE5"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2</w:t>
            </w:r>
          </w:p>
        </w:tc>
        <w:tc>
          <w:tcPr>
            <w:tcW w:w="1188" w:type="dxa"/>
            <w:shd w:val="clear" w:color="auto" w:fill="auto"/>
            <w:vAlign w:val="center"/>
          </w:tcPr>
          <w:p w14:paraId="1A9316F2"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w:t>
            </w:r>
          </w:p>
        </w:tc>
        <w:tc>
          <w:tcPr>
            <w:tcW w:w="851" w:type="dxa"/>
            <w:shd w:val="clear" w:color="auto" w:fill="auto"/>
            <w:vAlign w:val="center"/>
          </w:tcPr>
          <w:p w14:paraId="17E3F40B"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w:t>
            </w:r>
          </w:p>
        </w:tc>
        <w:tc>
          <w:tcPr>
            <w:tcW w:w="1276" w:type="dxa"/>
            <w:shd w:val="clear" w:color="auto" w:fill="auto"/>
            <w:vAlign w:val="center"/>
          </w:tcPr>
          <w:p w14:paraId="1F161155"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w:t>
            </w:r>
          </w:p>
        </w:tc>
        <w:tc>
          <w:tcPr>
            <w:tcW w:w="1559" w:type="dxa"/>
            <w:shd w:val="clear" w:color="auto" w:fill="auto"/>
            <w:vAlign w:val="center"/>
          </w:tcPr>
          <w:p w14:paraId="2CA39A5C"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w:t>
            </w:r>
          </w:p>
        </w:tc>
        <w:tc>
          <w:tcPr>
            <w:tcW w:w="1134" w:type="dxa"/>
            <w:shd w:val="clear" w:color="auto" w:fill="auto"/>
            <w:vAlign w:val="center"/>
          </w:tcPr>
          <w:p w14:paraId="1B6582E8"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w:t>
            </w:r>
          </w:p>
        </w:tc>
        <w:tc>
          <w:tcPr>
            <w:tcW w:w="1417" w:type="dxa"/>
            <w:shd w:val="clear" w:color="auto" w:fill="auto"/>
            <w:vAlign w:val="center"/>
          </w:tcPr>
          <w:p w14:paraId="205BBCB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w:t>
            </w:r>
          </w:p>
        </w:tc>
        <w:tc>
          <w:tcPr>
            <w:tcW w:w="1395" w:type="dxa"/>
            <w:shd w:val="clear" w:color="auto" w:fill="auto"/>
            <w:vAlign w:val="center"/>
          </w:tcPr>
          <w:p w14:paraId="7A62DE4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7</w:t>
            </w:r>
          </w:p>
        </w:tc>
      </w:tr>
      <w:tr w:rsidR="00262506" w:rsidRPr="00C73E37" w14:paraId="337C6F8A" w14:textId="77777777" w:rsidTr="00354FB2">
        <w:tc>
          <w:tcPr>
            <w:tcW w:w="1080" w:type="dxa"/>
            <w:shd w:val="clear" w:color="auto" w:fill="auto"/>
            <w:vAlign w:val="center"/>
          </w:tcPr>
          <w:p w14:paraId="17430212"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3</w:t>
            </w:r>
          </w:p>
        </w:tc>
        <w:tc>
          <w:tcPr>
            <w:tcW w:w="1188" w:type="dxa"/>
            <w:shd w:val="clear" w:color="auto" w:fill="auto"/>
            <w:vAlign w:val="center"/>
          </w:tcPr>
          <w:p w14:paraId="00B32FD4"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w:t>
            </w:r>
          </w:p>
        </w:tc>
        <w:tc>
          <w:tcPr>
            <w:tcW w:w="851" w:type="dxa"/>
            <w:shd w:val="clear" w:color="auto" w:fill="auto"/>
            <w:vAlign w:val="center"/>
          </w:tcPr>
          <w:p w14:paraId="753E8FD6"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w:t>
            </w:r>
          </w:p>
        </w:tc>
        <w:tc>
          <w:tcPr>
            <w:tcW w:w="1276" w:type="dxa"/>
            <w:shd w:val="clear" w:color="auto" w:fill="auto"/>
            <w:vAlign w:val="center"/>
          </w:tcPr>
          <w:p w14:paraId="7C20EAF1"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w:t>
            </w:r>
          </w:p>
        </w:tc>
        <w:tc>
          <w:tcPr>
            <w:tcW w:w="1559" w:type="dxa"/>
            <w:shd w:val="clear" w:color="auto" w:fill="auto"/>
            <w:vAlign w:val="center"/>
          </w:tcPr>
          <w:p w14:paraId="15E22201"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w:t>
            </w:r>
          </w:p>
        </w:tc>
        <w:tc>
          <w:tcPr>
            <w:tcW w:w="1134" w:type="dxa"/>
            <w:shd w:val="clear" w:color="auto" w:fill="auto"/>
            <w:vAlign w:val="center"/>
          </w:tcPr>
          <w:p w14:paraId="1F3F3CFC"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w:t>
            </w:r>
          </w:p>
        </w:tc>
        <w:tc>
          <w:tcPr>
            <w:tcW w:w="1417" w:type="dxa"/>
            <w:shd w:val="clear" w:color="auto" w:fill="auto"/>
            <w:vAlign w:val="center"/>
          </w:tcPr>
          <w:p w14:paraId="58134100"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w:t>
            </w:r>
          </w:p>
        </w:tc>
        <w:tc>
          <w:tcPr>
            <w:tcW w:w="1395" w:type="dxa"/>
            <w:shd w:val="clear" w:color="auto" w:fill="auto"/>
            <w:vAlign w:val="center"/>
          </w:tcPr>
          <w:p w14:paraId="75B17257"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7</w:t>
            </w:r>
          </w:p>
        </w:tc>
      </w:tr>
      <w:tr w:rsidR="00262506" w:rsidRPr="00C73E37" w14:paraId="57940D3F" w14:textId="77777777" w:rsidTr="00354FB2">
        <w:tc>
          <w:tcPr>
            <w:tcW w:w="1080" w:type="dxa"/>
            <w:shd w:val="clear" w:color="auto" w:fill="auto"/>
            <w:vAlign w:val="center"/>
          </w:tcPr>
          <w:p w14:paraId="47CFC564"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4</w:t>
            </w:r>
          </w:p>
        </w:tc>
        <w:tc>
          <w:tcPr>
            <w:tcW w:w="1188" w:type="dxa"/>
            <w:shd w:val="clear" w:color="auto" w:fill="auto"/>
            <w:vAlign w:val="center"/>
          </w:tcPr>
          <w:p w14:paraId="08D47961"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w:t>
            </w:r>
          </w:p>
        </w:tc>
        <w:tc>
          <w:tcPr>
            <w:tcW w:w="851" w:type="dxa"/>
            <w:shd w:val="clear" w:color="auto" w:fill="auto"/>
            <w:vAlign w:val="center"/>
          </w:tcPr>
          <w:p w14:paraId="5A412EDE"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w:t>
            </w:r>
          </w:p>
        </w:tc>
        <w:tc>
          <w:tcPr>
            <w:tcW w:w="1276" w:type="dxa"/>
            <w:shd w:val="clear" w:color="auto" w:fill="auto"/>
            <w:vAlign w:val="center"/>
          </w:tcPr>
          <w:p w14:paraId="11AFD012"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w:t>
            </w:r>
          </w:p>
        </w:tc>
        <w:tc>
          <w:tcPr>
            <w:tcW w:w="1559" w:type="dxa"/>
            <w:shd w:val="clear" w:color="auto" w:fill="auto"/>
            <w:vAlign w:val="center"/>
          </w:tcPr>
          <w:p w14:paraId="20CDF8B7"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w:t>
            </w:r>
          </w:p>
        </w:tc>
        <w:tc>
          <w:tcPr>
            <w:tcW w:w="1134" w:type="dxa"/>
            <w:shd w:val="clear" w:color="auto" w:fill="auto"/>
            <w:vAlign w:val="center"/>
          </w:tcPr>
          <w:p w14:paraId="18CB4479"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w:t>
            </w:r>
          </w:p>
        </w:tc>
        <w:tc>
          <w:tcPr>
            <w:tcW w:w="1417" w:type="dxa"/>
            <w:shd w:val="clear" w:color="auto" w:fill="auto"/>
            <w:vAlign w:val="center"/>
          </w:tcPr>
          <w:p w14:paraId="490E8E14"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7</w:t>
            </w:r>
          </w:p>
        </w:tc>
        <w:tc>
          <w:tcPr>
            <w:tcW w:w="1395" w:type="dxa"/>
            <w:shd w:val="clear" w:color="auto" w:fill="auto"/>
            <w:vAlign w:val="center"/>
          </w:tcPr>
          <w:p w14:paraId="4E6D70FA"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w:t>
            </w:r>
          </w:p>
        </w:tc>
      </w:tr>
      <w:tr w:rsidR="00262506" w:rsidRPr="00C73E37" w14:paraId="02BFFB48" w14:textId="77777777" w:rsidTr="00354FB2">
        <w:tc>
          <w:tcPr>
            <w:tcW w:w="1080" w:type="dxa"/>
            <w:shd w:val="clear" w:color="auto" w:fill="auto"/>
            <w:vAlign w:val="center"/>
          </w:tcPr>
          <w:p w14:paraId="65CD0F56"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5</w:t>
            </w:r>
          </w:p>
        </w:tc>
        <w:tc>
          <w:tcPr>
            <w:tcW w:w="1188" w:type="dxa"/>
            <w:shd w:val="clear" w:color="auto" w:fill="auto"/>
            <w:vAlign w:val="center"/>
          </w:tcPr>
          <w:p w14:paraId="06D2543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w:t>
            </w:r>
          </w:p>
        </w:tc>
        <w:tc>
          <w:tcPr>
            <w:tcW w:w="851" w:type="dxa"/>
            <w:shd w:val="clear" w:color="auto" w:fill="auto"/>
            <w:vAlign w:val="center"/>
          </w:tcPr>
          <w:p w14:paraId="4DF4E8F7"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w:t>
            </w:r>
          </w:p>
        </w:tc>
        <w:tc>
          <w:tcPr>
            <w:tcW w:w="1276" w:type="dxa"/>
            <w:shd w:val="clear" w:color="auto" w:fill="auto"/>
            <w:vAlign w:val="center"/>
          </w:tcPr>
          <w:p w14:paraId="479A2DA9"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w:t>
            </w:r>
          </w:p>
        </w:tc>
        <w:tc>
          <w:tcPr>
            <w:tcW w:w="1559" w:type="dxa"/>
            <w:shd w:val="clear" w:color="auto" w:fill="auto"/>
            <w:vAlign w:val="center"/>
          </w:tcPr>
          <w:p w14:paraId="00D695BF"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w:t>
            </w:r>
          </w:p>
        </w:tc>
        <w:tc>
          <w:tcPr>
            <w:tcW w:w="1134" w:type="dxa"/>
            <w:shd w:val="clear" w:color="auto" w:fill="auto"/>
            <w:vAlign w:val="center"/>
          </w:tcPr>
          <w:p w14:paraId="433B82B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w:t>
            </w:r>
          </w:p>
        </w:tc>
        <w:tc>
          <w:tcPr>
            <w:tcW w:w="1417" w:type="dxa"/>
            <w:shd w:val="clear" w:color="auto" w:fill="auto"/>
            <w:vAlign w:val="center"/>
          </w:tcPr>
          <w:p w14:paraId="5D11DD5A"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w:t>
            </w:r>
          </w:p>
        </w:tc>
        <w:tc>
          <w:tcPr>
            <w:tcW w:w="1395" w:type="dxa"/>
            <w:shd w:val="clear" w:color="auto" w:fill="auto"/>
            <w:vAlign w:val="center"/>
          </w:tcPr>
          <w:p w14:paraId="1165A036"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7</w:t>
            </w:r>
          </w:p>
        </w:tc>
      </w:tr>
      <w:tr w:rsidR="00262506" w:rsidRPr="00C73E37" w14:paraId="1165449A" w14:textId="77777777" w:rsidTr="00354FB2">
        <w:tc>
          <w:tcPr>
            <w:tcW w:w="1080" w:type="dxa"/>
            <w:shd w:val="clear" w:color="auto" w:fill="auto"/>
            <w:vAlign w:val="center"/>
          </w:tcPr>
          <w:p w14:paraId="1A17AD75"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6</w:t>
            </w:r>
          </w:p>
        </w:tc>
        <w:tc>
          <w:tcPr>
            <w:tcW w:w="1188" w:type="dxa"/>
            <w:shd w:val="clear" w:color="auto" w:fill="auto"/>
            <w:vAlign w:val="center"/>
          </w:tcPr>
          <w:p w14:paraId="1966331B"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w:t>
            </w:r>
          </w:p>
        </w:tc>
        <w:tc>
          <w:tcPr>
            <w:tcW w:w="851" w:type="dxa"/>
            <w:shd w:val="clear" w:color="auto" w:fill="auto"/>
            <w:vAlign w:val="center"/>
          </w:tcPr>
          <w:p w14:paraId="00C355E0"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w:t>
            </w:r>
          </w:p>
        </w:tc>
        <w:tc>
          <w:tcPr>
            <w:tcW w:w="1276" w:type="dxa"/>
            <w:shd w:val="clear" w:color="auto" w:fill="auto"/>
            <w:vAlign w:val="center"/>
          </w:tcPr>
          <w:p w14:paraId="60C2154A"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w:t>
            </w:r>
          </w:p>
        </w:tc>
        <w:tc>
          <w:tcPr>
            <w:tcW w:w="1559" w:type="dxa"/>
            <w:shd w:val="clear" w:color="auto" w:fill="auto"/>
            <w:vAlign w:val="center"/>
          </w:tcPr>
          <w:p w14:paraId="10B7AA74"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w:t>
            </w:r>
          </w:p>
        </w:tc>
        <w:tc>
          <w:tcPr>
            <w:tcW w:w="1134" w:type="dxa"/>
            <w:shd w:val="clear" w:color="auto" w:fill="auto"/>
            <w:vAlign w:val="center"/>
          </w:tcPr>
          <w:p w14:paraId="7112D8AA"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w:t>
            </w:r>
          </w:p>
        </w:tc>
        <w:tc>
          <w:tcPr>
            <w:tcW w:w="1417" w:type="dxa"/>
            <w:shd w:val="clear" w:color="auto" w:fill="auto"/>
            <w:vAlign w:val="center"/>
          </w:tcPr>
          <w:p w14:paraId="7B0ED842"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w:t>
            </w:r>
          </w:p>
        </w:tc>
        <w:tc>
          <w:tcPr>
            <w:tcW w:w="1395" w:type="dxa"/>
            <w:shd w:val="clear" w:color="auto" w:fill="auto"/>
            <w:vAlign w:val="center"/>
          </w:tcPr>
          <w:p w14:paraId="038B4867"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7</w:t>
            </w:r>
          </w:p>
        </w:tc>
      </w:tr>
      <w:tr w:rsidR="00262506" w:rsidRPr="00C73E37" w14:paraId="30FEC99F" w14:textId="77777777" w:rsidTr="00354FB2">
        <w:tc>
          <w:tcPr>
            <w:tcW w:w="1080" w:type="dxa"/>
            <w:shd w:val="clear" w:color="auto" w:fill="auto"/>
            <w:vAlign w:val="center"/>
          </w:tcPr>
          <w:p w14:paraId="75058FB9" w14:textId="77777777" w:rsidR="00262506" w:rsidRPr="00C73E37" w:rsidRDefault="00262506" w:rsidP="00354FB2">
            <w:pPr>
              <w:spacing w:after="0" w:line="240" w:lineRule="auto"/>
              <w:jc w:val="center"/>
              <w:rPr>
                <w:rFonts w:ascii="Times New Roman" w:hAnsi="Times New Roman" w:cs="Times New Roman"/>
                <w:b/>
                <w:sz w:val="20"/>
                <w:szCs w:val="20"/>
                <w:lang w:val="en-US"/>
              </w:rPr>
            </w:pPr>
            <w:r w:rsidRPr="00C73E37">
              <w:rPr>
                <w:rFonts w:ascii="Times New Roman" w:hAnsi="Times New Roman" w:cs="Times New Roman"/>
                <w:b/>
                <w:sz w:val="20"/>
                <w:szCs w:val="20"/>
                <w:lang w:val="en-US"/>
              </w:rPr>
              <w:t>7</w:t>
            </w:r>
          </w:p>
        </w:tc>
        <w:tc>
          <w:tcPr>
            <w:tcW w:w="1188" w:type="dxa"/>
            <w:shd w:val="clear" w:color="auto" w:fill="auto"/>
            <w:vAlign w:val="center"/>
          </w:tcPr>
          <w:p w14:paraId="7167ACDB"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w:t>
            </w:r>
          </w:p>
        </w:tc>
        <w:tc>
          <w:tcPr>
            <w:tcW w:w="851" w:type="dxa"/>
            <w:shd w:val="clear" w:color="auto" w:fill="auto"/>
            <w:vAlign w:val="center"/>
          </w:tcPr>
          <w:p w14:paraId="315F491E"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w:t>
            </w:r>
          </w:p>
        </w:tc>
        <w:tc>
          <w:tcPr>
            <w:tcW w:w="1276" w:type="dxa"/>
            <w:shd w:val="clear" w:color="auto" w:fill="auto"/>
            <w:vAlign w:val="center"/>
          </w:tcPr>
          <w:p w14:paraId="2F84CB9B"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w:t>
            </w:r>
          </w:p>
        </w:tc>
        <w:tc>
          <w:tcPr>
            <w:tcW w:w="1559" w:type="dxa"/>
            <w:shd w:val="clear" w:color="auto" w:fill="auto"/>
            <w:vAlign w:val="center"/>
          </w:tcPr>
          <w:p w14:paraId="1483CCA2"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w:t>
            </w:r>
          </w:p>
        </w:tc>
        <w:tc>
          <w:tcPr>
            <w:tcW w:w="1134" w:type="dxa"/>
            <w:shd w:val="clear" w:color="auto" w:fill="auto"/>
            <w:vAlign w:val="center"/>
          </w:tcPr>
          <w:p w14:paraId="1F4E15BB"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w:t>
            </w:r>
          </w:p>
        </w:tc>
        <w:tc>
          <w:tcPr>
            <w:tcW w:w="1417" w:type="dxa"/>
            <w:shd w:val="clear" w:color="auto" w:fill="auto"/>
            <w:vAlign w:val="center"/>
          </w:tcPr>
          <w:p w14:paraId="11A4673A"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7</w:t>
            </w:r>
          </w:p>
        </w:tc>
        <w:tc>
          <w:tcPr>
            <w:tcW w:w="1395" w:type="dxa"/>
            <w:shd w:val="clear" w:color="auto" w:fill="auto"/>
            <w:vAlign w:val="center"/>
          </w:tcPr>
          <w:p w14:paraId="6B18C9B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w:t>
            </w:r>
          </w:p>
        </w:tc>
      </w:tr>
      <w:tr w:rsidR="00262506" w:rsidRPr="00C73E37" w14:paraId="7CB373AF" w14:textId="77777777" w:rsidTr="00354FB2">
        <w:tc>
          <w:tcPr>
            <w:tcW w:w="1080" w:type="dxa"/>
            <w:shd w:val="clear" w:color="auto" w:fill="auto"/>
            <w:vAlign w:val="center"/>
          </w:tcPr>
          <w:p w14:paraId="39899A53"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 xml:space="preserve">Rangų suma </w:t>
            </w:r>
            <w:r w:rsidRPr="00C73E37">
              <w:rPr>
                <w:rFonts w:ascii="Times New Roman" w:hAnsi="Times New Roman" w:cs="Times New Roman"/>
                <w:b/>
                <w:position w:val="-28"/>
                <w:sz w:val="20"/>
                <w:szCs w:val="20"/>
              </w:rPr>
              <w:object w:dxaOrig="600" w:dyaOrig="680" w14:anchorId="1FCADD81">
                <v:shape id="_x0000_i1027" type="#_x0000_t75" style="width:30pt;height:34pt" o:ole="">
                  <v:imagedata r:id="rId53" o:title=""/>
                </v:shape>
                <o:OLEObject Type="Embed" ProgID="Equation.3" ShapeID="_x0000_i1027" DrawAspect="Content" ObjectID="_1430066406" r:id="rId54"/>
              </w:object>
            </w:r>
          </w:p>
        </w:tc>
        <w:tc>
          <w:tcPr>
            <w:tcW w:w="1188" w:type="dxa"/>
            <w:shd w:val="clear" w:color="auto" w:fill="auto"/>
            <w:vAlign w:val="center"/>
          </w:tcPr>
          <w:p w14:paraId="6EF23984"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11</w:t>
            </w:r>
          </w:p>
        </w:tc>
        <w:tc>
          <w:tcPr>
            <w:tcW w:w="851" w:type="dxa"/>
            <w:shd w:val="clear" w:color="auto" w:fill="auto"/>
            <w:vAlign w:val="center"/>
          </w:tcPr>
          <w:p w14:paraId="5D957536"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29</w:t>
            </w:r>
          </w:p>
        </w:tc>
        <w:tc>
          <w:tcPr>
            <w:tcW w:w="1276" w:type="dxa"/>
            <w:shd w:val="clear" w:color="auto" w:fill="auto"/>
            <w:vAlign w:val="center"/>
          </w:tcPr>
          <w:p w14:paraId="49BE86FC"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13</w:t>
            </w:r>
          </w:p>
        </w:tc>
        <w:tc>
          <w:tcPr>
            <w:tcW w:w="1559" w:type="dxa"/>
            <w:shd w:val="clear" w:color="auto" w:fill="auto"/>
            <w:vAlign w:val="center"/>
          </w:tcPr>
          <w:p w14:paraId="2D4D60BE"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33</w:t>
            </w:r>
          </w:p>
        </w:tc>
        <w:tc>
          <w:tcPr>
            <w:tcW w:w="1134" w:type="dxa"/>
            <w:shd w:val="clear" w:color="auto" w:fill="auto"/>
            <w:vAlign w:val="center"/>
          </w:tcPr>
          <w:p w14:paraId="0C8521C8"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25</w:t>
            </w:r>
          </w:p>
        </w:tc>
        <w:tc>
          <w:tcPr>
            <w:tcW w:w="1417" w:type="dxa"/>
            <w:shd w:val="clear" w:color="auto" w:fill="auto"/>
            <w:vAlign w:val="center"/>
          </w:tcPr>
          <w:p w14:paraId="6A6DB771"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40</w:t>
            </w:r>
          </w:p>
        </w:tc>
        <w:tc>
          <w:tcPr>
            <w:tcW w:w="1395" w:type="dxa"/>
            <w:shd w:val="clear" w:color="auto" w:fill="auto"/>
            <w:vAlign w:val="center"/>
          </w:tcPr>
          <w:p w14:paraId="0E23565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45</w:t>
            </w:r>
          </w:p>
        </w:tc>
      </w:tr>
      <w:tr w:rsidR="00262506" w:rsidRPr="00C73E37" w14:paraId="6365B37D" w14:textId="77777777" w:rsidTr="00354FB2">
        <w:tc>
          <w:tcPr>
            <w:tcW w:w="1080" w:type="dxa"/>
            <w:shd w:val="clear" w:color="auto" w:fill="auto"/>
            <w:vAlign w:val="center"/>
          </w:tcPr>
          <w:p w14:paraId="0B69EFFF"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 xml:space="preserve">Rangų sumų vidurkis </w:t>
            </w:r>
            <w:r w:rsidRPr="00C73E37">
              <w:rPr>
                <w:rFonts w:ascii="Times New Roman" w:hAnsi="Times New Roman" w:cs="Times New Roman"/>
                <w:b/>
                <w:i/>
                <w:sz w:val="20"/>
                <w:szCs w:val="20"/>
              </w:rPr>
              <w:t>a</w:t>
            </w:r>
          </w:p>
        </w:tc>
        <w:tc>
          <w:tcPr>
            <w:tcW w:w="1188" w:type="dxa"/>
            <w:shd w:val="clear" w:color="auto" w:fill="auto"/>
            <w:vAlign w:val="center"/>
          </w:tcPr>
          <w:p w14:paraId="7A28C101"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w:t>
            </w:r>
          </w:p>
        </w:tc>
        <w:tc>
          <w:tcPr>
            <w:tcW w:w="851" w:type="dxa"/>
            <w:shd w:val="clear" w:color="auto" w:fill="auto"/>
            <w:vAlign w:val="center"/>
          </w:tcPr>
          <w:p w14:paraId="08814C7C"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w:t>
            </w:r>
          </w:p>
        </w:tc>
        <w:tc>
          <w:tcPr>
            <w:tcW w:w="1276" w:type="dxa"/>
            <w:shd w:val="clear" w:color="auto" w:fill="auto"/>
            <w:vAlign w:val="center"/>
          </w:tcPr>
          <w:p w14:paraId="635FF41B"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w:t>
            </w:r>
          </w:p>
        </w:tc>
        <w:tc>
          <w:tcPr>
            <w:tcW w:w="1559" w:type="dxa"/>
            <w:shd w:val="clear" w:color="auto" w:fill="auto"/>
            <w:vAlign w:val="center"/>
          </w:tcPr>
          <w:p w14:paraId="73249F73"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w:t>
            </w:r>
          </w:p>
        </w:tc>
        <w:tc>
          <w:tcPr>
            <w:tcW w:w="1134" w:type="dxa"/>
            <w:shd w:val="clear" w:color="auto" w:fill="auto"/>
            <w:vAlign w:val="center"/>
          </w:tcPr>
          <w:p w14:paraId="5F05F157"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w:t>
            </w:r>
          </w:p>
        </w:tc>
        <w:tc>
          <w:tcPr>
            <w:tcW w:w="1417" w:type="dxa"/>
            <w:shd w:val="clear" w:color="auto" w:fill="auto"/>
            <w:vAlign w:val="center"/>
          </w:tcPr>
          <w:p w14:paraId="02088C79"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w:t>
            </w:r>
          </w:p>
        </w:tc>
        <w:tc>
          <w:tcPr>
            <w:tcW w:w="1395" w:type="dxa"/>
            <w:shd w:val="clear" w:color="auto" w:fill="auto"/>
            <w:vAlign w:val="center"/>
          </w:tcPr>
          <w:p w14:paraId="1D01A6B8"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w:t>
            </w:r>
          </w:p>
        </w:tc>
      </w:tr>
      <w:tr w:rsidR="00262506" w:rsidRPr="00C73E37" w14:paraId="62624A6B" w14:textId="77777777" w:rsidTr="00354FB2">
        <w:tc>
          <w:tcPr>
            <w:tcW w:w="1080" w:type="dxa"/>
            <w:shd w:val="clear" w:color="auto" w:fill="auto"/>
            <w:vAlign w:val="center"/>
          </w:tcPr>
          <w:p w14:paraId="4FA3C0AA" w14:textId="77777777" w:rsidR="00262506" w:rsidRPr="00C73E37" w:rsidRDefault="00262506" w:rsidP="00354FB2">
            <w:pPr>
              <w:spacing w:after="0" w:line="240" w:lineRule="auto"/>
              <w:jc w:val="center"/>
              <w:rPr>
                <w:rFonts w:ascii="Times New Roman" w:hAnsi="Times New Roman" w:cs="Times New Roman"/>
                <w:b/>
                <w:sz w:val="20"/>
                <w:szCs w:val="20"/>
              </w:rPr>
            </w:pPr>
            <w:r w:rsidRPr="00C73E37">
              <w:rPr>
                <w:rFonts w:ascii="Times New Roman" w:hAnsi="Times New Roman" w:cs="Times New Roman"/>
                <w:b/>
                <w:sz w:val="20"/>
                <w:szCs w:val="20"/>
              </w:rPr>
              <w:t>Nuokrypio kv.</w:t>
            </w:r>
          </w:p>
        </w:tc>
        <w:tc>
          <w:tcPr>
            <w:tcW w:w="1188" w:type="dxa"/>
            <w:shd w:val="clear" w:color="auto" w:fill="auto"/>
            <w:vAlign w:val="center"/>
          </w:tcPr>
          <w:p w14:paraId="58231611"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289</w:t>
            </w:r>
          </w:p>
        </w:tc>
        <w:tc>
          <w:tcPr>
            <w:tcW w:w="851" w:type="dxa"/>
            <w:shd w:val="clear" w:color="auto" w:fill="auto"/>
            <w:vAlign w:val="center"/>
          </w:tcPr>
          <w:p w14:paraId="551281FC"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w:t>
            </w:r>
          </w:p>
        </w:tc>
        <w:tc>
          <w:tcPr>
            <w:tcW w:w="1276" w:type="dxa"/>
            <w:shd w:val="clear" w:color="auto" w:fill="auto"/>
            <w:vAlign w:val="center"/>
          </w:tcPr>
          <w:p w14:paraId="42118B65"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225</w:t>
            </w:r>
          </w:p>
        </w:tc>
        <w:tc>
          <w:tcPr>
            <w:tcW w:w="1559" w:type="dxa"/>
            <w:shd w:val="clear" w:color="auto" w:fill="auto"/>
            <w:vAlign w:val="center"/>
          </w:tcPr>
          <w:p w14:paraId="361D7C48"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25</w:t>
            </w:r>
          </w:p>
        </w:tc>
        <w:tc>
          <w:tcPr>
            <w:tcW w:w="1134" w:type="dxa"/>
            <w:shd w:val="clear" w:color="auto" w:fill="auto"/>
            <w:vAlign w:val="center"/>
          </w:tcPr>
          <w:p w14:paraId="2435A0C9"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9</w:t>
            </w:r>
          </w:p>
        </w:tc>
        <w:tc>
          <w:tcPr>
            <w:tcW w:w="1417" w:type="dxa"/>
            <w:shd w:val="clear" w:color="auto" w:fill="auto"/>
            <w:vAlign w:val="center"/>
          </w:tcPr>
          <w:p w14:paraId="38661590"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144</w:t>
            </w:r>
          </w:p>
        </w:tc>
        <w:tc>
          <w:tcPr>
            <w:tcW w:w="1395" w:type="dxa"/>
            <w:shd w:val="clear" w:color="auto" w:fill="auto"/>
            <w:vAlign w:val="center"/>
          </w:tcPr>
          <w:p w14:paraId="3F560749" w14:textId="77777777" w:rsidR="00262506" w:rsidRPr="00C73E37" w:rsidRDefault="00262506" w:rsidP="00354FB2">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289</w:t>
            </w:r>
          </w:p>
        </w:tc>
      </w:tr>
      <w:bookmarkEnd w:id="131"/>
      <w:bookmarkEnd w:id="132"/>
    </w:tbl>
    <w:p w14:paraId="6FCDCEF9" w14:textId="77777777" w:rsidR="00262506" w:rsidRPr="003E5890" w:rsidRDefault="00262506" w:rsidP="001A651D">
      <w:pPr>
        <w:spacing w:after="0" w:line="360" w:lineRule="auto"/>
        <w:ind w:firstLine="567"/>
        <w:jc w:val="both"/>
        <w:rPr>
          <w:rFonts w:ascii="Times New Roman" w:hAnsi="Times New Roman"/>
          <w:color w:val="FF0000"/>
          <w:sz w:val="24"/>
          <w:szCs w:val="24"/>
        </w:rPr>
      </w:pPr>
    </w:p>
    <w:p w14:paraId="458A1A12"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Lentelėje pateikti rangų sumų vidurkiai apskaičiuoti pagal formulę:</w:t>
      </w:r>
    </w:p>
    <w:p w14:paraId="5E1708DE" w14:textId="77777777" w:rsidR="001A651D" w:rsidRPr="00C73E37" w:rsidRDefault="00262506" w:rsidP="001A651D">
      <w:pPr>
        <w:spacing w:after="0" w:line="360" w:lineRule="auto"/>
        <w:ind w:firstLine="567"/>
        <w:jc w:val="center"/>
        <w:rPr>
          <w:rFonts w:ascii="Times New Roman" w:hAnsi="Times New Roman"/>
          <w:sz w:val="24"/>
          <w:szCs w:val="24"/>
        </w:rPr>
      </w:pPr>
      <w:r w:rsidRPr="00C73E37">
        <w:rPr>
          <w:rFonts w:ascii="Times New Roman" w:hAnsi="Times New Roman"/>
          <w:sz w:val="24"/>
          <w:szCs w:val="24"/>
        </w:rPr>
        <w:t xml:space="preserve">a = 0,5m(k+1); </w:t>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t xml:space="preserve">       (10)</w:t>
      </w:r>
    </w:p>
    <w:p w14:paraId="34BC0ECE" w14:textId="77777777" w:rsidR="001A651D" w:rsidRPr="00C73E37" w:rsidRDefault="001A651D" w:rsidP="001A651D">
      <w:pPr>
        <w:spacing w:after="0" w:line="360" w:lineRule="auto"/>
        <w:ind w:firstLine="567"/>
        <w:jc w:val="both"/>
        <w:rPr>
          <w:rFonts w:ascii="Times New Roman" w:hAnsi="Times New Roman"/>
          <w:sz w:val="24"/>
          <w:szCs w:val="24"/>
        </w:rPr>
      </w:pPr>
    </w:p>
    <w:p w14:paraId="2D90CCBA" w14:textId="77777777" w:rsidR="001A651D"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čia: a – rangų sumų vidurkis;</w:t>
      </w:r>
    </w:p>
    <w:p w14:paraId="270AD7E2" w14:textId="77777777" w:rsidR="001A651D"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 m – ekspertų skaičius;</w:t>
      </w:r>
    </w:p>
    <w:p w14:paraId="6608CA8C"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 k – ekspertizės objektų skaičius.</w:t>
      </w:r>
    </w:p>
    <w:p w14:paraId="7A4F47B4" w14:textId="77777777" w:rsidR="001A651D" w:rsidRPr="00C73E37" w:rsidRDefault="001A651D" w:rsidP="001A651D">
      <w:pPr>
        <w:spacing w:after="0" w:line="360" w:lineRule="auto"/>
        <w:ind w:firstLine="567"/>
        <w:jc w:val="both"/>
        <w:rPr>
          <w:rFonts w:ascii="Times New Roman" w:hAnsi="Times New Roman"/>
          <w:sz w:val="24"/>
          <w:szCs w:val="24"/>
        </w:rPr>
      </w:pPr>
    </w:p>
    <w:p w14:paraId="4E7EC557"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Šiuo atveju gauname:</w:t>
      </w:r>
    </w:p>
    <w:p w14:paraId="70658BAB"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a = 0,5 x 7 (7+1) = 28.</w:t>
      </w:r>
    </w:p>
    <w:p w14:paraId="02AC2300"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Nuokrypio kvadratai, kurie taip pat pateikti lentelėje, apskaičiuojami pagal formulę:</w:t>
      </w:r>
    </w:p>
    <w:p w14:paraId="20C75E7D" w14:textId="77777777" w:rsidR="001A651D" w:rsidRPr="00C73E37" w:rsidRDefault="00262506" w:rsidP="001A651D">
      <w:pPr>
        <w:spacing w:before="120" w:after="120" w:line="360" w:lineRule="auto"/>
        <w:ind w:firstLine="567"/>
        <w:jc w:val="center"/>
        <w:rPr>
          <w:rFonts w:ascii="Times New Roman" w:hAnsi="Times New Roman"/>
          <w:sz w:val="24"/>
          <w:szCs w:val="24"/>
        </w:rPr>
      </w:pPr>
      <w:r w:rsidRPr="00C73E37">
        <w:rPr>
          <w:rFonts w:ascii="Times New Roman" w:hAnsi="Times New Roman"/>
          <w:position w:val="-30"/>
          <w:sz w:val="24"/>
          <w:szCs w:val="24"/>
          <w:lang w:val="pt-BR"/>
        </w:rPr>
        <w:object w:dxaOrig="1760" w:dyaOrig="700" w14:anchorId="44A05310">
          <v:shape id="_x0000_i1028" type="#_x0000_t75" style="width:88pt;height:35pt" o:ole="">
            <v:imagedata r:id="rId55" o:title=""/>
          </v:shape>
          <o:OLEObject Type="Embed" ProgID="Equation.3" ShapeID="_x0000_i1028" DrawAspect="Content" ObjectID="_1430066407" r:id="rId56"/>
        </w:object>
      </w:r>
      <w:r w:rsidRPr="00C73E37">
        <w:rPr>
          <w:rFonts w:ascii="Times New Roman" w:hAnsi="Times New Roman"/>
          <w:sz w:val="24"/>
          <w:szCs w:val="24"/>
        </w:rPr>
        <w:t>;</w:t>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r>
      <w:r w:rsidR="001A651D" w:rsidRPr="00C73E37">
        <w:rPr>
          <w:rFonts w:ascii="Times New Roman" w:hAnsi="Times New Roman"/>
          <w:sz w:val="24"/>
          <w:szCs w:val="24"/>
        </w:rPr>
        <w:tab/>
        <w:t xml:space="preserve">       (11)</w:t>
      </w:r>
    </w:p>
    <w:p w14:paraId="1B80B0B0" w14:textId="77777777" w:rsidR="001A651D"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čia: S</w:t>
      </w:r>
      <w:r w:rsidRPr="00C73E37">
        <w:rPr>
          <w:rFonts w:ascii="Times New Roman" w:hAnsi="Times New Roman"/>
          <w:sz w:val="24"/>
          <w:szCs w:val="24"/>
          <w:vertAlign w:val="superscript"/>
        </w:rPr>
        <w:t>2</w:t>
      </w:r>
      <w:r w:rsidRPr="00C73E37">
        <w:rPr>
          <w:rFonts w:ascii="Times New Roman" w:hAnsi="Times New Roman"/>
          <w:sz w:val="24"/>
          <w:szCs w:val="24"/>
        </w:rPr>
        <w:t xml:space="preserve"> – nuokrypio kvadratas; </w:t>
      </w:r>
    </w:p>
    <w:p w14:paraId="33072129"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x – rangų suma. </w:t>
      </w:r>
    </w:p>
    <w:p w14:paraId="338FF7D7" w14:textId="77777777" w:rsidR="001A651D" w:rsidRPr="00C73E37" w:rsidRDefault="001A651D" w:rsidP="001A651D">
      <w:pPr>
        <w:spacing w:after="0" w:line="360" w:lineRule="auto"/>
        <w:ind w:firstLine="567"/>
        <w:jc w:val="both"/>
        <w:rPr>
          <w:rFonts w:ascii="Times New Roman" w:hAnsi="Times New Roman"/>
          <w:sz w:val="24"/>
          <w:szCs w:val="24"/>
        </w:rPr>
      </w:pPr>
    </w:p>
    <w:p w14:paraId="3523B3B2"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Kadangi ekspertų daugiau nei du</w:t>
      </w:r>
      <w:r w:rsidR="00935778" w:rsidRPr="00C73E37">
        <w:rPr>
          <w:rFonts w:ascii="Times New Roman" w:hAnsi="Times New Roman"/>
          <w:sz w:val="24"/>
          <w:szCs w:val="24"/>
        </w:rPr>
        <w:t>,</w:t>
      </w:r>
      <w:r w:rsidRPr="00C73E37">
        <w:rPr>
          <w:rFonts w:ascii="Times New Roman" w:hAnsi="Times New Roman"/>
          <w:sz w:val="24"/>
          <w:szCs w:val="24"/>
        </w:rPr>
        <w:t xml:space="preserve"> jų nuomonės suderinamumas skaičiuojamas naudojant  Kendall konkordanc</w:t>
      </w:r>
      <w:r w:rsidR="00935778" w:rsidRPr="00C73E37">
        <w:rPr>
          <w:rFonts w:ascii="Times New Roman" w:hAnsi="Times New Roman"/>
          <w:sz w:val="24"/>
          <w:szCs w:val="24"/>
        </w:rPr>
        <w:t>ijos koeficientą. Taip nustatoma,</w:t>
      </w:r>
      <w:r w:rsidRPr="00C73E37">
        <w:rPr>
          <w:rFonts w:ascii="Times New Roman" w:hAnsi="Times New Roman"/>
          <w:sz w:val="24"/>
          <w:szCs w:val="24"/>
        </w:rPr>
        <w:t xml:space="preserve"> ar ekspertų vertinimų suderinamumas yra </w:t>
      </w:r>
      <w:r w:rsidRPr="00C73E37">
        <w:rPr>
          <w:rFonts w:ascii="Times New Roman" w:hAnsi="Times New Roman"/>
          <w:sz w:val="24"/>
          <w:szCs w:val="24"/>
        </w:rPr>
        <w:lastRenderedPageBreak/>
        <w:t>statistiškai pagrįstas</w:t>
      </w:r>
      <w:r w:rsidR="00935778" w:rsidRPr="00C73E37">
        <w:rPr>
          <w:rFonts w:ascii="Times New Roman" w:hAnsi="Times New Roman"/>
          <w:sz w:val="24"/>
          <w:szCs w:val="24"/>
        </w:rPr>
        <w:t>,</w:t>
      </w:r>
      <w:r w:rsidRPr="00C73E37">
        <w:rPr>
          <w:rFonts w:ascii="Times New Roman" w:hAnsi="Times New Roman"/>
          <w:sz w:val="24"/>
          <w:szCs w:val="24"/>
        </w:rPr>
        <w:t xml:space="preserve"> ar ne. Tikriname</w:t>
      </w:r>
      <w:r w:rsidR="00935778" w:rsidRPr="00C73E37">
        <w:rPr>
          <w:rFonts w:ascii="Times New Roman" w:hAnsi="Times New Roman"/>
          <w:sz w:val="24"/>
          <w:szCs w:val="24"/>
        </w:rPr>
        <w:t>,</w:t>
      </w:r>
      <w:r w:rsidRPr="00C73E37">
        <w:rPr>
          <w:rFonts w:ascii="Times New Roman" w:hAnsi="Times New Roman"/>
          <w:sz w:val="24"/>
          <w:szCs w:val="24"/>
        </w:rPr>
        <w:t xml:space="preserve"> ar ekspertų vertinimai yra suderinami tarpusavyje. </w:t>
      </w:r>
      <w:r w:rsidR="001A651D" w:rsidRPr="00C73E37">
        <w:rPr>
          <w:rFonts w:ascii="Times New Roman" w:hAnsi="Times New Roman"/>
          <w:sz w:val="24"/>
          <w:szCs w:val="24"/>
        </w:rPr>
        <w:t>Formuluojamos</w:t>
      </w:r>
      <w:r w:rsidRPr="00C73E37">
        <w:rPr>
          <w:rFonts w:ascii="Times New Roman" w:hAnsi="Times New Roman"/>
          <w:sz w:val="24"/>
          <w:szCs w:val="24"/>
        </w:rPr>
        <w:t xml:space="preserve"> hipotezes:</w:t>
      </w:r>
    </w:p>
    <w:p w14:paraId="35B17D2B"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H</w:t>
      </w:r>
      <w:r w:rsidRPr="00C73E37">
        <w:rPr>
          <w:rFonts w:ascii="Times New Roman" w:hAnsi="Times New Roman"/>
          <w:sz w:val="24"/>
          <w:szCs w:val="24"/>
          <w:vertAlign w:val="subscript"/>
        </w:rPr>
        <w:t>0</w:t>
      </w:r>
      <w:r w:rsidRPr="00C73E37">
        <w:rPr>
          <w:rFonts w:ascii="Times New Roman" w:hAnsi="Times New Roman"/>
          <w:sz w:val="24"/>
          <w:szCs w:val="24"/>
        </w:rPr>
        <w:t>: ekspertų vertinimai prieštaringi (t.</w:t>
      </w:r>
      <w:r w:rsidR="00935778" w:rsidRPr="00C73E37">
        <w:rPr>
          <w:rFonts w:ascii="Times New Roman" w:hAnsi="Times New Roman"/>
          <w:sz w:val="24"/>
          <w:szCs w:val="24"/>
        </w:rPr>
        <w:t xml:space="preserve"> </w:t>
      </w:r>
      <w:r w:rsidRPr="00C73E37">
        <w:rPr>
          <w:rFonts w:ascii="Times New Roman" w:hAnsi="Times New Roman"/>
          <w:sz w:val="24"/>
          <w:szCs w:val="24"/>
        </w:rPr>
        <w:t>y. konkordacijos koeficientas lygus 0);</w:t>
      </w:r>
    </w:p>
    <w:p w14:paraId="751BBBBA"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H</w:t>
      </w:r>
      <w:r w:rsidRPr="00C73E37">
        <w:rPr>
          <w:rFonts w:ascii="Times New Roman" w:hAnsi="Times New Roman"/>
          <w:sz w:val="24"/>
          <w:szCs w:val="24"/>
          <w:vertAlign w:val="subscript"/>
        </w:rPr>
        <w:t>1</w:t>
      </w:r>
      <w:r w:rsidRPr="00C73E37">
        <w:rPr>
          <w:rFonts w:ascii="Times New Roman" w:hAnsi="Times New Roman"/>
          <w:sz w:val="24"/>
          <w:szCs w:val="24"/>
        </w:rPr>
        <w:t>: ekspertų vertinimai panašūs (t.</w:t>
      </w:r>
      <w:r w:rsidR="00935778" w:rsidRPr="00C73E37">
        <w:rPr>
          <w:rFonts w:ascii="Times New Roman" w:hAnsi="Times New Roman"/>
          <w:sz w:val="24"/>
          <w:szCs w:val="24"/>
        </w:rPr>
        <w:t xml:space="preserve"> </w:t>
      </w:r>
      <w:r w:rsidRPr="00C73E37">
        <w:rPr>
          <w:rFonts w:ascii="Times New Roman" w:hAnsi="Times New Roman"/>
          <w:sz w:val="24"/>
          <w:szCs w:val="24"/>
        </w:rPr>
        <w:t>y. konkordacijos koeficientas nelygus 0).</w:t>
      </w:r>
    </w:p>
    <w:p w14:paraId="43FDB7FF" w14:textId="77777777" w:rsidR="00262506" w:rsidRPr="00C73E37" w:rsidRDefault="00262506" w:rsidP="001A651D">
      <w:pPr>
        <w:spacing w:after="0" w:line="360" w:lineRule="auto"/>
        <w:ind w:firstLine="567"/>
        <w:jc w:val="both"/>
        <w:rPr>
          <w:rFonts w:ascii="Times New Roman" w:hAnsi="Times New Roman"/>
          <w:b/>
          <w:sz w:val="24"/>
          <w:szCs w:val="24"/>
        </w:rPr>
      </w:pPr>
      <w:r w:rsidRPr="00C73E37">
        <w:rPr>
          <w:rFonts w:ascii="Times New Roman" w:hAnsi="Times New Roman"/>
          <w:b/>
          <w:sz w:val="24"/>
          <w:szCs w:val="24"/>
        </w:rPr>
        <w:t>Konkordacijos koeficiento skaičiavimas:</w:t>
      </w:r>
    </w:p>
    <w:p w14:paraId="77887AFD"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Naudojant kvadratų sumų formulę apskaičiuojame nuokrypių kvadratų sumą:</w:t>
      </w:r>
    </w:p>
    <w:p w14:paraId="49E33572" w14:textId="77777777" w:rsidR="001A651D" w:rsidRPr="003E5890" w:rsidRDefault="001A651D" w:rsidP="001A651D">
      <w:pPr>
        <w:spacing w:after="0" w:line="360" w:lineRule="auto"/>
        <w:ind w:firstLine="567"/>
        <w:jc w:val="both"/>
        <w:rPr>
          <w:rFonts w:ascii="Times New Roman" w:hAnsi="Times New Roman"/>
          <w:color w:val="FF0000"/>
          <w:sz w:val="24"/>
          <w:szCs w:val="24"/>
        </w:rPr>
      </w:pPr>
    </w:p>
    <w:p w14:paraId="2C8621DE" w14:textId="77777777" w:rsidR="00262506" w:rsidRPr="00C73E37" w:rsidRDefault="00262506" w:rsidP="00262506">
      <w:pPr>
        <w:spacing w:line="360" w:lineRule="auto"/>
        <w:ind w:firstLine="567"/>
        <w:jc w:val="both"/>
        <w:rPr>
          <w:rFonts w:ascii="Times New Roman" w:hAnsi="Times New Roman"/>
          <w:sz w:val="24"/>
          <w:szCs w:val="24"/>
        </w:rPr>
      </w:pPr>
      <w:r w:rsidRPr="00C73E37">
        <w:rPr>
          <w:rFonts w:ascii="Times New Roman" w:hAnsi="Times New Roman"/>
          <w:position w:val="-30"/>
          <w:sz w:val="24"/>
          <w:szCs w:val="24"/>
        </w:rPr>
        <w:object w:dxaOrig="2240" w:dyaOrig="700" w14:anchorId="559F654D">
          <v:shape id="_x0000_i1029" type="#_x0000_t75" style="width:112pt;height:35pt" o:ole="">
            <v:imagedata r:id="rId57" o:title=""/>
          </v:shape>
          <o:OLEObject Type="Embed" ProgID="Equation.3" ShapeID="_x0000_i1029" DrawAspect="Content" ObjectID="_1430066408" r:id="rId58"/>
        </w:object>
      </w:r>
      <w:r w:rsidRPr="00C73E37">
        <w:rPr>
          <w:rFonts w:ascii="Times New Roman" w:hAnsi="Times New Roman"/>
          <w:sz w:val="24"/>
          <w:szCs w:val="24"/>
        </w:rPr>
        <w:t>(11 – 28)</w:t>
      </w:r>
      <w:r w:rsidRPr="00C73E37">
        <w:rPr>
          <w:rFonts w:ascii="Times New Roman" w:hAnsi="Times New Roman"/>
          <w:sz w:val="24"/>
          <w:szCs w:val="24"/>
          <w:vertAlign w:val="superscript"/>
        </w:rPr>
        <w:t>2</w:t>
      </w:r>
      <w:r w:rsidRPr="00C73E37">
        <w:rPr>
          <w:rFonts w:ascii="Times New Roman" w:hAnsi="Times New Roman"/>
          <w:sz w:val="24"/>
          <w:szCs w:val="24"/>
        </w:rPr>
        <w:t xml:space="preserve"> + (29 – 28)</w:t>
      </w:r>
      <w:r w:rsidRPr="00C73E37">
        <w:rPr>
          <w:rFonts w:ascii="Times New Roman" w:hAnsi="Times New Roman"/>
          <w:sz w:val="24"/>
          <w:szCs w:val="24"/>
          <w:vertAlign w:val="superscript"/>
        </w:rPr>
        <w:t>2</w:t>
      </w:r>
      <w:r w:rsidRPr="00C73E37">
        <w:rPr>
          <w:rFonts w:ascii="Times New Roman" w:hAnsi="Times New Roman"/>
          <w:sz w:val="24"/>
          <w:szCs w:val="24"/>
        </w:rPr>
        <w:t xml:space="preserve"> + (13 – 28)</w:t>
      </w:r>
      <w:r w:rsidRPr="00C73E37">
        <w:rPr>
          <w:rFonts w:ascii="Times New Roman" w:hAnsi="Times New Roman"/>
          <w:sz w:val="24"/>
          <w:szCs w:val="24"/>
          <w:vertAlign w:val="superscript"/>
        </w:rPr>
        <w:t>2</w:t>
      </w:r>
      <w:r w:rsidRPr="00C73E37">
        <w:rPr>
          <w:rFonts w:ascii="Times New Roman" w:hAnsi="Times New Roman"/>
          <w:sz w:val="24"/>
          <w:szCs w:val="24"/>
        </w:rPr>
        <w:t xml:space="preserve"> + (33 - 28)</w:t>
      </w:r>
      <w:r w:rsidRPr="00C73E37">
        <w:rPr>
          <w:rFonts w:ascii="Times New Roman" w:hAnsi="Times New Roman"/>
          <w:sz w:val="24"/>
          <w:szCs w:val="24"/>
          <w:vertAlign w:val="superscript"/>
        </w:rPr>
        <w:t>2</w:t>
      </w:r>
      <w:r w:rsidRPr="00C73E37">
        <w:rPr>
          <w:rFonts w:ascii="Times New Roman" w:hAnsi="Times New Roman"/>
          <w:sz w:val="24"/>
          <w:szCs w:val="24"/>
        </w:rPr>
        <w:t xml:space="preserve"> + (25 - 28)</w:t>
      </w:r>
      <w:r w:rsidRPr="00C73E37">
        <w:rPr>
          <w:rFonts w:ascii="Times New Roman" w:hAnsi="Times New Roman"/>
          <w:sz w:val="24"/>
          <w:szCs w:val="24"/>
          <w:vertAlign w:val="superscript"/>
        </w:rPr>
        <w:t>2</w:t>
      </w:r>
      <w:r w:rsidRPr="00C73E37">
        <w:rPr>
          <w:rFonts w:ascii="Times New Roman" w:hAnsi="Times New Roman"/>
          <w:sz w:val="24"/>
          <w:szCs w:val="24"/>
        </w:rPr>
        <w:t xml:space="preserve"> + (40 - 28)</w:t>
      </w:r>
      <w:r w:rsidRPr="00C73E37">
        <w:rPr>
          <w:rFonts w:ascii="Times New Roman" w:hAnsi="Times New Roman"/>
          <w:sz w:val="24"/>
          <w:szCs w:val="24"/>
          <w:vertAlign w:val="superscript"/>
        </w:rPr>
        <w:t>2</w:t>
      </w:r>
      <w:r w:rsidRPr="00C73E37">
        <w:rPr>
          <w:rFonts w:ascii="Times New Roman" w:hAnsi="Times New Roman"/>
          <w:sz w:val="24"/>
          <w:szCs w:val="24"/>
        </w:rPr>
        <w:t xml:space="preserve"> + (45 – 28)</w:t>
      </w:r>
      <w:r w:rsidRPr="00C73E37">
        <w:rPr>
          <w:rFonts w:ascii="Times New Roman" w:hAnsi="Times New Roman"/>
          <w:sz w:val="24"/>
          <w:szCs w:val="24"/>
          <w:vertAlign w:val="superscript"/>
        </w:rPr>
        <w:t>2</w:t>
      </w:r>
      <w:r w:rsidRPr="00C73E37">
        <w:rPr>
          <w:rFonts w:ascii="Times New Roman" w:hAnsi="Times New Roman"/>
          <w:sz w:val="24"/>
          <w:szCs w:val="24"/>
        </w:rPr>
        <w:t xml:space="preserve"> = 982.</w:t>
      </w:r>
    </w:p>
    <w:p w14:paraId="30CE181E"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Kadangi nėra sutampančių rangų tuomet konkordancijos koeficientą </w:t>
      </w:r>
      <w:r w:rsidRPr="00C73E37">
        <w:rPr>
          <w:rFonts w:ascii="Times New Roman" w:hAnsi="Times New Roman"/>
          <w:i/>
          <w:sz w:val="24"/>
          <w:szCs w:val="24"/>
        </w:rPr>
        <w:t xml:space="preserve">W </w:t>
      </w:r>
      <w:r w:rsidRPr="00C73E37">
        <w:rPr>
          <w:rFonts w:ascii="Times New Roman" w:hAnsi="Times New Roman"/>
          <w:sz w:val="24"/>
          <w:szCs w:val="24"/>
        </w:rPr>
        <w:t>apskaičiuojame pagal formulę:</w:t>
      </w:r>
    </w:p>
    <w:p w14:paraId="6D8001E6" w14:textId="77777777" w:rsidR="004B7151" w:rsidRPr="003E5890" w:rsidRDefault="004B7151" w:rsidP="001A651D">
      <w:pPr>
        <w:spacing w:after="0" w:line="360" w:lineRule="auto"/>
        <w:ind w:firstLine="567"/>
        <w:jc w:val="both"/>
        <w:rPr>
          <w:rFonts w:ascii="Times New Roman" w:hAnsi="Times New Roman"/>
          <w:color w:val="FF0000"/>
          <w:sz w:val="24"/>
          <w:szCs w:val="24"/>
        </w:rPr>
      </w:pPr>
    </w:p>
    <w:p w14:paraId="62D5CDF0" w14:textId="77777777" w:rsidR="00262506" w:rsidRPr="003E5890" w:rsidRDefault="00262506" w:rsidP="00262506">
      <w:pPr>
        <w:spacing w:line="360" w:lineRule="auto"/>
        <w:ind w:firstLine="567"/>
        <w:jc w:val="both"/>
        <w:rPr>
          <w:rFonts w:ascii="Times New Roman" w:hAnsi="Times New Roman"/>
          <w:color w:val="FF0000"/>
          <w:sz w:val="24"/>
          <w:szCs w:val="24"/>
        </w:rPr>
      </w:pPr>
      <w:r w:rsidRPr="003E5890">
        <w:rPr>
          <w:rFonts w:ascii="Times New Roman" w:hAnsi="Times New Roman"/>
          <w:color w:val="FF0000"/>
          <w:position w:val="-30"/>
          <w:sz w:val="24"/>
          <w:szCs w:val="24"/>
        </w:rPr>
        <w:object w:dxaOrig="5980" w:dyaOrig="720" w14:anchorId="5EFE28AB">
          <v:shape id="_x0000_i1030" type="#_x0000_t75" style="width:299pt;height:37pt" o:ole="">
            <v:imagedata r:id="rId59" o:title=""/>
          </v:shape>
          <o:OLEObject Type="Embed" ProgID="Equation.3" ShapeID="_x0000_i1030" DrawAspect="Content" ObjectID="_1430066409" r:id="rId60"/>
        </w:object>
      </w:r>
      <w:r w:rsidR="001A651D">
        <w:rPr>
          <w:rFonts w:ascii="Times New Roman" w:hAnsi="Times New Roman"/>
          <w:color w:val="FF0000"/>
          <w:sz w:val="24"/>
          <w:szCs w:val="24"/>
        </w:rPr>
        <w:t>;</w:t>
      </w:r>
      <w:r w:rsidR="001A651D">
        <w:rPr>
          <w:rFonts w:ascii="Times New Roman" w:hAnsi="Times New Roman"/>
          <w:color w:val="FF0000"/>
          <w:sz w:val="24"/>
          <w:szCs w:val="24"/>
        </w:rPr>
        <w:tab/>
      </w:r>
      <w:r w:rsidR="001A651D">
        <w:rPr>
          <w:rFonts w:ascii="Times New Roman" w:hAnsi="Times New Roman"/>
          <w:color w:val="FF0000"/>
          <w:sz w:val="24"/>
          <w:szCs w:val="24"/>
        </w:rPr>
        <w:tab/>
        <w:t xml:space="preserve">       </w:t>
      </w:r>
      <w:r w:rsidR="001A651D" w:rsidRPr="00C73E37">
        <w:rPr>
          <w:rFonts w:ascii="Times New Roman" w:hAnsi="Times New Roman"/>
          <w:sz w:val="24"/>
          <w:szCs w:val="24"/>
        </w:rPr>
        <w:t>(12)</w:t>
      </w:r>
    </w:p>
    <w:p w14:paraId="3F4A53EB" w14:textId="77777777" w:rsidR="001A651D"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Čia: m – ekspertų skaičius; </w:t>
      </w:r>
    </w:p>
    <w:p w14:paraId="21822F25" w14:textId="77777777" w:rsidR="001A651D"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k – alternatyvų skaičius; </w:t>
      </w:r>
    </w:p>
    <w:p w14:paraId="1A5770F1"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i/>
          <w:sz w:val="24"/>
          <w:szCs w:val="24"/>
        </w:rPr>
        <w:t xml:space="preserve">W – </w:t>
      </w:r>
      <w:r w:rsidRPr="00C73E37">
        <w:rPr>
          <w:rFonts w:ascii="Times New Roman" w:hAnsi="Times New Roman"/>
          <w:sz w:val="24"/>
          <w:szCs w:val="24"/>
        </w:rPr>
        <w:t>konkordacijos koeficientas.</w:t>
      </w:r>
    </w:p>
    <w:p w14:paraId="27948081" w14:textId="77777777" w:rsidR="001A651D" w:rsidRPr="003E5890" w:rsidRDefault="001A651D" w:rsidP="001A651D">
      <w:pPr>
        <w:spacing w:after="0" w:line="360" w:lineRule="auto"/>
        <w:ind w:firstLine="567"/>
        <w:jc w:val="both"/>
        <w:rPr>
          <w:rFonts w:ascii="Times New Roman" w:hAnsi="Times New Roman"/>
          <w:color w:val="FF0000"/>
          <w:sz w:val="24"/>
          <w:szCs w:val="24"/>
        </w:rPr>
      </w:pPr>
    </w:p>
    <w:p w14:paraId="07129C20"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Konkordacijos koeficientas kinta nuo 0 iki 1 (0&lt;W&lt;1); 0 reiškia visišką nesuderinamumą; 1 reiškia pilną suderinamumą.</w:t>
      </w:r>
    </w:p>
    <w:p w14:paraId="6FFC2122" w14:textId="77777777" w:rsidR="00262506" w:rsidRPr="00C73E37" w:rsidRDefault="00262506" w:rsidP="001A651D">
      <w:pPr>
        <w:spacing w:after="0" w:line="360" w:lineRule="auto"/>
        <w:ind w:firstLine="567"/>
        <w:jc w:val="both"/>
        <w:rPr>
          <w:rFonts w:ascii="Times New Roman" w:hAnsi="Times New Roman"/>
          <w:sz w:val="24"/>
          <w:szCs w:val="24"/>
        </w:rPr>
      </w:pPr>
      <w:r w:rsidRPr="00C73E37">
        <w:rPr>
          <w:rFonts w:ascii="Times New Roman" w:hAnsi="Times New Roman"/>
          <w:sz w:val="24"/>
          <w:szCs w:val="24"/>
        </w:rPr>
        <w:t>Pasirinktas reikšmingumo lygmuo α = 0,05. Hipotezė H</w:t>
      </w:r>
      <w:r w:rsidRPr="00C73E37">
        <w:rPr>
          <w:rFonts w:ascii="Times New Roman" w:hAnsi="Times New Roman"/>
          <w:sz w:val="24"/>
          <w:szCs w:val="24"/>
          <w:vertAlign w:val="subscript"/>
        </w:rPr>
        <w:t>0</w:t>
      </w:r>
      <w:r w:rsidRPr="00C73E37">
        <w:rPr>
          <w:rFonts w:ascii="Times New Roman" w:hAnsi="Times New Roman"/>
          <w:sz w:val="24"/>
          <w:szCs w:val="24"/>
        </w:rPr>
        <w:t xml:space="preserve"> atmetama, jeigu apskaičiuota </w:t>
      </w:r>
      <w:r w:rsidRPr="00C73E37">
        <w:rPr>
          <w:rFonts w:ascii="Times New Roman" w:hAnsi="Times New Roman"/>
          <w:i/>
          <w:sz w:val="24"/>
          <w:szCs w:val="24"/>
        </w:rPr>
        <w:t xml:space="preserve">W </w:t>
      </w:r>
      <w:r w:rsidRPr="00C73E37">
        <w:rPr>
          <w:rFonts w:ascii="Times New Roman" w:hAnsi="Times New Roman"/>
          <w:sz w:val="24"/>
          <w:szCs w:val="24"/>
        </w:rPr>
        <w:t xml:space="preserve">reikšmė ne mažesnė už kritinę reikšmę </w:t>
      </w:r>
      <w:r w:rsidRPr="00C73E37">
        <w:rPr>
          <w:rFonts w:ascii="Times New Roman" w:hAnsi="Times New Roman"/>
          <w:i/>
          <w:sz w:val="24"/>
          <w:szCs w:val="24"/>
        </w:rPr>
        <w:t>W</w:t>
      </w:r>
      <w:r w:rsidRPr="00C73E37">
        <w:rPr>
          <w:rFonts w:ascii="Times New Roman" w:hAnsi="Times New Roman"/>
          <w:i/>
          <w:sz w:val="24"/>
          <w:szCs w:val="24"/>
          <w:vertAlign w:val="subscript"/>
        </w:rPr>
        <w:t>krit(a)</w:t>
      </w:r>
      <w:r w:rsidRPr="00C73E37">
        <w:rPr>
          <w:rFonts w:ascii="Times New Roman" w:hAnsi="Times New Roman"/>
          <w:i/>
          <w:sz w:val="24"/>
          <w:szCs w:val="24"/>
        </w:rPr>
        <w:t>.</w:t>
      </w:r>
      <w:r w:rsidRPr="00C73E37">
        <w:rPr>
          <w:rFonts w:ascii="Times New Roman" w:hAnsi="Times New Roman"/>
          <w:sz w:val="24"/>
          <w:szCs w:val="24"/>
        </w:rPr>
        <w:t xml:space="preserve"> </w:t>
      </w:r>
      <w:r w:rsidRPr="00C73E37">
        <w:rPr>
          <w:rFonts w:ascii="Times New Roman" w:hAnsi="Times New Roman"/>
          <w:i/>
          <w:sz w:val="24"/>
          <w:szCs w:val="24"/>
        </w:rPr>
        <w:t xml:space="preserve">W </w:t>
      </w:r>
      <w:r w:rsidRPr="00C73E37">
        <w:rPr>
          <w:rFonts w:ascii="Times New Roman" w:hAnsi="Times New Roman"/>
          <w:sz w:val="24"/>
          <w:szCs w:val="24"/>
        </w:rPr>
        <w:t>kritinės reikšmės surandamos iš lentelių. Kai alternatyvų skaičius k ≥ 7, tai konkordacijos koeficiento reikšmingumui tikrinti galima taikyti χ</w:t>
      </w:r>
      <w:r w:rsidRPr="00C73E37">
        <w:rPr>
          <w:rFonts w:ascii="Times New Roman" w:hAnsi="Times New Roman"/>
          <w:sz w:val="24"/>
          <w:szCs w:val="24"/>
          <w:vertAlign w:val="superscript"/>
        </w:rPr>
        <w:t>2</w:t>
      </w:r>
      <w:r w:rsidRPr="00C73E37">
        <w:rPr>
          <w:rFonts w:ascii="Times New Roman" w:hAnsi="Times New Roman"/>
          <w:sz w:val="24"/>
          <w:szCs w:val="24"/>
        </w:rPr>
        <w:t xml:space="preserve"> kriterijų. Dydis </w:t>
      </w:r>
      <w:r w:rsidRPr="00C73E37">
        <w:rPr>
          <w:rFonts w:ascii="Times New Roman" w:hAnsi="Times New Roman"/>
          <w:i/>
          <w:sz w:val="24"/>
          <w:szCs w:val="24"/>
        </w:rPr>
        <w:t xml:space="preserve">W </w:t>
      </w:r>
      <w:r w:rsidRPr="00C73E37">
        <w:rPr>
          <w:rFonts w:ascii="Times New Roman" w:hAnsi="Times New Roman"/>
          <w:sz w:val="24"/>
          <w:szCs w:val="24"/>
        </w:rPr>
        <w:t xml:space="preserve">x </w:t>
      </w:r>
      <w:r w:rsidRPr="00C73E37">
        <w:rPr>
          <w:rFonts w:ascii="Times New Roman" w:hAnsi="Times New Roman"/>
          <w:i/>
          <w:sz w:val="24"/>
          <w:szCs w:val="24"/>
        </w:rPr>
        <w:t xml:space="preserve">m </w:t>
      </w:r>
      <w:r w:rsidRPr="00C73E37">
        <w:rPr>
          <w:rFonts w:ascii="Times New Roman" w:hAnsi="Times New Roman"/>
          <w:sz w:val="24"/>
          <w:szCs w:val="24"/>
        </w:rPr>
        <w:t>(</w:t>
      </w:r>
      <w:r w:rsidRPr="00C73E37">
        <w:rPr>
          <w:rFonts w:ascii="Times New Roman" w:hAnsi="Times New Roman"/>
          <w:i/>
          <w:sz w:val="24"/>
          <w:szCs w:val="24"/>
        </w:rPr>
        <w:t>k-1)</w:t>
      </w:r>
      <w:r w:rsidRPr="00C73E37">
        <w:rPr>
          <w:rFonts w:ascii="Times New Roman" w:hAnsi="Times New Roman"/>
          <w:sz w:val="24"/>
          <w:szCs w:val="24"/>
        </w:rPr>
        <w:t xml:space="preserve"> turi χ </w:t>
      </w:r>
      <w:r w:rsidRPr="00C73E37">
        <w:rPr>
          <w:rFonts w:ascii="Times New Roman" w:hAnsi="Times New Roman"/>
          <w:sz w:val="24"/>
          <w:szCs w:val="24"/>
          <w:vertAlign w:val="superscript"/>
        </w:rPr>
        <w:t xml:space="preserve">2 </w:t>
      </w:r>
      <w:r w:rsidRPr="00C73E37">
        <w:rPr>
          <w:rFonts w:ascii="Times New Roman" w:hAnsi="Times New Roman"/>
          <w:sz w:val="24"/>
          <w:szCs w:val="24"/>
        </w:rPr>
        <w:t>skirstinį su f = k - 1 laisvės laipsniu (m - ekspertų skaičius; k – ekspertizės objektų skaičius).</w:t>
      </w:r>
    </w:p>
    <w:p w14:paraId="36900752" w14:textId="77777777" w:rsidR="00262506" w:rsidRPr="00C73E37" w:rsidRDefault="00262506" w:rsidP="00262506">
      <w:pPr>
        <w:spacing w:line="360" w:lineRule="auto"/>
        <w:ind w:firstLine="567"/>
        <w:jc w:val="both"/>
        <w:rPr>
          <w:rFonts w:ascii="Times New Roman" w:hAnsi="Times New Roman"/>
          <w:sz w:val="24"/>
          <w:szCs w:val="24"/>
        </w:rPr>
      </w:pPr>
      <w:r w:rsidRPr="00C73E37">
        <w:rPr>
          <w:rFonts w:ascii="Times New Roman" w:hAnsi="Times New Roman"/>
          <w:sz w:val="24"/>
          <w:szCs w:val="24"/>
        </w:rPr>
        <w:t xml:space="preserve">Jeigu apskaičiuotos statistikos </w:t>
      </w:r>
      <w:r w:rsidRPr="00C73E37">
        <w:rPr>
          <w:rFonts w:ascii="Times New Roman" w:hAnsi="Times New Roman"/>
          <w:i/>
          <w:sz w:val="24"/>
          <w:szCs w:val="24"/>
        </w:rPr>
        <w:t>W</w:t>
      </w:r>
      <w:r w:rsidRPr="00C73E37">
        <w:rPr>
          <w:rFonts w:ascii="Times New Roman" w:hAnsi="Times New Roman"/>
          <w:sz w:val="24"/>
          <w:szCs w:val="24"/>
        </w:rPr>
        <w:t xml:space="preserve"> x </w:t>
      </w:r>
      <w:r w:rsidRPr="00C73E37">
        <w:rPr>
          <w:rFonts w:ascii="Times New Roman" w:hAnsi="Times New Roman"/>
          <w:i/>
          <w:sz w:val="24"/>
          <w:szCs w:val="24"/>
        </w:rPr>
        <w:t>m</w:t>
      </w:r>
      <w:r w:rsidRPr="00C73E37">
        <w:rPr>
          <w:rFonts w:ascii="Times New Roman" w:hAnsi="Times New Roman"/>
          <w:sz w:val="24"/>
          <w:szCs w:val="24"/>
        </w:rPr>
        <w:t xml:space="preserve"> x </w:t>
      </w:r>
      <w:r w:rsidRPr="00C73E37">
        <w:rPr>
          <w:rFonts w:ascii="Times New Roman" w:hAnsi="Times New Roman"/>
          <w:i/>
          <w:sz w:val="24"/>
          <w:szCs w:val="24"/>
        </w:rPr>
        <w:t>(k-1)</w:t>
      </w:r>
      <w:r w:rsidRPr="00C73E37">
        <w:rPr>
          <w:rFonts w:ascii="Times New Roman" w:hAnsi="Times New Roman"/>
          <w:sz w:val="24"/>
          <w:szCs w:val="24"/>
        </w:rPr>
        <w:t xml:space="preserve"> reikšmė prie pasirinkto reikšmingumo lygmens α ir laisvės laipsnių skaičius </w:t>
      </w:r>
      <w:r w:rsidRPr="00C73E37">
        <w:rPr>
          <w:rFonts w:ascii="Times New Roman" w:hAnsi="Times New Roman"/>
          <w:i/>
          <w:sz w:val="24"/>
          <w:szCs w:val="24"/>
        </w:rPr>
        <w:t xml:space="preserve">f </w:t>
      </w:r>
      <w:r w:rsidRPr="00C73E37">
        <w:rPr>
          <w:rFonts w:ascii="Times New Roman" w:hAnsi="Times New Roman"/>
          <w:sz w:val="24"/>
          <w:szCs w:val="24"/>
        </w:rPr>
        <w:t xml:space="preserve"> viršija kritinę reikšmę </w:t>
      </w:r>
      <w:r w:rsidRPr="00C73E37">
        <w:rPr>
          <w:rFonts w:ascii="Times New Roman" w:hAnsi="Times New Roman"/>
          <w:position w:val="-12"/>
          <w:sz w:val="24"/>
          <w:szCs w:val="24"/>
        </w:rPr>
        <w:object w:dxaOrig="440" w:dyaOrig="380" w14:anchorId="576AFEF6">
          <v:shape id="_x0000_i1031" type="#_x0000_t75" style="width:22pt;height:18pt" o:ole="">
            <v:imagedata r:id="rId61" o:title=""/>
          </v:shape>
          <o:OLEObject Type="Embed" ProgID="Equation.3" ShapeID="_x0000_i1031" DrawAspect="Content" ObjectID="_1430066410" r:id="rId62"/>
        </w:object>
      </w:r>
      <w:r w:rsidRPr="00C73E37">
        <w:rPr>
          <w:rFonts w:ascii="Times New Roman" w:hAnsi="Times New Roman"/>
          <w:sz w:val="24"/>
          <w:szCs w:val="24"/>
        </w:rPr>
        <w:t xml:space="preserve">, t.y. </w:t>
      </w:r>
      <w:r w:rsidRPr="00C73E37">
        <w:rPr>
          <w:rFonts w:ascii="Times New Roman" w:hAnsi="Times New Roman"/>
          <w:position w:val="-14"/>
          <w:sz w:val="24"/>
          <w:szCs w:val="24"/>
        </w:rPr>
        <w:object w:dxaOrig="2900" w:dyaOrig="400" w14:anchorId="3EC41136">
          <v:shape id="_x0000_i1032" type="#_x0000_t75" style="width:145pt;height:20pt" o:ole="">
            <v:imagedata r:id="rId63" o:title=""/>
          </v:shape>
          <o:OLEObject Type="Embed" ProgID="Equation.3" ShapeID="_x0000_i1032" DrawAspect="Content" ObjectID="_1430066411" r:id="rId64"/>
        </w:object>
      </w:r>
      <w:r w:rsidRPr="00C73E37">
        <w:rPr>
          <w:rFonts w:ascii="Times New Roman" w:hAnsi="Times New Roman"/>
          <w:sz w:val="24"/>
          <w:szCs w:val="24"/>
        </w:rPr>
        <w:t>, tai hipotezė H</w:t>
      </w:r>
      <w:r w:rsidRPr="00C73E37">
        <w:rPr>
          <w:rFonts w:ascii="Times New Roman" w:hAnsi="Times New Roman"/>
          <w:sz w:val="24"/>
          <w:szCs w:val="24"/>
          <w:vertAlign w:val="subscript"/>
        </w:rPr>
        <w:t>0</w:t>
      </w:r>
      <w:r w:rsidRPr="00C73E37">
        <w:rPr>
          <w:rFonts w:ascii="Times New Roman" w:hAnsi="Times New Roman"/>
          <w:sz w:val="24"/>
          <w:szCs w:val="24"/>
        </w:rPr>
        <w:t>, kad ekspertų vertinimai prieštaringi atmetama.</w:t>
      </w:r>
    </w:p>
    <w:p w14:paraId="4E7592E7" w14:textId="77777777" w:rsidR="00262506" w:rsidRPr="003E5890" w:rsidRDefault="00262506" w:rsidP="00262506">
      <w:pPr>
        <w:spacing w:line="360" w:lineRule="auto"/>
        <w:ind w:firstLine="567"/>
        <w:jc w:val="both"/>
        <w:rPr>
          <w:rFonts w:ascii="Times New Roman" w:hAnsi="Times New Roman"/>
          <w:color w:val="FF0000"/>
          <w:sz w:val="24"/>
          <w:szCs w:val="24"/>
        </w:rPr>
      </w:pPr>
      <w:r w:rsidRPr="003E5890">
        <w:rPr>
          <w:rFonts w:ascii="Times New Roman" w:hAnsi="Times New Roman"/>
          <w:color w:val="FF0000"/>
          <w:position w:val="-10"/>
          <w:sz w:val="24"/>
          <w:szCs w:val="24"/>
        </w:rPr>
        <w:object w:dxaOrig="2960" w:dyaOrig="360" w14:anchorId="02D52966">
          <v:shape id="_x0000_i1033" type="#_x0000_t75" style="width:148pt;height:18pt" o:ole="">
            <v:imagedata r:id="rId65" o:title=""/>
          </v:shape>
          <o:OLEObject Type="Embed" ProgID="Equation.3" ShapeID="_x0000_i1033" DrawAspect="Content" ObjectID="_1430066412" r:id="rId66"/>
        </w:object>
      </w:r>
    </w:p>
    <w:p w14:paraId="0F919804" w14:textId="77777777" w:rsidR="00262506" w:rsidRPr="003E5890" w:rsidRDefault="00262506" w:rsidP="00262506">
      <w:pPr>
        <w:spacing w:line="360" w:lineRule="auto"/>
        <w:ind w:firstLine="567"/>
        <w:jc w:val="both"/>
        <w:rPr>
          <w:rFonts w:ascii="Times New Roman" w:hAnsi="Times New Roman"/>
          <w:color w:val="FF0000"/>
          <w:sz w:val="24"/>
          <w:szCs w:val="24"/>
        </w:rPr>
      </w:pPr>
      <w:r w:rsidRPr="003E5890">
        <w:rPr>
          <w:rFonts w:ascii="Times New Roman" w:hAnsi="Times New Roman"/>
          <w:color w:val="FF0000"/>
          <w:position w:val="-12"/>
          <w:sz w:val="24"/>
          <w:szCs w:val="24"/>
        </w:rPr>
        <w:object w:dxaOrig="2020" w:dyaOrig="380" w14:anchorId="46A1ED4B">
          <v:shape id="_x0000_i1034" type="#_x0000_t75" style="width:101pt;height:18pt" o:ole="">
            <v:imagedata r:id="rId67" o:title=""/>
          </v:shape>
          <o:OLEObject Type="Embed" ProgID="Equation.3" ShapeID="_x0000_i1034" DrawAspect="Content" ObjectID="_1430066413" r:id="rId68"/>
        </w:object>
      </w:r>
    </w:p>
    <w:p w14:paraId="5F817ABD" w14:textId="77777777" w:rsidR="00262506" w:rsidRPr="00C73E37" w:rsidRDefault="00262506" w:rsidP="00C80ABF">
      <w:pPr>
        <w:spacing w:after="0" w:line="360" w:lineRule="auto"/>
        <w:ind w:firstLine="567"/>
        <w:jc w:val="both"/>
        <w:rPr>
          <w:rFonts w:ascii="Times New Roman" w:hAnsi="Times New Roman"/>
          <w:b/>
          <w:sz w:val="24"/>
          <w:szCs w:val="24"/>
        </w:rPr>
      </w:pPr>
      <w:r w:rsidRPr="00C73E37">
        <w:rPr>
          <w:rFonts w:ascii="Times New Roman" w:hAnsi="Times New Roman"/>
          <w:position w:val="-14"/>
          <w:sz w:val="24"/>
          <w:szCs w:val="24"/>
        </w:rPr>
        <w:object w:dxaOrig="1280" w:dyaOrig="400" w14:anchorId="4D193BC7">
          <v:shape id="_x0000_i1035" type="#_x0000_t75" style="width:64pt;height:20pt" o:ole="">
            <v:imagedata r:id="rId69" o:title=""/>
          </v:shape>
          <o:OLEObject Type="Embed" ProgID="Equation.3" ShapeID="_x0000_i1035" DrawAspect="Content" ObjectID="_1430066414" r:id="rId70"/>
        </w:object>
      </w:r>
      <w:r w:rsidRPr="00C73E37">
        <w:rPr>
          <w:rFonts w:ascii="Times New Roman" w:hAnsi="Times New Roman"/>
          <w:sz w:val="24"/>
          <w:szCs w:val="24"/>
        </w:rPr>
        <w:t>, todėl hipotezė H</w:t>
      </w:r>
      <w:r w:rsidRPr="00C73E37">
        <w:rPr>
          <w:rFonts w:ascii="Times New Roman" w:hAnsi="Times New Roman"/>
          <w:sz w:val="24"/>
          <w:szCs w:val="24"/>
          <w:vertAlign w:val="subscript"/>
        </w:rPr>
        <w:t>0</w:t>
      </w:r>
      <w:r w:rsidRPr="00C73E37">
        <w:rPr>
          <w:rFonts w:ascii="Times New Roman" w:hAnsi="Times New Roman"/>
          <w:sz w:val="24"/>
          <w:szCs w:val="24"/>
        </w:rPr>
        <w:t>, kad ekspertų vertinimai prieštaringi, atmetama ir priimama H</w:t>
      </w:r>
      <w:r w:rsidRPr="00C73E37">
        <w:rPr>
          <w:rFonts w:ascii="Times New Roman" w:hAnsi="Times New Roman"/>
          <w:sz w:val="24"/>
          <w:szCs w:val="24"/>
          <w:vertAlign w:val="subscript"/>
          <w:lang w:val="pt-BR"/>
        </w:rPr>
        <w:t>1</w:t>
      </w:r>
      <w:r w:rsidRPr="00C73E37">
        <w:rPr>
          <w:rFonts w:ascii="Times New Roman" w:hAnsi="Times New Roman"/>
          <w:sz w:val="24"/>
          <w:szCs w:val="24"/>
          <w:lang w:val="pt-BR"/>
        </w:rPr>
        <w:t xml:space="preserve"> hipotez</w:t>
      </w:r>
      <w:r w:rsidRPr="00C73E37">
        <w:rPr>
          <w:rFonts w:ascii="Times New Roman" w:hAnsi="Times New Roman"/>
          <w:sz w:val="24"/>
          <w:szCs w:val="24"/>
        </w:rPr>
        <w:t>ė, kad ekspertų vertinimai panašūs.</w:t>
      </w:r>
    </w:p>
    <w:p w14:paraId="054E81BA" w14:textId="77777777" w:rsidR="00262506" w:rsidRPr="00C73E37" w:rsidRDefault="00262506" w:rsidP="00C80ABF">
      <w:pPr>
        <w:spacing w:after="0" w:line="360" w:lineRule="auto"/>
        <w:rPr>
          <w:rFonts w:ascii="Times New Roman" w:hAnsi="Times New Roman"/>
          <w:b/>
          <w:sz w:val="24"/>
          <w:szCs w:val="24"/>
        </w:rPr>
      </w:pPr>
      <w:r w:rsidRPr="00C73E37">
        <w:rPr>
          <w:rFonts w:ascii="Times New Roman" w:hAnsi="Times New Roman"/>
          <w:b/>
          <w:sz w:val="24"/>
          <w:szCs w:val="24"/>
        </w:rPr>
        <w:t>Ekspertų kompetencijos vertinimas</w:t>
      </w:r>
    </w:p>
    <w:p w14:paraId="2FD3609D" w14:textId="77777777" w:rsidR="00262506" w:rsidRPr="00C73E37" w:rsidRDefault="00262506" w:rsidP="004B7151">
      <w:pPr>
        <w:spacing w:after="0" w:line="360" w:lineRule="auto"/>
        <w:ind w:firstLine="567"/>
        <w:jc w:val="both"/>
        <w:rPr>
          <w:rFonts w:ascii="Times New Roman" w:hAnsi="Times New Roman"/>
          <w:sz w:val="24"/>
          <w:szCs w:val="24"/>
        </w:rPr>
      </w:pPr>
      <w:r w:rsidRPr="00C73E37">
        <w:rPr>
          <w:rFonts w:ascii="Times New Roman" w:hAnsi="Times New Roman"/>
          <w:sz w:val="24"/>
          <w:szCs w:val="24"/>
        </w:rPr>
        <w:t>Apskaičiuotas konkordacijos koeficientas neparodo, ar yra ekspertų, kurių vertinimas skiriasi nuo daugumos ir kurie tai ekspertai. Kadangi ekspertinis vertinimas atliekamas darant prielaidą, kad sprendimas gali būti gautas tik esant ekspertų nuomonių suderinamumui, todėl iš ekspertų grupės pašalinami ekspertai, kurių nuomonė skiriasi nuo daugumos nuomonės. Tam yra vertinama ekspertų kompetencija.</w:t>
      </w:r>
    </w:p>
    <w:p w14:paraId="5B2E28AC" w14:textId="77777777" w:rsidR="00262506" w:rsidRPr="00C73E37" w:rsidRDefault="00262506" w:rsidP="00C80ABF">
      <w:pPr>
        <w:spacing w:after="0" w:line="360" w:lineRule="auto"/>
        <w:ind w:firstLine="567"/>
        <w:jc w:val="both"/>
        <w:rPr>
          <w:rFonts w:ascii="Times New Roman" w:hAnsi="Times New Roman"/>
          <w:sz w:val="24"/>
          <w:szCs w:val="24"/>
        </w:rPr>
      </w:pPr>
      <w:r w:rsidRPr="00C73E37">
        <w:rPr>
          <w:rFonts w:ascii="Times New Roman" w:hAnsi="Times New Roman"/>
          <w:sz w:val="24"/>
          <w:szCs w:val="24"/>
        </w:rPr>
        <w:t>Ekspertų kompetencijos koeficientas apskaičiuojamas pagal alternatyvų įvertinimo rezultatus. Daroma prielaida, kad ekspertų nuomonė turi derėti su visos grupės nuomone.</w:t>
      </w:r>
    </w:p>
    <w:p w14:paraId="14DB2CD2" w14:textId="77777777" w:rsidR="00262506" w:rsidRPr="00C73E37" w:rsidRDefault="00262506" w:rsidP="00C80ABF">
      <w:pPr>
        <w:spacing w:after="0" w:line="360" w:lineRule="auto"/>
        <w:ind w:firstLine="567"/>
        <w:jc w:val="both"/>
        <w:rPr>
          <w:rFonts w:ascii="Times New Roman" w:hAnsi="Times New Roman"/>
          <w:sz w:val="24"/>
          <w:szCs w:val="24"/>
        </w:rPr>
      </w:pPr>
      <w:r w:rsidRPr="00C73E37">
        <w:rPr>
          <w:rFonts w:ascii="Times New Roman" w:hAnsi="Times New Roman"/>
          <w:sz w:val="24"/>
          <w:szCs w:val="24"/>
        </w:rPr>
        <w:t xml:space="preserve">Kompetencijos koeficientas vertinamas iteraciniu būdu pirmuoju žingsniu </w:t>
      </w:r>
      <w:r w:rsidRPr="00C73E37">
        <w:rPr>
          <w:rFonts w:ascii="Times New Roman" w:hAnsi="Times New Roman"/>
          <w:i/>
          <w:sz w:val="24"/>
          <w:szCs w:val="24"/>
        </w:rPr>
        <w:t>t</w:t>
      </w:r>
      <w:r w:rsidRPr="00C73E37">
        <w:rPr>
          <w:rFonts w:ascii="Times New Roman" w:hAnsi="Times New Roman"/>
          <w:sz w:val="24"/>
          <w:szCs w:val="24"/>
        </w:rPr>
        <w:t xml:space="preserve">=0 suteikiant kompetencijos koeficientams vienodas reikšmes: </w:t>
      </w:r>
      <w:r w:rsidRPr="00C73E37">
        <w:rPr>
          <w:rFonts w:ascii="Times New Roman" w:hAnsi="Times New Roman"/>
          <w:position w:val="-12"/>
          <w:sz w:val="24"/>
          <w:szCs w:val="24"/>
        </w:rPr>
        <w:object w:dxaOrig="960" w:dyaOrig="380" w14:anchorId="5C17107E">
          <v:shape id="_x0000_i1036" type="#_x0000_t75" style="width:48pt;height:18pt" o:ole="">
            <v:imagedata r:id="rId71" o:title=""/>
          </v:shape>
          <o:OLEObject Type="Embed" ProgID="Equation.3" ShapeID="_x0000_i1036" DrawAspect="Content" ObjectID="_1430066415" r:id="rId72"/>
        </w:object>
      </w:r>
      <w:r w:rsidRPr="00C73E37">
        <w:rPr>
          <w:rFonts w:ascii="Times New Roman" w:hAnsi="Times New Roman"/>
          <w:sz w:val="24"/>
          <w:szCs w:val="24"/>
        </w:rPr>
        <w:t xml:space="preserve">, </w:t>
      </w:r>
      <w:r w:rsidRPr="00C73E37">
        <w:rPr>
          <w:rFonts w:ascii="Times New Roman" w:hAnsi="Times New Roman"/>
          <w:i/>
          <w:sz w:val="24"/>
          <w:szCs w:val="24"/>
        </w:rPr>
        <w:t>j</w:t>
      </w:r>
      <w:r w:rsidRPr="00C73E37">
        <w:rPr>
          <w:rFonts w:ascii="Times New Roman" w:hAnsi="Times New Roman"/>
          <w:sz w:val="24"/>
          <w:szCs w:val="24"/>
        </w:rPr>
        <w:t>=1,…,</w:t>
      </w:r>
      <w:r w:rsidRPr="00C73E37">
        <w:rPr>
          <w:rFonts w:ascii="Times New Roman" w:hAnsi="Times New Roman"/>
          <w:i/>
          <w:sz w:val="24"/>
          <w:szCs w:val="24"/>
        </w:rPr>
        <w:t>m</w:t>
      </w:r>
      <w:r w:rsidRPr="00C73E37">
        <w:rPr>
          <w:rFonts w:ascii="Times New Roman" w:hAnsi="Times New Roman"/>
          <w:sz w:val="24"/>
          <w:szCs w:val="24"/>
        </w:rPr>
        <w:t>.</w:t>
      </w:r>
    </w:p>
    <w:p w14:paraId="37534211" w14:textId="77777777" w:rsidR="00262506" w:rsidRPr="00C73E37" w:rsidRDefault="00262506" w:rsidP="00C80ABF">
      <w:pPr>
        <w:ind w:firstLine="567"/>
        <w:rPr>
          <w:rFonts w:ascii="Times New Roman" w:hAnsi="Times New Roman"/>
          <w:sz w:val="24"/>
          <w:szCs w:val="24"/>
        </w:rPr>
      </w:pPr>
      <w:r w:rsidRPr="00C73E37">
        <w:rPr>
          <w:rFonts w:ascii="Times New Roman" w:hAnsi="Times New Roman"/>
          <w:sz w:val="24"/>
          <w:szCs w:val="24"/>
        </w:rPr>
        <w:t xml:space="preserve">Tolesniais žingsniais </w:t>
      </w:r>
      <w:r w:rsidRPr="00C73E37">
        <w:rPr>
          <w:rFonts w:ascii="Times New Roman" w:hAnsi="Times New Roman"/>
          <w:i/>
          <w:sz w:val="24"/>
          <w:szCs w:val="24"/>
        </w:rPr>
        <w:t>t</w:t>
      </w:r>
      <w:r w:rsidRPr="00C73E37">
        <w:rPr>
          <w:rFonts w:ascii="Times New Roman" w:hAnsi="Times New Roman"/>
          <w:sz w:val="24"/>
          <w:szCs w:val="24"/>
        </w:rPr>
        <w:t>=1,2,... kompetencijos koeficientai koreguojami pagal formules:</w:t>
      </w:r>
    </w:p>
    <w:p w14:paraId="101A4E7C" w14:textId="77777777" w:rsidR="00262506" w:rsidRPr="00C73E37" w:rsidRDefault="00262506" w:rsidP="00C80ABF">
      <w:pPr>
        <w:tabs>
          <w:tab w:val="center" w:pos="4503"/>
          <w:tab w:val="right" w:pos="9063"/>
        </w:tabs>
        <w:jc w:val="right"/>
        <w:rPr>
          <w:rFonts w:ascii="Times New Roman" w:hAnsi="Times New Roman"/>
          <w:sz w:val="24"/>
          <w:szCs w:val="24"/>
        </w:rPr>
      </w:pPr>
      <w:r w:rsidRPr="00C73E37">
        <w:rPr>
          <w:rFonts w:ascii="Times New Roman" w:hAnsi="Times New Roman"/>
          <w:sz w:val="24"/>
          <w:szCs w:val="24"/>
        </w:rPr>
        <w:tab/>
      </w:r>
      <w:r w:rsidRPr="00C73E37">
        <w:rPr>
          <w:rFonts w:ascii="Times New Roman" w:hAnsi="Times New Roman"/>
          <w:position w:val="-28"/>
          <w:sz w:val="24"/>
          <w:szCs w:val="24"/>
        </w:rPr>
        <w:object w:dxaOrig="1660" w:dyaOrig="680" w14:anchorId="7BE08B62">
          <v:shape id="_x0000_i1037" type="#_x0000_t75" style="width:98pt;height:39pt" o:ole="">
            <v:imagedata r:id="rId73" o:title=""/>
          </v:shape>
          <o:OLEObject Type="Embed" ProgID="Equation.3" ShapeID="_x0000_i1037" DrawAspect="Content" ObjectID="_1430066416" r:id="rId74"/>
        </w:object>
      </w:r>
      <w:r w:rsidRPr="00C73E37">
        <w:rPr>
          <w:rFonts w:ascii="Times New Roman" w:hAnsi="Times New Roman"/>
          <w:sz w:val="24"/>
          <w:szCs w:val="24"/>
        </w:rPr>
        <w:t xml:space="preserve"> </w:t>
      </w:r>
      <w:r w:rsidRPr="00C73E37">
        <w:rPr>
          <w:rFonts w:ascii="Times New Roman" w:hAnsi="Times New Roman"/>
          <w:i/>
          <w:sz w:val="24"/>
          <w:szCs w:val="24"/>
        </w:rPr>
        <w:t>j</w:t>
      </w:r>
      <w:r w:rsidRPr="00C73E37">
        <w:rPr>
          <w:rFonts w:ascii="Times New Roman" w:hAnsi="Times New Roman"/>
          <w:sz w:val="24"/>
          <w:szCs w:val="24"/>
        </w:rPr>
        <w:t>=1,…,</w:t>
      </w:r>
      <w:r w:rsidRPr="00C73E37">
        <w:rPr>
          <w:rFonts w:ascii="Times New Roman" w:hAnsi="Times New Roman"/>
          <w:i/>
          <w:sz w:val="24"/>
          <w:szCs w:val="24"/>
        </w:rPr>
        <w:t xml:space="preserve">n </w:t>
      </w:r>
      <w:r w:rsidRPr="00C73E37">
        <w:rPr>
          <w:rFonts w:ascii="Times New Roman" w:hAnsi="Times New Roman"/>
          <w:i/>
          <w:sz w:val="24"/>
          <w:szCs w:val="24"/>
        </w:rPr>
        <w:tab/>
      </w:r>
      <w:r w:rsidR="00C80ABF" w:rsidRPr="00C73E37">
        <w:rPr>
          <w:rFonts w:ascii="Times New Roman" w:hAnsi="Times New Roman"/>
          <w:sz w:val="24"/>
          <w:szCs w:val="24"/>
        </w:rPr>
        <w:t>(13</w:t>
      </w:r>
      <w:r w:rsidRPr="00C73E37">
        <w:rPr>
          <w:rFonts w:ascii="Times New Roman" w:hAnsi="Times New Roman"/>
          <w:sz w:val="24"/>
          <w:szCs w:val="24"/>
        </w:rPr>
        <w:t>)</w:t>
      </w:r>
    </w:p>
    <w:p w14:paraId="5C41A963" w14:textId="77777777" w:rsidR="00262506" w:rsidRPr="00C73E37" w:rsidRDefault="00262506" w:rsidP="00C80ABF">
      <w:pPr>
        <w:tabs>
          <w:tab w:val="center" w:pos="4560"/>
          <w:tab w:val="right" w:pos="9120"/>
        </w:tabs>
        <w:jc w:val="right"/>
        <w:rPr>
          <w:rFonts w:ascii="Times New Roman" w:hAnsi="Times New Roman"/>
          <w:sz w:val="24"/>
          <w:szCs w:val="24"/>
        </w:rPr>
      </w:pPr>
      <w:r w:rsidRPr="00C73E37">
        <w:rPr>
          <w:rFonts w:ascii="Times New Roman" w:hAnsi="Times New Roman"/>
          <w:sz w:val="24"/>
          <w:szCs w:val="24"/>
        </w:rPr>
        <w:tab/>
      </w:r>
      <w:r w:rsidRPr="00C73E37">
        <w:rPr>
          <w:rFonts w:ascii="Times New Roman" w:hAnsi="Times New Roman"/>
          <w:position w:val="-30"/>
          <w:sz w:val="24"/>
          <w:szCs w:val="24"/>
        </w:rPr>
        <w:object w:dxaOrig="1680" w:dyaOrig="700" w14:anchorId="70503818">
          <v:shape id="_x0000_i1038" type="#_x0000_t75" style="width:109pt;height:46pt" o:ole="">
            <v:imagedata r:id="rId75" o:title=""/>
          </v:shape>
          <o:OLEObject Type="Embed" ProgID="Equation.3" ShapeID="_x0000_i1038" DrawAspect="Content" ObjectID="_1430066417" r:id="rId76"/>
        </w:object>
      </w:r>
      <w:r w:rsidR="00C80ABF" w:rsidRPr="00C73E37">
        <w:rPr>
          <w:rFonts w:ascii="Times New Roman" w:hAnsi="Times New Roman"/>
          <w:sz w:val="24"/>
          <w:szCs w:val="24"/>
        </w:rPr>
        <w:tab/>
        <w:t>(14</w:t>
      </w:r>
      <w:r w:rsidRPr="00C73E37">
        <w:rPr>
          <w:rFonts w:ascii="Times New Roman" w:hAnsi="Times New Roman"/>
          <w:sz w:val="24"/>
          <w:szCs w:val="24"/>
        </w:rPr>
        <w:t>)</w:t>
      </w:r>
    </w:p>
    <w:p w14:paraId="5E0C1999" w14:textId="77777777" w:rsidR="00262506" w:rsidRPr="00C73E37" w:rsidRDefault="00262506" w:rsidP="00C73E37">
      <w:pPr>
        <w:tabs>
          <w:tab w:val="center" w:pos="4503"/>
          <w:tab w:val="right" w:pos="9063"/>
        </w:tabs>
        <w:jc w:val="right"/>
        <w:rPr>
          <w:rFonts w:ascii="Times New Roman" w:hAnsi="Times New Roman"/>
          <w:sz w:val="24"/>
          <w:szCs w:val="24"/>
        </w:rPr>
      </w:pPr>
      <w:r w:rsidRPr="00C73E37">
        <w:rPr>
          <w:rFonts w:ascii="Times New Roman" w:hAnsi="Times New Roman"/>
          <w:sz w:val="24"/>
          <w:szCs w:val="24"/>
        </w:rPr>
        <w:tab/>
      </w:r>
      <w:r w:rsidRPr="00C73E37">
        <w:rPr>
          <w:rFonts w:ascii="Times New Roman" w:hAnsi="Times New Roman"/>
          <w:position w:val="-30"/>
          <w:sz w:val="24"/>
          <w:szCs w:val="24"/>
        </w:rPr>
        <w:object w:dxaOrig="2960" w:dyaOrig="700" w14:anchorId="5084D68C">
          <v:shape id="_x0000_i1039" type="#_x0000_t75" style="width:166pt;height:39pt" o:ole="">
            <v:imagedata r:id="rId77" o:title=""/>
          </v:shape>
          <o:OLEObject Type="Embed" ProgID="Equation.3" ShapeID="_x0000_i1039" DrawAspect="Content" ObjectID="_1430066418" r:id="rId78"/>
        </w:object>
      </w:r>
      <w:r w:rsidR="00C80ABF" w:rsidRPr="00C73E37">
        <w:rPr>
          <w:rFonts w:ascii="Times New Roman" w:hAnsi="Times New Roman"/>
          <w:sz w:val="24"/>
          <w:szCs w:val="24"/>
        </w:rPr>
        <w:t xml:space="preserve"> </w:t>
      </w:r>
      <w:r w:rsidR="00C80ABF" w:rsidRPr="00C73E37">
        <w:rPr>
          <w:rFonts w:ascii="Times New Roman" w:hAnsi="Times New Roman"/>
          <w:sz w:val="24"/>
          <w:szCs w:val="24"/>
        </w:rPr>
        <w:tab/>
        <w:t>(15</w:t>
      </w:r>
      <w:r w:rsidRPr="00C73E37">
        <w:rPr>
          <w:rFonts w:ascii="Times New Roman" w:hAnsi="Times New Roman"/>
          <w:sz w:val="24"/>
          <w:szCs w:val="24"/>
        </w:rPr>
        <w:t>)</w:t>
      </w:r>
    </w:p>
    <w:p w14:paraId="113EEC3C" w14:textId="77777777" w:rsidR="00262506" w:rsidRPr="00C73E37" w:rsidRDefault="00262506" w:rsidP="004B7151">
      <w:pPr>
        <w:spacing w:after="0" w:line="360" w:lineRule="auto"/>
        <w:ind w:firstLine="567"/>
        <w:rPr>
          <w:rFonts w:ascii="Times New Roman" w:hAnsi="Times New Roman"/>
          <w:sz w:val="24"/>
          <w:szCs w:val="24"/>
        </w:rPr>
      </w:pPr>
      <w:r w:rsidRPr="00C73E37">
        <w:rPr>
          <w:rFonts w:ascii="Times New Roman" w:hAnsi="Times New Roman"/>
          <w:sz w:val="24"/>
          <w:szCs w:val="24"/>
        </w:rPr>
        <w:t>Pirmuoju žingsniu (</w:t>
      </w:r>
      <w:r w:rsidRPr="00C73E37">
        <w:rPr>
          <w:rFonts w:ascii="Times New Roman" w:hAnsi="Times New Roman"/>
          <w:i/>
          <w:sz w:val="24"/>
          <w:szCs w:val="24"/>
        </w:rPr>
        <w:t>t</w:t>
      </w:r>
      <w:r w:rsidRPr="00C73E37">
        <w:rPr>
          <w:rFonts w:ascii="Times New Roman" w:hAnsi="Times New Roman"/>
          <w:sz w:val="24"/>
          <w:szCs w:val="24"/>
        </w:rPr>
        <w:t xml:space="preserve">=0) visiems ekspertams suteikiamas vienodas kompetencijos koeficientas </w:t>
      </w:r>
    </w:p>
    <w:p w14:paraId="35F9719F" w14:textId="77777777" w:rsidR="00262506" w:rsidRPr="00C73E37" w:rsidRDefault="00E612B9" w:rsidP="00262506">
      <w:pPr>
        <w:rPr>
          <w:rFonts w:ascii="Times New Roman" w:hAnsi="Times New Roman"/>
        </w:rPr>
      </w:pPr>
      <w:r>
        <w:rPr>
          <w:rFonts w:ascii="Times New Roman" w:hAnsi="Times New Roman"/>
        </w:rPr>
        <w:pict w14:anchorId="13278D02">
          <v:shape id="_x0000_s1043" type="#_x0000_t75" style="position:absolute;margin-left:63pt;margin-top:.4pt;width:101.35pt;height:22.15pt;z-index:251665920">
            <v:imagedata r:id="rId79" o:title=""/>
          </v:shape>
          <o:OLEObject Type="Embed" ProgID="Equation.3" ShapeID="_x0000_s1043" DrawAspect="Content" ObjectID="_1430066424" r:id="rId80"/>
        </w:pict>
      </w:r>
    </w:p>
    <w:p w14:paraId="3D88A09A" w14:textId="77777777" w:rsidR="00262506" w:rsidRPr="00C73E37" w:rsidRDefault="00262506" w:rsidP="004B7151">
      <w:pPr>
        <w:spacing w:after="0" w:line="360" w:lineRule="auto"/>
        <w:ind w:firstLine="567"/>
        <w:rPr>
          <w:rFonts w:ascii="Times New Roman" w:hAnsi="Times New Roman"/>
          <w:sz w:val="24"/>
          <w:szCs w:val="24"/>
        </w:rPr>
      </w:pPr>
      <w:r w:rsidRPr="00C73E37">
        <w:rPr>
          <w:rFonts w:ascii="Times New Roman" w:hAnsi="Times New Roman"/>
          <w:sz w:val="24"/>
          <w:szCs w:val="24"/>
        </w:rPr>
        <w:t>Antruoju žingsniu (t=1) randami grupiniai (alternatyvų) įverčiai, t.</w:t>
      </w:r>
      <w:r w:rsidR="00A17EAF" w:rsidRPr="00C73E37">
        <w:rPr>
          <w:rFonts w:ascii="Times New Roman" w:hAnsi="Times New Roman"/>
          <w:sz w:val="24"/>
          <w:szCs w:val="24"/>
        </w:rPr>
        <w:t xml:space="preserve"> </w:t>
      </w:r>
      <w:r w:rsidRPr="00C73E37">
        <w:rPr>
          <w:rFonts w:ascii="Times New Roman" w:hAnsi="Times New Roman"/>
          <w:sz w:val="24"/>
          <w:szCs w:val="24"/>
        </w:rPr>
        <w:t xml:space="preserve">y. suma kiekvienos iš penkių alternatyvos rango, padauginto iš jį vertinusių eksperto kompetencijos koeficiento. Šiuo atveju:  </w:t>
      </w:r>
    </w:p>
    <w:p w14:paraId="3D86047E" w14:textId="77777777" w:rsidR="00C80ABF" w:rsidRDefault="00C80ABF" w:rsidP="00C80ABF">
      <w:pPr>
        <w:spacing w:after="0" w:line="360" w:lineRule="auto"/>
        <w:rPr>
          <w:rFonts w:ascii="Times New Roman" w:hAnsi="Times New Roman"/>
          <w:sz w:val="24"/>
          <w:szCs w:val="24"/>
        </w:rPr>
      </w:pPr>
    </w:p>
    <w:p w14:paraId="596739BA" w14:textId="77777777" w:rsidR="00FC613A" w:rsidRPr="00BF37B9" w:rsidRDefault="00FC613A" w:rsidP="00BF37B9">
      <w:pPr>
        <w:pStyle w:val="1ant"/>
        <w:rPr>
          <w:sz w:val="24"/>
          <w:szCs w:val="24"/>
        </w:rPr>
      </w:pPr>
      <w:bookmarkStart w:id="133" w:name="_Toc227595969"/>
      <w:r w:rsidRPr="00BF37B9">
        <w:rPr>
          <w:sz w:val="24"/>
          <w:szCs w:val="24"/>
        </w:rPr>
        <w:t>12 lentelė. Grupiniai alternatyvų įverčiai</w:t>
      </w:r>
      <w:bookmarkEnd w:id="133"/>
    </w:p>
    <w:tbl>
      <w:tblPr>
        <w:tblW w:w="736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81"/>
        <w:gridCol w:w="766"/>
        <w:gridCol w:w="766"/>
        <w:gridCol w:w="766"/>
        <w:gridCol w:w="766"/>
        <w:gridCol w:w="666"/>
        <w:gridCol w:w="766"/>
      </w:tblGrid>
      <w:tr w:rsidR="00262506" w:rsidRPr="00C73E37" w14:paraId="0193E36D" w14:textId="77777777" w:rsidTr="00FC613A">
        <w:trPr>
          <w:trHeight w:val="348"/>
          <w:jc w:val="center"/>
        </w:trPr>
        <w:tc>
          <w:tcPr>
            <w:tcW w:w="1985" w:type="dxa"/>
          </w:tcPr>
          <w:p w14:paraId="681E7A3F" w14:textId="77777777" w:rsidR="00262506" w:rsidRPr="00C73E37" w:rsidRDefault="00262506" w:rsidP="00354FB2">
            <w:pPr>
              <w:spacing w:after="0" w:line="240" w:lineRule="auto"/>
              <w:rPr>
                <w:rFonts w:ascii="Times New Roman" w:hAnsi="Times New Roman" w:cs="Times New Roman"/>
                <w:sz w:val="20"/>
                <w:szCs w:val="20"/>
              </w:rPr>
            </w:pPr>
          </w:p>
        </w:tc>
        <w:tc>
          <w:tcPr>
            <w:tcW w:w="881" w:type="dxa"/>
            <w:vAlign w:val="center"/>
          </w:tcPr>
          <w:p w14:paraId="7444AF61"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V1</w:t>
            </w:r>
          </w:p>
        </w:tc>
        <w:tc>
          <w:tcPr>
            <w:tcW w:w="766" w:type="dxa"/>
            <w:vAlign w:val="center"/>
          </w:tcPr>
          <w:p w14:paraId="0A091D0B"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V2</w:t>
            </w:r>
          </w:p>
        </w:tc>
        <w:tc>
          <w:tcPr>
            <w:tcW w:w="766" w:type="dxa"/>
            <w:vAlign w:val="center"/>
          </w:tcPr>
          <w:p w14:paraId="1AABEBC4"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V3</w:t>
            </w:r>
          </w:p>
        </w:tc>
        <w:tc>
          <w:tcPr>
            <w:tcW w:w="766" w:type="dxa"/>
            <w:vAlign w:val="center"/>
          </w:tcPr>
          <w:p w14:paraId="50807D97"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V4</w:t>
            </w:r>
          </w:p>
        </w:tc>
        <w:tc>
          <w:tcPr>
            <w:tcW w:w="766" w:type="dxa"/>
            <w:vAlign w:val="center"/>
          </w:tcPr>
          <w:p w14:paraId="6C5EFD51"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V5</w:t>
            </w:r>
          </w:p>
        </w:tc>
        <w:tc>
          <w:tcPr>
            <w:tcW w:w="666" w:type="dxa"/>
            <w:vAlign w:val="center"/>
          </w:tcPr>
          <w:p w14:paraId="1329091C"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V6</w:t>
            </w:r>
          </w:p>
        </w:tc>
        <w:tc>
          <w:tcPr>
            <w:tcW w:w="766" w:type="dxa"/>
            <w:vAlign w:val="center"/>
          </w:tcPr>
          <w:p w14:paraId="284F343D"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V7</w:t>
            </w:r>
          </w:p>
        </w:tc>
      </w:tr>
      <w:tr w:rsidR="00262506" w:rsidRPr="00C73E37" w14:paraId="71157F19" w14:textId="77777777" w:rsidTr="00FC613A">
        <w:trPr>
          <w:trHeight w:val="681"/>
          <w:jc w:val="center"/>
        </w:trPr>
        <w:tc>
          <w:tcPr>
            <w:tcW w:w="1985" w:type="dxa"/>
          </w:tcPr>
          <w:p w14:paraId="21888938" w14:textId="77777777" w:rsidR="00262506" w:rsidRPr="00C73E37" w:rsidRDefault="00262506" w:rsidP="00354FB2">
            <w:pPr>
              <w:spacing w:after="0" w:line="240" w:lineRule="auto"/>
              <w:rPr>
                <w:rFonts w:ascii="Times New Roman" w:hAnsi="Times New Roman" w:cs="Times New Roman"/>
                <w:sz w:val="20"/>
                <w:szCs w:val="20"/>
              </w:rPr>
            </w:pPr>
            <w:r w:rsidRPr="00C73E37">
              <w:rPr>
                <w:rFonts w:ascii="Times New Roman" w:hAnsi="Times New Roman" w:cs="Times New Roman"/>
                <w:position w:val="-28"/>
                <w:sz w:val="20"/>
                <w:szCs w:val="20"/>
              </w:rPr>
              <w:object w:dxaOrig="1719" w:dyaOrig="680" w14:anchorId="6F593886">
                <v:shape id="_x0000_i1041" type="#_x0000_t75" style="width:86pt;height:34pt" o:ole="">
                  <v:imagedata r:id="rId81" o:title=""/>
                </v:shape>
                <o:OLEObject Type="Embed" ProgID="Equation.3" ShapeID="_x0000_i1041" DrawAspect="Content" ObjectID="_1430066419" r:id="rId82"/>
              </w:object>
            </w:r>
          </w:p>
        </w:tc>
        <w:tc>
          <w:tcPr>
            <w:tcW w:w="881" w:type="dxa"/>
            <w:vAlign w:val="center"/>
          </w:tcPr>
          <w:p w14:paraId="0E04DACD"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1,573</w:t>
            </w:r>
          </w:p>
        </w:tc>
        <w:tc>
          <w:tcPr>
            <w:tcW w:w="766" w:type="dxa"/>
            <w:vAlign w:val="center"/>
          </w:tcPr>
          <w:p w14:paraId="6B4AA4F4"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4,147</w:t>
            </w:r>
          </w:p>
        </w:tc>
        <w:tc>
          <w:tcPr>
            <w:tcW w:w="766" w:type="dxa"/>
            <w:vAlign w:val="center"/>
          </w:tcPr>
          <w:p w14:paraId="29A708DC"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1,859</w:t>
            </w:r>
          </w:p>
        </w:tc>
        <w:tc>
          <w:tcPr>
            <w:tcW w:w="766" w:type="dxa"/>
            <w:vAlign w:val="center"/>
          </w:tcPr>
          <w:p w14:paraId="080BA47C"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4,719</w:t>
            </w:r>
          </w:p>
        </w:tc>
        <w:tc>
          <w:tcPr>
            <w:tcW w:w="766" w:type="dxa"/>
            <w:vAlign w:val="center"/>
          </w:tcPr>
          <w:p w14:paraId="41B1E43E"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3,575</w:t>
            </w:r>
          </w:p>
        </w:tc>
        <w:tc>
          <w:tcPr>
            <w:tcW w:w="666" w:type="dxa"/>
            <w:vAlign w:val="center"/>
          </w:tcPr>
          <w:p w14:paraId="608DE508"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5,72</w:t>
            </w:r>
          </w:p>
        </w:tc>
        <w:tc>
          <w:tcPr>
            <w:tcW w:w="766" w:type="dxa"/>
            <w:vAlign w:val="center"/>
          </w:tcPr>
          <w:p w14:paraId="3E983AD3" w14:textId="77777777" w:rsidR="00262506" w:rsidRPr="00C73E37" w:rsidRDefault="00262506" w:rsidP="004B7151">
            <w:pPr>
              <w:spacing w:after="0" w:line="240" w:lineRule="auto"/>
              <w:jc w:val="center"/>
              <w:rPr>
                <w:rFonts w:ascii="Times New Roman" w:hAnsi="Times New Roman" w:cs="Times New Roman"/>
                <w:sz w:val="20"/>
                <w:szCs w:val="20"/>
              </w:rPr>
            </w:pPr>
            <w:r w:rsidRPr="00C73E37">
              <w:rPr>
                <w:rFonts w:ascii="Times New Roman" w:hAnsi="Times New Roman" w:cs="Times New Roman"/>
                <w:sz w:val="20"/>
                <w:szCs w:val="20"/>
              </w:rPr>
              <w:t>6,435</w:t>
            </w:r>
          </w:p>
        </w:tc>
      </w:tr>
    </w:tbl>
    <w:p w14:paraId="60B9E91A" w14:textId="77777777" w:rsidR="00262506" w:rsidRPr="00C73E37" w:rsidRDefault="00262506" w:rsidP="00262506">
      <w:pPr>
        <w:rPr>
          <w:rFonts w:ascii="Times New Roman" w:hAnsi="Times New Roman"/>
        </w:rPr>
      </w:pPr>
    </w:p>
    <w:p w14:paraId="57307092" w14:textId="77777777" w:rsidR="00262506" w:rsidRPr="00FC613A" w:rsidRDefault="004B7151" w:rsidP="004B7151">
      <w:pPr>
        <w:spacing w:after="0" w:line="360" w:lineRule="auto"/>
        <w:ind w:firstLine="567"/>
        <w:jc w:val="both"/>
        <w:rPr>
          <w:rFonts w:ascii="Times New Roman" w:hAnsi="Times New Roman"/>
          <w:sz w:val="24"/>
          <w:szCs w:val="24"/>
        </w:rPr>
      </w:pPr>
      <w:r w:rsidRPr="00FC613A">
        <w:rPr>
          <w:rFonts w:ascii="Times New Roman" w:hAnsi="Times New Roman"/>
          <w:sz w:val="24"/>
          <w:szCs w:val="24"/>
        </w:rPr>
        <w:t>Trečiuoju</w:t>
      </w:r>
      <w:r w:rsidR="00262506" w:rsidRPr="00FC613A">
        <w:rPr>
          <w:rFonts w:ascii="Times New Roman" w:hAnsi="Times New Roman"/>
          <w:sz w:val="24"/>
          <w:szCs w:val="24"/>
        </w:rPr>
        <w:t xml:space="preserve"> žingsniu kiekviena alternatyva (stulpelis) dauginama iš grupinio įverčio ir apskaičiuojama elementų suma </w:t>
      </w:r>
      <w:r w:rsidR="00262506" w:rsidRPr="00FC613A">
        <w:rPr>
          <w:rFonts w:ascii="Times New Roman" w:hAnsi="Times New Roman"/>
          <w:position w:val="-30"/>
          <w:sz w:val="24"/>
          <w:szCs w:val="24"/>
        </w:rPr>
        <w:object w:dxaOrig="1680" w:dyaOrig="700" w14:anchorId="4CDA72BA">
          <v:shape id="_x0000_i1042" type="#_x0000_t75" style="width:92pt;height:38pt" o:ole="">
            <v:imagedata r:id="rId75" o:title=""/>
          </v:shape>
          <o:OLEObject Type="Embed" ProgID="Equation.3" ShapeID="_x0000_i1042" DrawAspect="Content" ObjectID="_1430066420" r:id="rId83"/>
        </w:object>
      </w:r>
      <w:r w:rsidR="00262506" w:rsidRPr="00FC613A">
        <w:rPr>
          <w:rFonts w:ascii="Times New Roman" w:hAnsi="Times New Roman"/>
          <w:sz w:val="24"/>
          <w:szCs w:val="24"/>
        </w:rPr>
        <w:t>:</w:t>
      </w:r>
    </w:p>
    <w:p w14:paraId="785B80FB" w14:textId="77777777" w:rsidR="00262506" w:rsidRPr="00BF37B9" w:rsidRDefault="00FC613A" w:rsidP="00BF37B9">
      <w:pPr>
        <w:pStyle w:val="1ant"/>
        <w:rPr>
          <w:sz w:val="24"/>
          <w:szCs w:val="24"/>
        </w:rPr>
      </w:pPr>
      <w:bookmarkStart w:id="134" w:name="_Toc227595970"/>
      <w:r w:rsidRPr="00BF37B9">
        <w:rPr>
          <w:sz w:val="24"/>
          <w:szCs w:val="24"/>
        </w:rPr>
        <w:lastRenderedPageBreak/>
        <w:t>13 lentelė. Apskaičiuota elementų suma</w:t>
      </w:r>
      <w:bookmarkEnd w:id="134"/>
    </w:p>
    <w:tbl>
      <w:tblPr>
        <w:tblW w:w="774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848"/>
        <w:gridCol w:w="884"/>
        <w:gridCol w:w="883"/>
        <w:gridCol w:w="884"/>
        <w:gridCol w:w="839"/>
        <w:gridCol w:w="898"/>
        <w:gridCol w:w="898"/>
      </w:tblGrid>
      <w:tr w:rsidR="00262506" w:rsidRPr="00FC613A" w14:paraId="149229F1" w14:textId="77777777" w:rsidTr="00FC613A">
        <w:trPr>
          <w:trHeight w:val="315"/>
          <w:jc w:val="center"/>
        </w:trPr>
        <w:tc>
          <w:tcPr>
            <w:tcW w:w="1595" w:type="dxa"/>
            <w:vMerge w:val="restart"/>
            <w:shd w:val="clear" w:color="auto" w:fill="auto"/>
            <w:vAlign w:val="center"/>
          </w:tcPr>
          <w:p w14:paraId="69700542" w14:textId="77777777" w:rsidR="00262506" w:rsidRPr="00FC613A" w:rsidRDefault="00262506" w:rsidP="00354FB2">
            <w:pPr>
              <w:spacing w:after="0" w:line="240" w:lineRule="auto"/>
              <w:rPr>
                <w:rFonts w:ascii="Times New Roman" w:hAnsi="Times New Roman" w:cs="Times New Roman"/>
                <w:sz w:val="20"/>
                <w:szCs w:val="20"/>
              </w:rPr>
            </w:pPr>
            <w:r w:rsidRPr="00FC613A">
              <w:rPr>
                <w:rFonts w:ascii="Times New Roman" w:hAnsi="Times New Roman" w:cs="Times New Roman"/>
                <w:sz w:val="20"/>
                <w:szCs w:val="20"/>
              </w:rPr>
              <w:t> </w:t>
            </w:r>
          </w:p>
          <w:p w14:paraId="09869A5C" w14:textId="77777777" w:rsidR="00262506" w:rsidRPr="00FC613A" w:rsidRDefault="00262506" w:rsidP="00354FB2">
            <w:pPr>
              <w:spacing w:after="0" w:line="240" w:lineRule="auto"/>
              <w:rPr>
                <w:rFonts w:ascii="Times New Roman" w:hAnsi="Times New Roman" w:cs="Times New Roman"/>
                <w:sz w:val="20"/>
                <w:szCs w:val="20"/>
              </w:rPr>
            </w:pPr>
            <w:r w:rsidRPr="00FC613A">
              <w:rPr>
                <w:rFonts w:ascii="Times New Roman" w:hAnsi="Times New Roman" w:cs="Times New Roman"/>
                <w:sz w:val="20"/>
                <w:szCs w:val="20"/>
              </w:rPr>
              <w:t> </w:t>
            </w:r>
            <w:bookmarkStart w:id="135" w:name="OLE_LINK8"/>
            <w:bookmarkStart w:id="136" w:name="OLE_LINK9"/>
            <w:r w:rsidRPr="00FC613A">
              <w:rPr>
                <w:rFonts w:ascii="Times New Roman" w:hAnsi="Times New Roman" w:cs="Times New Roman"/>
                <w:position w:val="-30"/>
                <w:sz w:val="20"/>
                <w:szCs w:val="20"/>
              </w:rPr>
              <w:object w:dxaOrig="1800" w:dyaOrig="700" w14:anchorId="737021C2">
                <v:shape id="_x0000_i1043" type="#_x0000_t75" style="width:67pt;height:26pt" o:ole="">
                  <v:imagedata r:id="rId84" o:title=""/>
                </v:shape>
                <o:OLEObject Type="Embed" ProgID="Equation.3" ShapeID="_x0000_i1043" DrawAspect="Content" ObjectID="_1430066421" r:id="rId85"/>
              </w:object>
            </w:r>
            <w:bookmarkEnd w:id="135"/>
            <w:bookmarkEnd w:id="136"/>
          </w:p>
          <w:p w14:paraId="0BDC65AF" w14:textId="77777777" w:rsidR="00262506" w:rsidRPr="00FC613A" w:rsidRDefault="00262506" w:rsidP="00354FB2">
            <w:pPr>
              <w:spacing w:after="0" w:line="240" w:lineRule="auto"/>
              <w:rPr>
                <w:rFonts w:ascii="Times New Roman" w:hAnsi="Times New Roman" w:cs="Times New Roman"/>
                <w:sz w:val="20"/>
                <w:szCs w:val="20"/>
              </w:rPr>
            </w:pPr>
            <w:r w:rsidRPr="00FC613A">
              <w:rPr>
                <w:rFonts w:ascii="Times New Roman" w:hAnsi="Times New Roman" w:cs="Times New Roman"/>
                <w:sz w:val="20"/>
                <w:szCs w:val="20"/>
              </w:rPr>
              <w:t> </w:t>
            </w:r>
          </w:p>
        </w:tc>
        <w:tc>
          <w:tcPr>
            <w:tcW w:w="851" w:type="dxa"/>
            <w:shd w:val="clear" w:color="auto" w:fill="auto"/>
            <w:vAlign w:val="bottom"/>
          </w:tcPr>
          <w:p w14:paraId="2135AF23"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shd w:val="clear" w:color="auto" w:fill="auto"/>
            <w:vAlign w:val="bottom"/>
          </w:tcPr>
          <w:p w14:paraId="238C8CE9"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8,29</w:t>
            </w:r>
          </w:p>
        </w:tc>
        <w:tc>
          <w:tcPr>
            <w:tcW w:w="886" w:type="dxa"/>
            <w:shd w:val="clear" w:color="auto" w:fill="auto"/>
            <w:vAlign w:val="bottom"/>
          </w:tcPr>
          <w:p w14:paraId="62068D2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7,43</w:t>
            </w:r>
          </w:p>
        </w:tc>
        <w:tc>
          <w:tcPr>
            <w:tcW w:w="886" w:type="dxa"/>
            <w:shd w:val="clear" w:color="auto" w:fill="auto"/>
            <w:vAlign w:val="bottom"/>
          </w:tcPr>
          <w:p w14:paraId="3061E81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33,00</w:t>
            </w:r>
          </w:p>
        </w:tc>
        <w:tc>
          <w:tcPr>
            <w:tcW w:w="841" w:type="dxa"/>
            <w:shd w:val="clear" w:color="auto" w:fill="auto"/>
            <w:vAlign w:val="bottom"/>
          </w:tcPr>
          <w:p w14:paraId="3711627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21,43</w:t>
            </w:r>
          </w:p>
        </w:tc>
        <w:tc>
          <w:tcPr>
            <w:tcW w:w="900" w:type="dxa"/>
            <w:shd w:val="clear" w:color="auto" w:fill="auto"/>
            <w:vAlign w:val="bottom"/>
          </w:tcPr>
          <w:p w14:paraId="30FA69B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17,14</w:t>
            </w:r>
          </w:p>
        </w:tc>
        <w:tc>
          <w:tcPr>
            <w:tcW w:w="900" w:type="dxa"/>
            <w:shd w:val="clear" w:color="auto" w:fill="auto"/>
            <w:vAlign w:val="bottom"/>
          </w:tcPr>
          <w:p w14:paraId="11B62AB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32,14</w:t>
            </w:r>
          </w:p>
        </w:tc>
      </w:tr>
      <w:tr w:rsidR="00262506" w:rsidRPr="00FC613A" w14:paraId="201E722D" w14:textId="77777777" w:rsidTr="00FC613A">
        <w:trPr>
          <w:trHeight w:val="315"/>
          <w:jc w:val="center"/>
        </w:trPr>
        <w:tc>
          <w:tcPr>
            <w:tcW w:w="1595" w:type="dxa"/>
            <w:vMerge/>
            <w:shd w:val="clear" w:color="auto" w:fill="auto"/>
            <w:vAlign w:val="center"/>
          </w:tcPr>
          <w:p w14:paraId="465FCC81" w14:textId="77777777" w:rsidR="00262506" w:rsidRPr="00FC613A" w:rsidRDefault="00262506" w:rsidP="00354FB2">
            <w:pPr>
              <w:spacing w:after="0" w:line="240" w:lineRule="auto"/>
              <w:rPr>
                <w:rFonts w:ascii="Times New Roman" w:hAnsi="Times New Roman" w:cs="Times New Roman"/>
                <w:sz w:val="20"/>
                <w:szCs w:val="20"/>
              </w:rPr>
            </w:pPr>
          </w:p>
        </w:tc>
        <w:tc>
          <w:tcPr>
            <w:tcW w:w="851" w:type="dxa"/>
            <w:shd w:val="clear" w:color="auto" w:fill="auto"/>
            <w:vAlign w:val="bottom"/>
          </w:tcPr>
          <w:p w14:paraId="6435556A"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3,14</w:t>
            </w:r>
          </w:p>
        </w:tc>
        <w:tc>
          <w:tcPr>
            <w:tcW w:w="886" w:type="dxa"/>
            <w:shd w:val="clear" w:color="auto" w:fill="auto"/>
            <w:vAlign w:val="bottom"/>
          </w:tcPr>
          <w:p w14:paraId="6D1ABA9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16,57</w:t>
            </w:r>
          </w:p>
        </w:tc>
        <w:tc>
          <w:tcPr>
            <w:tcW w:w="886" w:type="dxa"/>
            <w:shd w:val="clear" w:color="auto" w:fill="auto"/>
            <w:vAlign w:val="bottom"/>
          </w:tcPr>
          <w:p w14:paraId="35743E9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1,86</w:t>
            </w:r>
          </w:p>
        </w:tc>
        <w:tc>
          <w:tcPr>
            <w:tcW w:w="886" w:type="dxa"/>
            <w:shd w:val="clear" w:color="auto" w:fill="auto"/>
            <w:vAlign w:val="bottom"/>
          </w:tcPr>
          <w:p w14:paraId="47911E1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28,29</w:t>
            </w:r>
          </w:p>
        </w:tc>
        <w:tc>
          <w:tcPr>
            <w:tcW w:w="841" w:type="dxa"/>
            <w:shd w:val="clear" w:color="auto" w:fill="auto"/>
            <w:vAlign w:val="bottom"/>
          </w:tcPr>
          <w:p w14:paraId="253D056B"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10,71</w:t>
            </w:r>
          </w:p>
        </w:tc>
        <w:tc>
          <w:tcPr>
            <w:tcW w:w="900" w:type="dxa"/>
            <w:shd w:val="clear" w:color="auto" w:fill="auto"/>
            <w:vAlign w:val="bottom"/>
          </w:tcPr>
          <w:p w14:paraId="3105AD4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28,57</w:t>
            </w:r>
          </w:p>
        </w:tc>
        <w:tc>
          <w:tcPr>
            <w:tcW w:w="900" w:type="dxa"/>
            <w:shd w:val="clear" w:color="auto" w:fill="auto"/>
            <w:vAlign w:val="bottom"/>
          </w:tcPr>
          <w:p w14:paraId="41D4E9E9"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r>
      <w:tr w:rsidR="00262506" w:rsidRPr="00FC613A" w14:paraId="4FB3C885" w14:textId="77777777" w:rsidTr="00FC613A">
        <w:trPr>
          <w:trHeight w:val="315"/>
          <w:jc w:val="center"/>
        </w:trPr>
        <w:tc>
          <w:tcPr>
            <w:tcW w:w="1595" w:type="dxa"/>
            <w:vMerge/>
            <w:shd w:val="clear" w:color="auto" w:fill="auto"/>
            <w:vAlign w:val="center"/>
          </w:tcPr>
          <w:p w14:paraId="4B0EFCB7" w14:textId="77777777" w:rsidR="00262506" w:rsidRPr="00FC613A" w:rsidRDefault="00262506" w:rsidP="00354FB2">
            <w:pPr>
              <w:spacing w:after="0" w:line="240" w:lineRule="auto"/>
              <w:rPr>
                <w:rFonts w:ascii="Times New Roman" w:hAnsi="Times New Roman" w:cs="Times New Roman"/>
                <w:sz w:val="20"/>
                <w:szCs w:val="20"/>
              </w:rPr>
            </w:pPr>
          </w:p>
        </w:tc>
        <w:tc>
          <w:tcPr>
            <w:tcW w:w="851" w:type="dxa"/>
            <w:shd w:val="clear" w:color="auto" w:fill="auto"/>
            <w:vAlign w:val="bottom"/>
          </w:tcPr>
          <w:p w14:paraId="1901E68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shd w:val="clear" w:color="auto" w:fill="auto"/>
            <w:vAlign w:val="bottom"/>
          </w:tcPr>
          <w:p w14:paraId="78F6828A"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shd w:val="clear" w:color="auto" w:fill="auto"/>
            <w:vAlign w:val="bottom"/>
          </w:tcPr>
          <w:p w14:paraId="23FAE7BD"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3,71</w:t>
            </w:r>
          </w:p>
        </w:tc>
        <w:tc>
          <w:tcPr>
            <w:tcW w:w="886" w:type="dxa"/>
            <w:shd w:val="clear" w:color="auto" w:fill="auto"/>
            <w:vAlign w:val="bottom"/>
          </w:tcPr>
          <w:p w14:paraId="6B98FE05"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18,86</w:t>
            </w:r>
          </w:p>
        </w:tc>
        <w:tc>
          <w:tcPr>
            <w:tcW w:w="841" w:type="dxa"/>
            <w:shd w:val="clear" w:color="auto" w:fill="auto"/>
            <w:vAlign w:val="bottom"/>
          </w:tcPr>
          <w:p w14:paraId="6756072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10,71</w:t>
            </w:r>
          </w:p>
        </w:tc>
        <w:tc>
          <w:tcPr>
            <w:tcW w:w="900" w:type="dxa"/>
            <w:shd w:val="clear" w:color="auto" w:fill="auto"/>
            <w:vAlign w:val="bottom"/>
          </w:tcPr>
          <w:p w14:paraId="6A5CDDB2"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34,29</w:t>
            </w:r>
          </w:p>
        </w:tc>
        <w:tc>
          <w:tcPr>
            <w:tcW w:w="900" w:type="dxa"/>
            <w:shd w:val="clear" w:color="auto" w:fill="auto"/>
            <w:vAlign w:val="bottom"/>
          </w:tcPr>
          <w:p w14:paraId="07B1EBE8"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r>
      <w:tr w:rsidR="00262506" w:rsidRPr="00FC613A" w14:paraId="41259F13" w14:textId="77777777" w:rsidTr="00FC613A">
        <w:trPr>
          <w:trHeight w:val="315"/>
          <w:jc w:val="center"/>
        </w:trPr>
        <w:tc>
          <w:tcPr>
            <w:tcW w:w="1595" w:type="dxa"/>
            <w:shd w:val="clear" w:color="auto" w:fill="auto"/>
            <w:vAlign w:val="center"/>
          </w:tcPr>
          <w:p w14:paraId="3F207AB8" w14:textId="77777777" w:rsidR="00262506" w:rsidRPr="00FC613A" w:rsidRDefault="00262506" w:rsidP="00354FB2">
            <w:pPr>
              <w:spacing w:after="0" w:line="240" w:lineRule="auto"/>
              <w:rPr>
                <w:rFonts w:ascii="Times New Roman" w:hAnsi="Times New Roman" w:cs="Times New Roman"/>
                <w:sz w:val="20"/>
                <w:szCs w:val="20"/>
              </w:rPr>
            </w:pPr>
            <w:r w:rsidRPr="00FC613A">
              <w:rPr>
                <w:rFonts w:ascii="Times New Roman" w:hAnsi="Times New Roman" w:cs="Times New Roman"/>
                <w:sz w:val="20"/>
                <w:szCs w:val="20"/>
              </w:rPr>
              <w:t> </w:t>
            </w:r>
          </w:p>
        </w:tc>
        <w:tc>
          <w:tcPr>
            <w:tcW w:w="851" w:type="dxa"/>
            <w:shd w:val="clear" w:color="auto" w:fill="auto"/>
            <w:vAlign w:val="bottom"/>
          </w:tcPr>
          <w:p w14:paraId="5C10CDF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4,71</w:t>
            </w:r>
          </w:p>
        </w:tc>
        <w:tc>
          <w:tcPr>
            <w:tcW w:w="886" w:type="dxa"/>
            <w:shd w:val="clear" w:color="auto" w:fill="auto"/>
            <w:vAlign w:val="bottom"/>
          </w:tcPr>
          <w:p w14:paraId="0BBA76D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shd w:val="clear" w:color="auto" w:fill="auto"/>
            <w:vAlign w:val="bottom"/>
          </w:tcPr>
          <w:p w14:paraId="0B6ED8FA"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1,86</w:t>
            </w:r>
          </w:p>
        </w:tc>
        <w:tc>
          <w:tcPr>
            <w:tcW w:w="886" w:type="dxa"/>
            <w:shd w:val="clear" w:color="auto" w:fill="auto"/>
            <w:vAlign w:val="bottom"/>
          </w:tcPr>
          <w:p w14:paraId="36869662"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18,86</w:t>
            </w:r>
          </w:p>
        </w:tc>
        <w:tc>
          <w:tcPr>
            <w:tcW w:w="841" w:type="dxa"/>
            <w:shd w:val="clear" w:color="auto" w:fill="auto"/>
            <w:vAlign w:val="bottom"/>
          </w:tcPr>
          <w:p w14:paraId="644403D8"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7,14</w:t>
            </w:r>
          </w:p>
        </w:tc>
        <w:tc>
          <w:tcPr>
            <w:tcW w:w="900" w:type="dxa"/>
            <w:shd w:val="clear" w:color="auto" w:fill="auto"/>
            <w:vAlign w:val="bottom"/>
          </w:tcPr>
          <w:p w14:paraId="205451EF"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40</w:t>
            </w:r>
          </w:p>
        </w:tc>
        <w:tc>
          <w:tcPr>
            <w:tcW w:w="900" w:type="dxa"/>
            <w:shd w:val="clear" w:color="auto" w:fill="auto"/>
            <w:vAlign w:val="bottom"/>
          </w:tcPr>
          <w:p w14:paraId="5DD7F6D8"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38,57</w:t>
            </w:r>
          </w:p>
        </w:tc>
      </w:tr>
      <w:tr w:rsidR="00262506" w:rsidRPr="00FC613A" w14:paraId="79D114DF" w14:textId="77777777" w:rsidTr="00FC613A">
        <w:trPr>
          <w:trHeight w:val="315"/>
          <w:jc w:val="center"/>
        </w:trPr>
        <w:tc>
          <w:tcPr>
            <w:tcW w:w="1595" w:type="dxa"/>
            <w:shd w:val="clear" w:color="auto" w:fill="auto"/>
            <w:vAlign w:val="center"/>
          </w:tcPr>
          <w:p w14:paraId="5B54773D" w14:textId="77777777" w:rsidR="00262506" w:rsidRPr="00FC613A" w:rsidRDefault="00262506" w:rsidP="00354FB2">
            <w:pPr>
              <w:spacing w:after="0" w:line="240" w:lineRule="auto"/>
              <w:rPr>
                <w:rFonts w:ascii="Times New Roman" w:hAnsi="Times New Roman" w:cs="Times New Roman"/>
                <w:sz w:val="20"/>
                <w:szCs w:val="20"/>
              </w:rPr>
            </w:pPr>
            <w:r w:rsidRPr="00FC613A">
              <w:rPr>
                <w:rFonts w:ascii="Times New Roman" w:hAnsi="Times New Roman" w:cs="Times New Roman"/>
                <w:sz w:val="20"/>
                <w:szCs w:val="20"/>
              </w:rPr>
              <w:t> </w:t>
            </w:r>
          </w:p>
        </w:tc>
        <w:tc>
          <w:tcPr>
            <w:tcW w:w="851" w:type="dxa"/>
            <w:shd w:val="clear" w:color="auto" w:fill="auto"/>
            <w:vAlign w:val="bottom"/>
          </w:tcPr>
          <w:p w14:paraId="526F491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shd w:val="clear" w:color="auto" w:fill="auto"/>
            <w:vAlign w:val="bottom"/>
          </w:tcPr>
          <w:p w14:paraId="12548ADF"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shd w:val="clear" w:color="auto" w:fill="auto"/>
            <w:vAlign w:val="bottom"/>
          </w:tcPr>
          <w:p w14:paraId="50603C5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3,71</w:t>
            </w:r>
          </w:p>
        </w:tc>
        <w:tc>
          <w:tcPr>
            <w:tcW w:w="886" w:type="dxa"/>
            <w:shd w:val="clear" w:color="auto" w:fill="auto"/>
            <w:vAlign w:val="bottom"/>
          </w:tcPr>
          <w:p w14:paraId="16F8B433"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18,86</w:t>
            </w:r>
          </w:p>
        </w:tc>
        <w:tc>
          <w:tcPr>
            <w:tcW w:w="841" w:type="dxa"/>
            <w:shd w:val="clear" w:color="auto" w:fill="auto"/>
            <w:vAlign w:val="bottom"/>
          </w:tcPr>
          <w:p w14:paraId="5E25B808"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10,71</w:t>
            </w:r>
          </w:p>
        </w:tc>
        <w:tc>
          <w:tcPr>
            <w:tcW w:w="900" w:type="dxa"/>
            <w:shd w:val="clear" w:color="auto" w:fill="auto"/>
            <w:vAlign w:val="bottom"/>
          </w:tcPr>
          <w:p w14:paraId="6811EAE3"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34,29</w:t>
            </w:r>
          </w:p>
        </w:tc>
        <w:tc>
          <w:tcPr>
            <w:tcW w:w="900" w:type="dxa"/>
            <w:shd w:val="clear" w:color="auto" w:fill="auto"/>
            <w:vAlign w:val="bottom"/>
          </w:tcPr>
          <w:p w14:paraId="126CFA75"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r>
      <w:tr w:rsidR="00262506" w:rsidRPr="00FC613A" w14:paraId="29EE4F95" w14:textId="77777777" w:rsidTr="00FC613A">
        <w:trPr>
          <w:trHeight w:val="315"/>
          <w:jc w:val="center"/>
        </w:trPr>
        <w:tc>
          <w:tcPr>
            <w:tcW w:w="1595" w:type="dxa"/>
            <w:shd w:val="clear" w:color="auto" w:fill="auto"/>
            <w:vAlign w:val="center"/>
          </w:tcPr>
          <w:p w14:paraId="651A9BF5" w14:textId="77777777" w:rsidR="00262506" w:rsidRPr="00FC613A" w:rsidRDefault="00262506" w:rsidP="00354FB2">
            <w:pPr>
              <w:spacing w:after="0" w:line="240" w:lineRule="auto"/>
              <w:rPr>
                <w:rFonts w:ascii="Times New Roman" w:hAnsi="Times New Roman" w:cs="Times New Roman"/>
                <w:sz w:val="20"/>
                <w:szCs w:val="20"/>
              </w:rPr>
            </w:pPr>
            <w:r w:rsidRPr="00FC613A">
              <w:rPr>
                <w:rFonts w:ascii="Times New Roman" w:hAnsi="Times New Roman" w:cs="Times New Roman"/>
                <w:sz w:val="20"/>
                <w:szCs w:val="20"/>
              </w:rPr>
              <w:t> </w:t>
            </w:r>
          </w:p>
        </w:tc>
        <w:tc>
          <w:tcPr>
            <w:tcW w:w="851" w:type="dxa"/>
            <w:shd w:val="clear" w:color="auto" w:fill="auto"/>
            <w:vAlign w:val="bottom"/>
          </w:tcPr>
          <w:p w14:paraId="48DDE40A"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3,14</w:t>
            </w:r>
          </w:p>
        </w:tc>
        <w:tc>
          <w:tcPr>
            <w:tcW w:w="886" w:type="dxa"/>
            <w:shd w:val="clear" w:color="auto" w:fill="auto"/>
            <w:vAlign w:val="bottom"/>
          </w:tcPr>
          <w:p w14:paraId="03822BE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12,43</w:t>
            </w:r>
          </w:p>
        </w:tc>
        <w:tc>
          <w:tcPr>
            <w:tcW w:w="886" w:type="dxa"/>
            <w:shd w:val="clear" w:color="auto" w:fill="auto"/>
            <w:vAlign w:val="bottom"/>
          </w:tcPr>
          <w:p w14:paraId="33DAEF59"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1,86</w:t>
            </w:r>
          </w:p>
        </w:tc>
        <w:tc>
          <w:tcPr>
            <w:tcW w:w="886" w:type="dxa"/>
            <w:shd w:val="clear" w:color="auto" w:fill="auto"/>
            <w:vAlign w:val="bottom"/>
          </w:tcPr>
          <w:p w14:paraId="711CE62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23,57</w:t>
            </w:r>
          </w:p>
        </w:tc>
        <w:tc>
          <w:tcPr>
            <w:tcW w:w="841" w:type="dxa"/>
            <w:shd w:val="clear" w:color="auto" w:fill="auto"/>
            <w:vAlign w:val="bottom"/>
          </w:tcPr>
          <w:p w14:paraId="7CB712B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14,29</w:t>
            </w:r>
          </w:p>
        </w:tc>
        <w:tc>
          <w:tcPr>
            <w:tcW w:w="900" w:type="dxa"/>
            <w:shd w:val="clear" w:color="auto" w:fill="auto"/>
            <w:vAlign w:val="bottom"/>
          </w:tcPr>
          <w:p w14:paraId="165572D0"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34,29</w:t>
            </w:r>
          </w:p>
        </w:tc>
        <w:tc>
          <w:tcPr>
            <w:tcW w:w="900" w:type="dxa"/>
            <w:shd w:val="clear" w:color="auto" w:fill="auto"/>
            <w:vAlign w:val="bottom"/>
          </w:tcPr>
          <w:p w14:paraId="67224CEF"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r>
      <w:tr w:rsidR="00262506" w:rsidRPr="00FC613A" w14:paraId="77CC1529" w14:textId="77777777" w:rsidTr="00FC613A">
        <w:trPr>
          <w:trHeight w:val="315"/>
          <w:jc w:val="center"/>
        </w:trPr>
        <w:tc>
          <w:tcPr>
            <w:tcW w:w="1595" w:type="dxa"/>
            <w:shd w:val="clear" w:color="auto" w:fill="auto"/>
            <w:noWrap/>
            <w:vAlign w:val="center"/>
          </w:tcPr>
          <w:p w14:paraId="366FCA0A" w14:textId="77777777" w:rsidR="00262506" w:rsidRPr="00FC613A" w:rsidRDefault="00262506" w:rsidP="00354FB2">
            <w:pPr>
              <w:spacing w:after="0" w:line="240" w:lineRule="auto"/>
              <w:rPr>
                <w:rFonts w:ascii="Times New Roman" w:hAnsi="Times New Roman" w:cs="Times New Roman"/>
                <w:b/>
                <w:sz w:val="20"/>
                <w:szCs w:val="20"/>
              </w:rPr>
            </w:pPr>
            <w:r w:rsidRPr="00FC613A">
              <w:rPr>
                <w:rFonts w:ascii="Times New Roman" w:hAnsi="Times New Roman" w:cs="Times New Roman"/>
                <w:b/>
                <w:sz w:val="20"/>
                <w:szCs w:val="20"/>
              </w:rPr>
              <w:t> Suma: 924,29</w:t>
            </w:r>
          </w:p>
        </w:tc>
        <w:tc>
          <w:tcPr>
            <w:tcW w:w="851" w:type="dxa"/>
            <w:shd w:val="clear" w:color="auto" w:fill="auto"/>
            <w:vAlign w:val="bottom"/>
          </w:tcPr>
          <w:p w14:paraId="79A6C35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shd w:val="clear" w:color="auto" w:fill="auto"/>
            <w:vAlign w:val="bottom"/>
          </w:tcPr>
          <w:p w14:paraId="0DA0B50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shd w:val="clear" w:color="auto" w:fill="auto"/>
            <w:vAlign w:val="bottom"/>
          </w:tcPr>
          <w:p w14:paraId="694E8278"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3,71</w:t>
            </w:r>
          </w:p>
        </w:tc>
        <w:tc>
          <w:tcPr>
            <w:tcW w:w="886" w:type="dxa"/>
            <w:shd w:val="clear" w:color="auto" w:fill="auto"/>
            <w:vAlign w:val="bottom"/>
          </w:tcPr>
          <w:p w14:paraId="03F0322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14,14</w:t>
            </w:r>
          </w:p>
        </w:tc>
        <w:tc>
          <w:tcPr>
            <w:tcW w:w="841" w:type="dxa"/>
            <w:shd w:val="clear" w:color="auto" w:fill="auto"/>
            <w:vAlign w:val="bottom"/>
          </w:tcPr>
          <w:p w14:paraId="30BFCB1F"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14,29</w:t>
            </w:r>
          </w:p>
        </w:tc>
        <w:tc>
          <w:tcPr>
            <w:tcW w:w="900" w:type="dxa"/>
            <w:shd w:val="clear" w:color="auto" w:fill="auto"/>
            <w:vAlign w:val="bottom"/>
          </w:tcPr>
          <w:p w14:paraId="48E0216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40</w:t>
            </w:r>
          </w:p>
        </w:tc>
        <w:tc>
          <w:tcPr>
            <w:tcW w:w="900" w:type="dxa"/>
            <w:shd w:val="clear" w:color="auto" w:fill="auto"/>
            <w:vAlign w:val="bottom"/>
          </w:tcPr>
          <w:p w14:paraId="596E4EA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38,57</w:t>
            </w:r>
          </w:p>
        </w:tc>
      </w:tr>
    </w:tbl>
    <w:p w14:paraId="6B54C472" w14:textId="77777777" w:rsidR="00262506" w:rsidRPr="003E5890" w:rsidRDefault="00262506" w:rsidP="00C80ABF">
      <w:pPr>
        <w:spacing w:after="0" w:line="360" w:lineRule="auto"/>
        <w:jc w:val="both"/>
        <w:rPr>
          <w:rFonts w:ascii="Times New Roman" w:hAnsi="Times New Roman"/>
          <w:color w:val="FF0000"/>
        </w:rPr>
      </w:pPr>
    </w:p>
    <w:p w14:paraId="2E0141AD" w14:textId="77777777" w:rsidR="00C80ABF" w:rsidRPr="00FC613A" w:rsidRDefault="00A17EAF" w:rsidP="00FC613A">
      <w:pPr>
        <w:spacing w:after="0" w:line="360" w:lineRule="auto"/>
        <w:ind w:firstLine="567"/>
        <w:jc w:val="both"/>
        <w:rPr>
          <w:rFonts w:ascii="Times New Roman" w:hAnsi="Times New Roman"/>
        </w:rPr>
      </w:pPr>
      <w:r w:rsidRPr="00FC613A">
        <w:rPr>
          <w:rFonts w:ascii="Times New Roman" w:hAnsi="Times New Roman"/>
          <w:sz w:val="24"/>
          <w:szCs w:val="24"/>
        </w:rPr>
        <w:t>Ketvirtuoj</w:t>
      </w:r>
      <w:r w:rsidR="004B7151" w:rsidRPr="00FC613A">
        <w:rPr>
          <w:rFonts w:ascii="Times New Roman" w:hAnsi="Times New Roman"/>
          <w:sz w:val="24"/>
          <w:szCs w:val="24"/>
        </w:rPr>
        <w:t>u</w:t>
      </w:r>
      <w:r w:rsidR="00262506" w:rsidRPr="00FC613A">
        <w:rPr>
          <w:rFonts w:ascii="Times New Roman" w:hAnsi="Times New Roman"/>
          <w:sz w:val="24"/>
          <w:szCs w:val="24"/>
        </w:rPr>
        <w:t xml:space="preserve"> žingsniu grupiniai įverčiai dauginami iš pradinės matricos eilučių ir susumuojami. Gautas sumas padalinus iš prieš tai gau</w:t>
      </w:r>
      <w:r w:rsidRPr="00FC613A">
        <w:rPr>
          <w:rFonts w:ascii="Times New Roman" w:hAnsi="Times New Roman"/>
          <w:sz w:val="24"/>
          <w:szCs w:val="24"/>
        </w:rPr>
        <w:t>tų</w:t>
      </w:r>
      <w:r w:rsidR="00262506" w:rsidRPr="00FC613A">
        <w:rPr>
          <w:rFonts w:ascii="Times New Roman" w:hAnsi="Times New Roman"/>
          <w:sz w:val="24"/>
          <w:szCs w:val="24"/>
        </w:rPr>
        <w:t xml:space="preserve"> elementų sum</w:t>
      </w:r>
      <w:r w:rsidRPr="00FC613A">
        <w:rPr>
          <w:rFonts w:ascii="Times New Roman" w:hAnsi="Times New Roman"/>
          <w:sz w:val="24"/>
          <w:szCs w:val="24"/>
        </w:rPr>
        <w:t>ų,</w:t>
      </w:r>
      <w:r w:rsidR="00262506" w:rsidRPr="00FC613A">
        <w:rPr>
          <w:rFonts w:ascii="Times New Roman" w:hAnsi="Times New Roman"/>
          <w:sz w:val="24"/>
          <w:szCs w:val="24"/>
        </w:rPr>
        <w:t xml:space="preserve"> gaunamas naujas kompetencijos koeficiento įvertis</w:t>
      </w:r>
      <w:r w:rsidR="00C80ABF" w:rsidRPr="00FC613A">
        <w:rPr>
          <w:rFonts w:ascii="Times New Roman" w:hAnsi="Times New Roman"/>
        </w:rPr>
        <w:t>.</w:t>
      </w:r>
    </w:p>
    <w:p w14:paraId="014151DC" w14:textId="77777777" w:rsidR="00262506" w:rsidRDefault="00262506" w:rsidP="00C80ABF">
      <w:pPr>
        <w:spacing w:after="0" w:line="360" w:lineRule="auto"/>
        <w:jc w:val="center"/>
        <w:rPr>
          <w:rFonts w:ascii="Times New Roman" w:hAnsi="Times New Roman"/>
          <w:color w:val="FF0000"/>
        </w:rPr>
      </w:pPr>
      <w:r w:rsidRPr="003E5890">
        <w:rPr>
          <w:rFonts w:ascii="Times New Roman" w:hAnsi="Times New Roman"/>
          <w:color w:val="FF0000"/>
          <w:position w:val="-30"/>
        </w:rPr>
        <w:object w:dxaOrig="1860" w:dyaOrig="700" w14:anchorId="2FCC07AA">
          <v:shape id="_x0000_i1044" type="#_x0000_t75" style="width:105pt;height:39pt" o:ole="">
            <v:imagedata r:id="rId86" o:title=""/>
          </v:shape>
          <o:OLEObject Type="Embed" ProgID="Equation.3" ShapeID="_x0000_i1044" DrawAspect="Content" ObjectID="_1430066422" r:id="rId87"/>
        </w:object>
      </w:r>
      <w:r w:rsidRPr="003E5890">
        <w:rPr>
          <w:rFonts w:ascii="Times New Roman" w:hAnsi="Times New Roman"/>
          <w:color w:val="FF0000"/>
        </w:rPr>
        <w:t>:</w:t>
      </w:r>
    </w:p>
    <w:p w14:paraId="41EE0764" w14:textId="77777777" w:rsidR="00C80ABF" w:rsidRDefault="00C80ABF" w:rsidP="00C80ABF">
      <w:pPr>
        <w:spacing w:after="0" w:line="360" w:lineRule="auto"/>
        <w:jc w:val="both"/>
        <w:rPr>
          <w:rFonts w:ascii="Times New Roman" w:hAnsi="Times New Roman"/>
          <w:color w:val="FF0000"/>
        </w:rPr>
      </w:pPr>
    </w:p>
    <w:p w14:paraId="639E5015" w14:textId="77777777" w:rsidR="00FC613A" w:rsidRPr="00BF37B9" w:rsidRDefault="00FC613A" w:rsidP="00BF37B9">
      <w:pPr>
        <w:pStyle w:val="1ant"/>
        <w:rPr>
          <w:sz w:val="24"/>
          <w:szCs w:val="24"/>
        </w:rPr>
      </w:pPr>
      <w:bookmarkStart w:id="137" w:name="_Toc227595971"/>
      <w:r w:rsidRPr="00BF37B9">
        <w:rPr>
          <w:sz w:val="24"/>
          <w:szCs w:val="24"/>
        </w:rPr>
        <w:t>14 lentelė. Kompetencijos koeficiento įvertis</w:t>
      </w:r>
      <w:bookmarkEnd w:id="137"/>
    </w:p>
    <w:tbl>
      <w:tblPr>
        <w:tblW w:w="7982"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86"/>
        <w:gridCol w:w="886"/>
        <w:gridCol w:w="886"/>
        <w:gridCol w:w="841"/>
        <w:gridCol w:w="900"/>
        <w:gridCol w:w="900"/>
        <w:gridCol w:w="766"/>
        <w:gridCol w:w="1066"/>
      </w:tblGrid>
      <w:tr w:rsidR="00262506" w:rsidRPr="00FC613A" w14:paraId="7683140F" w14:textId="77777777" w:rsidTr="00FC613A">
        <w:trPr>
          <w:trHeight w:val="315"/>
          <w:jc w:val="center"/>
        </w:trPr>
        <w:tc>
          <w:tcPr>
            <w:tcW w:w="851" w:type="dxa"/>
            <w:tcBorders>
              <w:top w:val="nil"/>
              <w:left w:val="nil"/>
              <w:bottom w:val="single" w:sz="4" w:space="0" w:color="auto"/>
              <w:right w:val="nil"/>
            </w:tcBorders>
            <w:shd w:val="clear" w:color="auto" w:fill="auto"/>
            <w:vAlign w:val="bottom"/>
          </w:tcPr>
          <w:p w14:paraId="4B73293E" w14:textId="77777777" w:rsidR="00262506" w:rsidRPr="00FC613A" w:rsidRDefault="00262506" w:rsidP="00354FB2">
            <w:pPr>
              <w:spacing w:after="0" w:line="240" w:lineRule="auto"/>
              <w:jc w:val="right"/>
              <w:rPr>
                <w:rFonts w:ascii="Times New Roman" w:hAnsi="Times New Roman"/>
                <w:sz w:val="20"/>
                <w:szCs w:val="20"/>
              </w:rPr>
            </w:pPr>
          </w:p>
        </w:tc>
        <w:tc>
          <w:tcPr>
            <w:tcW w:w="886" w:type="dxa"/>
            <w:tcBorders>
              <w:top w:val="nil"/>
              <w:left w:val="nil"/>
              <w:bottom w:val="single" w:sz="4" w:space="0" w:color="auto"/>
              <w:right w:val="nil"/>
            </w:tcBorders>
            <w:shd w:val="clear" w:color="auto" w:fill="auto"/>
            <w:vAlign w:val="bottom"/>
          </w:tcPr>
          <w:p w14:paraId="1C0213C8" w14:textId="77777777" w:rsidR="00262506" w:rsidRPr="00FC613A" w:rsidRDefault="00262506" w:rsidP="00354FB2">
            <w:pPr>
              <w:spacing w:after="0" w:line="240" w:lineRule="auto"/>
              <w:jc w:val="right"/>
              <w:rPr>
                <w:rFonts w:ascii="Times New Roman" w:hAnsi="Times New Roman"/>
                <w:sz w:val="20"/>
                <w:szCs w:val="20"/>
              </w:rPr>
            </w:pPr>
          </w:p>
        </w:tc>
        <w:tc>
          <w:tcPr>
            <w:tcW w:w="886" w:type="dxa"/>
            <w:tcBorders>
              <w:top w:val="nil"/>
              <w:left w:val="nil"/>
              <w:bottom w:val="single" w:sz="4" w:space="0" w:color="auto"/>
              <w:right w:val="nil"/>
            </w:tcBorders>
            <w:shd w:val="clear" w:color="auto" w:fill="auto"/>
            <w:vAlign w:val="bottom"/>
          </w:tcPr>
          <w:p w14:paraId="16BD947C" w14:textId="77777777" w:rsidR="00262506" w:rsidRPr="00FC613A" w:rsidRDefault="00262506" w:rsidP="00354FB2">
            <w:pPr>
              <w:spacing w:after="0" w:line="240" w:lineRule="auto"/>
              <w:jc w:val="right"/>
              <w:rPr>
                <w:rFonts w:ascii="Times New Roman" w:hAnsi="Times New Roman"/>
                <w:sz w:val="20"/>
                <w:szCs w:val="20"/>
              </w:rPr>
            </w:pPr>
          </w:p>
        </w:tc>
        <w:tc>
          <w:tcPr>
            <w:tcW w:w="886" w:type="dxa"/>
            <w:tcBorders>
              <w:top w:val="nil"/>
              <w:left w:val="nil"/>
              <w:bottom w:val="single" w:sz="4" w:space="0" w:color="auto"/>
              <w:right w:val="nil"/>
            </w:tcBorders>
            <w:shd w:val="clear" w:color="auto" w:fill="auto"/>
            <w:vAlign w:val="bottom"/>
          </w:tcPr>
          <w:p w14:paraId="01F60EB3" w14:textId="77777777" w:rsidR="00262506" w:rsidRPr="00FC613A" w:rsidRDefault="00262506" w:rsidP="00354FB2">
            <w:pPr>
              <w:spacing w:after="0" w:line="240" w:lineRule="auto"/>
              <w:jc w:val="right"/>
              <w:rPr>
                <w:rFonts w:ascii="Times New Roman" w:hAnsi="Times New Roman"/>
                <w:sz w:val="20"/>
                <w:szCs w:val="20"/>
              </w:rPr>
            </w:pPr>
          </w:p>
        </w:tc>
        <w:tc>
          <w:tcPr>
            <w:tcW w:w="841" w:type="dxa"/>
            <w:tcBorders>
              <w:top w:val="nil"/>
              <w:left w:val="nil"/>
              <w:bottom w:val="single" w:sz="4" w:space="0" w:color="auto"/>
              <w:right w:val="nil"/>
            </w:tcBorders>
            <w:shd w:val="clear" w:color="auto" w:fill="auto"/>
            <w:vAlign w:val="bottom"/>
          </w:tcPr>
          <w:p w14:paraId="579E9E9A" w14:textId="77777777" w:rsidR="00262506" w:rsidRPr="00FC613A" w:rsidRDefault="00262506" w:rsidP="00354FB2">
            <w:pPr>
              <w:spacing w:after="0" w:line="240" w:lineRule="auto"/>
              <w:jc w:val="right"/>
              <w:rPr>
                <w:rFonts w:ascii="Times New Roman" w:hAnsi="Times New Roman"/>
                <w:sz w:val="20"/>
                <w:szCs w:val="20"/>
              </w:rPr>
            </w:pPr>
          </w:p>
        </w:tc>
        <w:tc>
          <w:tcPr>
            <w:tcW w:w="900" w:type="dxa"/>
            <w:tcBorders>
              <w:top w:val="nil"/>
              <w:left w:val="nil"/>
              <w:bottom w:val="single" w:sz="4" w:space="0" w:color="auto"/>
              <w:right w:val="nil"/>
            </w:tcBorders>
            <w:shd w:val="clear" w:color="auto" w:fill="auto"/>
            <w:vAlign w:val="bottom"/>
          </w:tcPr>
          <w:p w14:paraId="7B374EEA" w14:textId="77777777" w:rsidR="00262506" w:rsidRPr="00FC613A" w:rsidRDefault="00262506" w:rsidP="00354FB2">
            <w:pPr>
              <w:spacing w:after="0" w:line="240" w:lineRule="auto"/>
              <w:jc w:val="right"/>
              <w:rPr>
                <w:rFonts w:ascii="Times New Roman" w:hAnsi="Times New Roman"/>
                <w:sz w:val="20"/>
                <w:szCs w:val="20"/>
              </w:rPr>
            </w:pPr>
          </w:p>
        </w:tc>
        <w:tc>
          <w:tcPr>
            <w:tcW w:w="900" w:type="dxa"/>
            <w:tcBorders>
              <w:top w:val="nil"/>
              <w:left w:val="nil"/>
              <w:bottom w:val="single" w:sz="4" w:space="0" w:color="auto"/>
              <w:right w:val="single" w:sz="4" w:space="0" w:color="auto"/>
            </w:tcBorders>
            <w:shd w:val="clear" w:color="auto" w:fill="auto"/>
            <w:vAlign w:val="bottom"/>
          </w:tcPr>
          <w:p w14:paraId="13DB571B" w14:textId="77777777" w:rsidR="00262506" w:rsidRPr="00FC613A" w:rsidRDefault="00262506" w:rsidP="00354FB2">
            <w:pPr>
              <w:spacing w:after="0" w:line="240" w:lineRule="auto"/>
              <w:jc w:val="right"/>
              <w:rPr>
                <w:rFonts w:ascii="Times New Roman" w:hAnsi="Times New Roman"/>
                <w:sz w:val="20"/>
                <w:szCs w:val="20"/>
              </w:rPr>
            </w:pPr>
          </w:p>
        </w:tc>
        <w:tc>
          <w:tcPr>
            <w:tcW w:w="766" w:type="dxa"/>
            <w:tcBorders>
              <w:top w:val="single" w:sz="4" w:space="0" w:color="auto"/>
              <w:left w:val="single" w:sz="4" w:space="0" w:color="auto"/>
              <w:bottom w:val="single" w:sz="4" w:space="0" w:color="auto"/>
              <w:right w:val="single" w:sz="4" w:space="0" w:color="auto"/>
            </w:tcBorders>
          </w:tcPr>
          <w:p w14:paraId="60A95018" w14:textId="77777777" w:rsidR="00262506" w:rsidRPr="00FC613A" w:rsidRDefault="00262506" w:rsidP="00354FB2">
            <w:pPr>
              <w:spacing w:after="0" w:line="240" w:lineRule="auto"/>
              <w:jc w:val="center"/>
              <w:rPr>
                <w:rFonts w:ascii="Times New Roman" w:hAnsi="Times New Roman"/>
                <w:sz w:val="20"/>
                <w:szCs w:val="20"/>
              </w:rPr>
            </w:pPr>
            <w:r w:rsidRPr="00FC613A">
              <w:rPr>
                <w:rFonts w:ascii="Times New Roman" w:hAnsi="Times New Roman"/>
                <w:sz w:val="20"/>
                <w:szCs w:val="20"/>
              </w:rPr>
              <w:t>Suma</w:t>
            </w:r>
          </w:p>
        </w:tc>
        <w:tc>
          <w:tcPr>
            <w:tcW w:w="1066" w:type="dxa"/>
            <w:tcBorders>
              <w:top w:val="single" w:sz="4" w:space="0" w:color="auto"/>
              <w:left w:val="single" w:sz="4" w:space="0" w:color="auto"/>
              <w:bottom w:val="single" w:sz="4" w:space="0" w:color="auto"/>
              <w:right w:val="single" w:sz="4" w:space="0" w:color="auto"/>
            </w:tcBorders>
          </w:tcPr>
          <w:p w14:paraId="5A7285C7" w14:textId="77777777" w:rsidR="00262506" w:rsidRPr="00FC613A" w:rsidRDefault="00262506" w:rsidP="00354FB2">
            <w:pPr>
              <w:spacing w:after="0" w:line="240" w:lineRule="auto"/>
              <w:jc w:val="center"/>
              <w:rPr>
                <w:rFonts w:ascii="Times New Roman" w:hAnsi="Times New Roman"/>
                <w:sz w:val="20"/>
                <w:szCs w:val="20"/>
                <w:vertAlign w:val="superscript"/>
              </w:rPr>
            </w:pPr>
            <w:r w:rsidRPr="00FC613A">
              <w:rPr>
                <w:rFonts w:ascii="Times New Roman" w:hAnsi="Times New Roman"/>
                <w:sz w:val="20"/>
                <w:szCs w:val="20"/>
              </w:rPr>
              <w:t>K</w:t>
            </w:r>
            <w:r w:rsidRPr="00FC613A">
              <w:rPr>
                <w:rFonts w:ascii="Times New Roman" w:hAnsi="Times New Roman"/>
                <w:sz w:val="20"/>
                <w:szCs w:val="20"/>
                <w:vertAlign w:val="superscript"/>
              </w:rPr>
              <w:t>t</w:t>
            </w:r>
          </w:p>
        </w:tc>
      </w:tr>
      <w:tr w:rsidR="00262506" w:rsidRPr="00FC613A" w14:paraId="3DAA982C" w14:textId="77777777" w:rsidTr="00FC613A">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DA56B7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6E17F91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8,29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28BC9B50"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7,43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669F148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33,00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bottom"/>
          </w:tcPr>
          <w:p w14:paraId="7FE2FE9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21,43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24DE39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17,14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121C225"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32,14</w:t>
            </w:r>
          </w:p>
        </w:tc>
        <w:tc>
          <w:tcPr>
            <w:tcW w:w="766" w:type="dxa"/>
            <w:tcBorders>
              <w:top w:val="single" w:sz="4" w:space="0" w:color="auto"/>
              <w:left w:val="single" w:sz="4" w:space="0" w:color="auto"/>
              <w:bottom w:val="single" w:sz="4" w:space="0" w:color="auto"/>
              <w:right w:val="single" w:sz="4" w:space="0" w:color="auto"/>
            </w:tcBorders>
            <w:vAlign w:val="center"/>
          </w:tcPr>
          <w:p w14:paraId="4721E38D"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121</w:t>
            </w:r>
          </w:p>
        </w:tc>
        <w:tc>
          <w:tcPr>
            <w:tcW w:w="1066" w:type="dxa"/>
            <w:tcBorders>
              <w:top w:val="single" w:sz="4" w:space="0" w:color="auto"/>
              <w:left w:val="single" w:sz="4" w:space="0" w:color="auto"/>
              <w:bottom w:val="single" w:sz="4" w:space="0" w:color="auto"/>
              <w:right w:val="single" w:sz="4" w:space="0" w:color="auto"/>
            </w:tcBorders>
            <w:vAlign w:val="center"/>
          </w:tcPr>
          <w:p w14:paraId="7A237774"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0,130912</w:t>
            </w:r>
          </w:p>
        </w:tc>
      </w:tr>
      <w:tr w:rsidR="00262506" w:rsidRPr="00FC613A" w14:paraId="2CB9CED4" w14:textId="77777777" w:rsidTr="00FC613A">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49CB3B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3,14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1AA7444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16,57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1DF2441D"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1,86</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722BBF7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28,29</w:t>
            </w:r>
          </w:p>
        </w:tc>
        <w:tc>
          <w:tcPr>
            <w:tcW w:w="841" w:type="dxa"/>
            <w:tcBorders>
              <w:top w:val="single" w:sz="4" w:space="0" w:color="auto"/>
              <w:left w:val="single" w:sz="4" w:space="0" w:color="auto"/>
              <w:bottom w:val="single" w:sz="4" w:space="0" w:color="auto"/>
              <w:right w:val="single" w:sz="4" w:space="0" w:color="auto"/>
            </w:tcBorders>
            <w:shd w:val="clear" w:color="auto" w:fill="auto"/>
            <w:vAlign w:val="bottom"/>
          </w:tcPr>
          <w:p w14:paraId="135DE5AC"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10,71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440A113"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28,57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E70021D"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c>
          <w:tcPr>
            <w:tcW w:w="766" w:type="dxa"/>
            <w:tcBorders>
              <w:top w:val="single" w:sz="4" w:space="0" w:color="auto"/>
              <w:left w:val="single" w:sz="4" w:space="0" w:color="auto"/>
              <w:bottom w:val="single" w:sz="4" w:space="0" w:color="auto"/>
              <w:right w:val="single" w:sz="4" w:space="0" w:color="auto"/>
            </w:tcBorders>
            <w:vAlign w:val="center"/>
          </w:tcPr>
          <w:p w14:paraId="7A0DCC74"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134,14</w:t>
            </w:r>
          </w:p>
        </w:tc>
        <w:tc>
          <w:tcPr>
            <w:tcW w:w="1066" w:type="dxa"/>
            <w:tcBorders>
              <w:top w:val="single" w:sz="4" w:space="0" w:color="auto"/>
              <w:left w:val="single" w:sz="4" w:space="0" w:color="auto"/>
              <w:bottom w:val="single" w:sz="4" w:space="0" w:color="auto"/>
              <w:right w:val="single" w:sz="4" w:space="0" w:color="auto"/>
            </w:tcBorders>
            <w:vAlign w:val="center"/>
          </w:tcPr>
          <w:p w14:paraId="7E6967A3"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0,145131</w:t>
            </w:r>
          </w:p>
        </w:tc>
      </w:tr>
      <w:tr w:rsidR="00262506" w:rsidRPr="00FC613A" w14:paraId="3D93BD8E" w14:textId="77777777" w:rsidTr="00FC613A">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F40632B"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142965C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13315DC8"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67E76BC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18,86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bottom"/>
          </w:tcPr>
          <w:p w14:paraId="341E1B3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10,71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205EA3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34,29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7F7EBEB"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c>
          <w:tcPr>
            <w:tcW w:w="766" w:type="dxa"/>
            <w:tcBorders>
              <w:top w:val="single" w:sz="4" w:space="0" w:color="auto"/>
              <w:left w:val="single" w:sz="4" w:space="0" w:color="auto"/>
              <w:bottom w:val="single" w:sz="4" w:space="0" w:color="auto"/>
              <w:right w:val="single" w:sz="4" w:space="0" w:color="auto"/>
            </w:tcBorders>
            <w:vAlign w:val="center"/>
          </w:tcPr>
          <w:p w14:paraId="3D227456"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134,86</w:t>
            </w:r>
          </w:p>
        </w:tc>
        <w:tc>
          <w:tcPr>
            <w:tcW w:w="1066" w:type="dxa"/>
            <w:tcBorders>
              <w:top w:val="single" w:sz="4" w:space="0" w:color="auto"/>
              <w:left w:val="single" w:sz="4" w:space="0" w:color="auto"/>
              <w:bottom w:val="single" w:sz="4" w:space="0" w:color="auto"/>
              <w:right w:val="single" w:sz="4" w:space="0" w:color="auto"/>
            </w:tcBorders>
            <w:vAlign w:val="center"/>
          </w:tcPr>
          <w:p w14:paraId="6DD5C92D"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0,145904</w:t>
            </w:r>
          </w:p>
        </w:tc>
      </w:tr>
      <w:tr w:rsidR="00262506" w:rsidRPr="00FC613A" w14:paraId="5B497DD0" w14:textId="77777777" w:rsidTr="00FC613A">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7DBD450"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776CF832"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2A7A8F0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1,86</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3ACDB292"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18,86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bottom"/>
          </w:tcPr>
          <w:p w14:paraId="00485945"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7,14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295517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562C17B"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38,57</w:t>
            </w:r>
          </w:p>
        </w:tc>
        <w:tc>
          <w:tcPr>
            <w:tcW w:w="766" w:type="dxa"/>
            <w:tcBorders>
              <w:top w:val="single" w:sz="4" w:space="0" w:color="auto"/>
              <w:left w:val="single" w:sz="4" w:space="0" w:color="auto"/>
              <w:bottom w:val="single" w:sz="4" w:space="0" w:color="auto"/>
              <w:right w:val="single" w:sz="4" w:space="0" w:color="auto"/>
            </w:tcBorders>
            <w:vAlign w:val="center"/>
          </w:tcPr>
          <w:p w14:paraId="18A57AF4"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131,86</w:t>
            </w:r>
          </w:p>
        </w:tc>
        <w:tc>
          <w:tcPr>
            <w:tcW w:w="1066" w:type="dxa"/>
            <w:tcBorders>
              <w:top w:val="single" w:sz="4" w:space="0" w:color="auto"/>
              <w:left w:val="single" w:sz="4" w:space="0" w:color="auto"/>
              <w:bottom w:val="single" w:sz="4" w:space="0" w:color="auto"/>
              <w:right w:val="single" w:sz="4" w:space="0" w:color="auto"/>
            </w:tcBorders>
            <w:vAlign w:val="center"/>
          </w:tcPr>
          <w:p w14:paraId="1F6AB25E"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0,142658</w:t>
            </w:r>
          </w:p>
        </w:tc>
      </w:tr>
      <w:tr w:rsidR="00262506" w:rsidRPr="00FC613A" w14:paraId="7159DF3C" w14:textId="77777777" w:rsidTr="00FC613A">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D6C813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36A5B6A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0E5C194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7E437E81"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18,86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bottom"/>
          </w:tcPr>
          <w:p w14:paraId="7E590B6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10,71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917680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34,29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1FEA6E3"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c>
          <w:tcPr>
            <w:tcW w:w="766" w:type="dxa"/>
            <w:tcBorders>
              <w:top w:val="single" w:sz="4" w:space="0" w:color="auto"/>
              <w:left w:val="single" w:sz="4" w:space="0" w:color="auto"/>
              <w:bottom w:val="single" w:sz="4" w:space="0" w:color="auto"/>
              <w:right w:val="single" w:sz="4" w:space="0" w:color="auto"/>
            </w:tcBorders>
            <w:vAlign w:val="center"/>
          </w:tcPr>
          <w:p w14:paraId="31554435"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134,86</w:t>
            </w:r>
          </w:p>
        </w:tc>
        <w:tc>
          <w:tcPr>
            <w:tcW w:w="1066" w:type="dxa"/>
            <w:tcBorders>
              <w:top w:val="single" w:sz="4" w:space="0" w:color="auto"/>
              <w:left w:val="single" w:sz="4" w:space="0" w:color="auto"/>
              <w:bottom w:val="single" w:sz="4" w:space="0" w:color="auto"/>
              <w:right w:val="single" w:sz="4" w:space="0" w:color="auto"/>
            </w:tcBorders>
            <w:vAlign w:val="center"/>
          </w:tcPr>
          <w:p w14:paraId="2F2674C1"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0,145904</w:t>
            </w:r>
          </w:p>
        </w:tc>
      </w:tr>
      <w:tr w:rsidR="00262506" w:rsidRPr="00FC613A" w14:paraId="314E8A25" w14:textId="77777777" w:rsidTr="00FC613A">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FD5F9CF"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3,14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6EDD3B29"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12,43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3833803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1,86</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2ACB972D"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23,57</w:t>
            </w:r>
          </w:p>
        </w:tc>
        <w:tc>
          <w:tcPr>
            <w:tcW w:w="841" w:type="dxa"/>
            <w:tcBorders>
              <w:top w:val="single" w:sz="4" w:space="0" w:color="auto"/>
              <w:left w:val="single" w:sz="4" w:space="0" w:color="auto"/>
              <w:bottom w:val="single" w:sz="4" w:space="0" w:color="auto"/>
              <w:right w:val="single" w:sz="4" w:space="0" w:color="auto"/>
            </w:tcBorders>
            <w:shd w:val="clear" w:color="auto" w:fill="auto"/>
            <w:vAlign w:val="bottom"/>
          </w:tcPr>
          <w:p w14:paraId="5F736C37"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14,29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A0B7622"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34,29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4BFF5BB"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45</w:t>
            </w:r>
          </w:p>
        </w:tc>
        <w:tc>
          <w:tcPr>
            <w:tcW w:w="766" w:type="dxa"/>
            <w:tcBorders>
              <w:top w:val="single" w:sz="4" w:space="0" w:color="auto"/>
              <w:left w:val="single" w:sz="4" w:space="0" w:color="auto"/>
              <w:bottom w:val="single" w:sz="4" w:space="0" w:color="auto"/>
              <w:right w:val="single" w:sz="4" w:space="0" w:color="auto"/>
            </w:tcBorders>
            <w:vAlign w:val="center"/>
          </w:tcPr>
          <w:p w14:paraId="6342D8AE"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134,57</w:t>
            </w:r>
          </w:p>
        </w:tc>
        <w:tc>
          <w:tcPr>
            <w:tcW w:w="1066" w:type="dxa"/>
            <w:tcBorders>
              <w:top w:val="single" w:sz="4" w:space="0" w:color="auto"/>
              <w:left w:val="single" w:sz="4" w:space="0" w:color="auto"/>
              <w:bottom w:val="single" w:sz="4" w:space="0" w:color="auto"/>
              <w:right w:val="single" w:sz="4" w:space="0" w:color="auto"/>
            </w:tcBorders>
            <w:vAlign w:val="center"/>
          </w:tcPr>
          <w:p w14:paraId="167F6B92"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0,145595</w:t>
            </w:r>
          </w:p>
        </w:tc>
      </w:tr>
      <w:tr w:rsidR="00262506" w:rsidRPr="00FC613A" w14:paraId="3E69F7D5" w14:textId="77777777" w:rsidTr="00FC613A">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D167992"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1,57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52429E7E"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20,71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60C73A69"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3,71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bottom"/>
          </w:tcPr>
          <w:p w14:paraId="5618CAE6"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14,14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bottom"/>
          </w:tcPr>
          <w:p w14:paraId="102CC3F5"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14,29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0663EC9"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40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D836204" w14:textId="77777777" w:rsidR="00262506" w:rsidRPr="00FC613A" w:rsidRDefault="00262506" w:rsidP="00354FB2">
            <w:pPr>
              <w:spacing w:after="0" w:line="240" w:lineRule="auto"/>
              <w:jc w:val="right"/>
              <w:rPr>
                <w:rFonts w:ascii="Times New Roman" w:hAnsi="Times New Roman" w:cs="Times New Roman"/>
                <w:sz w:val="20"/>
                <w:szCs w:val="20"/>
              </w:rPr>
            </w:pPr>
            <w:r w:rsidRPr="00FC613A">
              <w:rPr>
                <w:rFonts w:ascii="Times New Roman" w:hAnsi="Times New Roman" w:cs="Times New Roman"/>
                <w:sz w:val="20"/>
                <w:szCs w:val="20"/>
              </w:rPr>
              <w:t>38,57</w:t>
            </w:r>
          </w:p>
        </w:tc>
        <w:tc>
          <w:tcPr>
            <w:tcW w:w="766" w:type="dxa"/>
            <w:tcBorders>
              <w:top w:val="single" w:sz="4" w:space="0" w:color="auto"/>
              <w:left w:val="single" w:sz="4" w:space="0" w:color="auto"/>
              <w:bottom w:val="single" w:sz="4" w:space="0" w:color="auto"/>
              <w:right w:val="single" w:sz="4" w:space="0" w:color="auto"/>
            </w:tcBorders>
            <w:vAlign w:val="center"/>
          </w:tcPr>
          <w:p w14:paraId="0453E163"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133</w:t>
            </w:r>
          </w:p>
        </w:tc>
        <w:tc>
          <w:tcPr>
            <w:tcW w:w="1066" w:type="dxa"/>
            <w:tcBorders>
              <w:top w:val="single" w:sz="4" w:space="0" w:color="auto"/>
              <w:left w:val="single" w:sz="4" w:space="0" w:color="auto"/>
              <w:bottom w:val="single" w:sz="4" w:space="0" w:color="auto"/>
              <w:right w:val="single" w:sz="4" w:space="0" w:color="auto"/>
            </w:tcBorders>
            <w:vAlign w:val="center"/>
          </w:tcPr>
          <w:p w14:paraId="20FA53B5" w14:textId="77777777" w:rsidR="00262506" w:rsidRPr="00FC613A" w:rsidRDefault="00262506" w:rsidP="00290BE4">
            <w:pPr>
              <w:spacing w:after="0" w:line="240" w:lineRule="auto"/>
              <w:jc w:val="center"/>
              <w:rPr>
                <w:rFonts w:ascii="Times New Roman" w:hAnsi="Times New Roman"/>
                <w:sz w:val="20"/>
                <w:szCs w:val="20"/>
              </w:rPr>
            </w:pPr>
            <w:r w:rsidRPr="00FC613A">
              <w:rPr>
                <w:rFonts w:ascii="Times New Roman" w:hAnsi="Times New Roman"/>
                <w:sz w:val="20"/>
                <w:szCs w:val="20"/>
              </w:rPr>
              <w:t>0,143895</w:t>
            </w:r>
          </w:p>
        </w:tc>
      </w:tr>
    </w:tbl>
    <w:p w14:paraId="02557F3F" w14:textId="77777777" w:rsidR="00262506" w:rsidRPr="00FC613A" w:rsidRDefault="00262506" w:rsidP="004B7151">
      <w:pPr>
        <w:spacing w:after="0" w:line="360" w:lineRule="auto"/>
        <w:rPr>
          <w:rFonts w:ascii="Times New Roman" w:hAnsi="Times New Roman"/>
          <w:b/>
        </w:rPr>
      </w:pPr>
    </w:p>
    <w:p w14:paraId="24FF57B3" w14:textId="77777777" w:rsidR="004B7151" w:rsidRPr="00FC613A" w:rsidRDefault="00262506" w:rsidP="004B7151">
      <w:pPr>
        <w:spacing w:after="0" w:line="360" w:lineRule="auto"/>
        <w:jc w:val="both"/>
        <w:rPr>
          <w:rFonts w:ascii="Times New Roman" w:hAnsi="Times New Roman"/>
          <w:sz w:val="24"/>
          <w:szCs w:val="24"/>
        </w:rPr>
      </w:pPr>
      <w:r w:rsidRPr="00FC613A">
        <w:rPr>
          <w:rFonts w:ascii="Times New Roman" w:hAnsi="Times New Roman"/>
          <w:sz w:val="24"/>
          <w:szCs w:val="24"/>
        </w:rPr>
        <w:t xml:space="preserve">Kompetencijos įverčių suma turi būti lygi vienetui: </w:t>
      </w:r>
      <w:r w:rsidRPr="00FC613A">
        <w:rPr>
          <w:rFonts w:ascii="Times New Roman" w:hAnsi="Times New Roman"/>
          <w:position w:val="-30"/>
          <w:sz w:val="24"/>
          <w:szCs w:val="24"/>
        </w:rPr>
        <w:object w:dxaOrig="1080" w:dyaOrig="700" w14:anchorId="414EC5B9">
          <v:shape id="_x0000_i1045" type="#_x0000_t75" style="width:61pt;height:39pt" o:ole="">
            <v:imagedata r:id="rId88" o:title=""/>
          </v:shape>
          <o:OLEObject Type="Embed" ProgID="Equation.3" ShapeID="_x0000_i1045" DrawAspect="Content" ObjectID="_1430066423" r:id="rId89"/>
        </w:object>
      </w:r>
    </w:p>
    <w:p w14:paraId="72D43043" w14:textId="77777777" w:rsidR="00262506" w:rsidRPr="00FC613A" w:rsidRDefault="00290BE4" w:rsidP="00C80ABF">
      <w:pPr>
        <w:spacing w:after="0" w:line="360" w:lineRule="auto"/>
        <w:jc w:val="both"/>
        <w:rPr>
          <w:rFonts w:ascii="Times New Roman" w:hAnsi="Times New Roman"/>
          <w:sz w:val="24"/>
          <w:szCs w:val="24"/>
        </w:rPr>
      </w:pPr>
      <w:r w:rsidRPr="00FC613A">
        <w:rPr>
          <w:rFonts w:ascii="Times New Roman" w:hAnsi="Times New Roman"/>
          <w:sz w:val="24"/>
          <w:szCs w:val="24"/>
        </w:rPr>
        <w:t xml:space="preserve">Nagrinėjamu atveju: </w:t>
      </w:r>
      <w:r w:rsidR="00262506" w:rsidRPr="00FC613A">
        <w:rPr>
          <w:rFonts w:ascii="Times New Roman" w:hAnsi="Times New Roman"/>
          <w:sz w:val="24"/>
          <w:szCs w:val="24"/>
        </w:rPr>
        <w:t>0,131+0,145+0,146+0,142+0,146+0,146+0,144=1.</w:t>
      </w:r>
      <w:r w:rsidR="004B7151" w:rsidRPr="00FC613A">
        <w:rPr>
          <w:rFonts w:ascii="Times New Roman" w:hAnsi="Times New Roman"/>
          <w:sz w:val="24"/>
          <w:szCs w:val="24"/>
        </w:rPr>
        <w:t xml:space="preserve"> </w:t>
      </w:r>
      <w:r w:rsidR="00262506" w:rsidRPr="00FC613A">
        <w:rPr>
          <w:rFonts w:ascii="Times New Roman" w:hAnsi="Times New Roman"/>
          <w:sz w:val="24"/>
          <w:szCs w:val="24"/>
        </w:rPr>
        <w:t xml:space="preserve">Kaip matyti pagal gautą rodiklį, ekspertų kompetencija pakankama ir išskirti nereikia </w:t>
      </w:r>
      <w:r w:rsidR="00A17EAF" w:rsidRPr="00FC613A">
        <w:rPr>
          <w:rFonts w:ascii="Times New Roman" w:hAnsi="Times New Roman"/>
          <w:sz w:val="24"/>
          <w:szCs w:val="24"/>
        </w:rPr>
        <w:t>nė</w:t>
      </w:r>
      <w:r w:rsidR="00262506" w:rsidRPr="00FC613A">
        <w:rPr>
          <w:rFonts w:ascii="Times New Roman" w:hAnsi="Times New Roman"/>
          <w:sz w:val="24"/>
          <w:szCs w:val="24"/>
        </w:rPr>
        <w:t xml:space="preserve"> vieno.</w:t>
      </w:r>
    </w:p>
    <w:p w14:paraId="514C810F" w14:textId="77777777" w:rsidR="00262506" w:rsidRPr="00FC613A" w:rsidRDefault="004B7151" w:rsidP="00C80ABF">
      <w:pPr>
        <w:spacing w:after="0" w:line="360" w:lineRule="auto"/>
        <w:ind w:firstLine="567"/>
        <w:jc w:val="both"/>
        <w:rPr>
          <w:rFonts w:ascii="Times New Roman" w:hAnsi="Times New Roman" w:cs="Times New Roman"/>
          <w:sz w:val="24"/>
          <w:szCs w:val="24"/>
        </w:rPr>
      </w:pPr>
      <w:r w:rsidRPr="00FC613A">
        <w:rPr>
          <w:rFonts w:ascii="Times New Roman" w:hAnsi="Times New Roman" w:cs="Times New Roman"/>
          <w:sz w:val="24"/>
          <w:szCs w:val="24"/>
        </w:rPr>
        <w:t>Taigi, atlikus ekspertinių</w:t>
      </w:r>
      <w:r w:rsidR="00290BE4" w:rsidRPr="00FC613A">
        <w:rPr>
          <w:rFonts w:ascii="Times New Roman" w:hAnsi="Times New Roman" w:cs="Times New Roman"/>
          <w:sz w:val="24"/>
          <w:szCs w:val="24"/>
        </w:rPr>
        <w:t xml:space="preserve"> duomenų analizę bei apskaičiavus konkordacijos koeficientą</w:t>
      </w:r>
      <w:r w:rsidR="00A17EAF" w:rsidRPr="00FC613A">
        <w:rPr>
          <w:rFonts w:ascii="Times New Roman" w:hAnsi="Times New Roman" w:cs="Times New Roman"/>
          <w:sz w:val="24"/>
          <w:szCs w:val="24"/>
        </w:rPr>
        <w:t>,</w:t>
      </w:r>
      <w:r w:rsidR="00290BE4" w:rsidRPr="00FC613A">
        <w:rPr>
          <w:rFonts w:ascii="Times New Roman" w:hAnsi="Times New Roman" w:cs="Times New Roman"/>
          <w:sz w:val="24"/>
          <w:szCs w:val="24"/>
        </w:rPr>
        <w:t xml:space="preserve"> hipotezė, kad ekspertų vertinimai prieštaringi</w:t>
      </w:r>
      <w:r w:rsidR="00A17EAF" w:rsidRPr="00FC613A">
        <w:rPr>
          <w:rFonts w:ascii="Times New Roman" w:hAnsi="Times New Roman" w:cs="Times New Roman"/>
          <w:sz w:val="24"/>
          <w:szCs w:val="24"/>
        </w:rPr>
        <w:t>,</w:t>
      </w:r>
      <w:r w:rsidR="00290BE4" w:rsidRPr="00FC613A">
        <w:rPr>
          <w:rFonts w:ascii="Times New Roman" w:hAnsi="Times New Roman" w:cs="Times New Roman"/>
          <w:sz w:val="24"/>
          <w:szCs w:val="24"/>
        </w:rPr>
        <w:t xml:space="preserve"> atmesta. Galima teigti, jog ekspertų nuomonės reikšmingai nesiskyrė. Ekspertų kompetencijos vertinimu nustatyta, kad ekspertų nuomonė panaši į grupės nuomonę ir nei vieno eksperto atsakymo nereikia pašalinti iš tyrimo rezultatų analizės.</w:t>
      </w:r>
    </w:p>
    <w:p w14:paraId="7F000D10" w14:textId="77777777" w:rsidR="00D00859" w:rsidRDefault="00290BE4" w:rsidP="00FC613A">
      <w:pPr>
        <w:spacing w:after="0" w:line="360" w:lineRule="auto"/>
        <w:ind w:firstLine="567"/>
        <w:jc w:val="both"/>
        <w:rPr>
          <w:rFonts w:ascii="Times New Roman" w:hAnsi="Times New Roman" w:cs="Times New Roman"/>
          <w:sz w:val="24"/>
          <w:szCs w:val="24"/>
        </w:rPr>
      </w:pPr>
      <w:r w:rsidRPr="00FC613A">
        <w:rPr>
          <w:rFonts w:ascii="Times New Roman" w:hAnsi="Times New Roman" w:cs="Times New Roman"/>
          <w:sz w:val="24"/>
          <w:szCs w:val="24"/>
        </w:rPr>
        <w:t>Remiantis atlikto ekspertinio vertinimo rezultatais</w:t>
      </w:r>
      <w:r w:rsidR="00A17EAF" w:rsidRPr="00FC613A">
        <w:rPr>
          <w:rFonts w:ascii="Times New Roman" w:hAnsi="Times New Roman" w:cs="Times New Roman"/>
          <w:sz w:val="24"/>
          <w:szCs w:val="24"/>
        </w:rPr>
        <w:t>,</w:t>
      </w:r>
      <w:r w:rsidRPr="00FC613A">
        <w:rPr>
          <w:rFonts w:ascii="Times New Roman" w:hAnsi="Times New Roman" w:cs="Times New Roman"/>
          <w:sz w:val="24"/>
          <w:szCs w:val="24"/>
        </w:rPr>
        <w:t xml:space="preserve"> </w:t>
      </w:r>
      <w:r w:rsidR="00262506" w:rsidRPr="00FC613A">
        <w:rPr>
          <w:rFonts w:ascii="Times New Roman" w:hAnsi="Times New Roman" w:cs="Times New Roman"/>
          <w:bCs/>
          <w:iCs/>
          <w:sz w:val="24"/>
          <w:szCs w:val="24"/>
        </w:rPr>
        <w:t xml:space="preserve">hipotezė </w:t>
      </w:r>
      <w:r w:rsidR="00262506" w:rsidRPr="00FC613A">
        <w:rPr>
          <w:rFonts w:ascii="Times New Roman" w:hAnsi="Times New Roman" w:cs="Times New Roman"/>
          <w:sz w:val="24"/>
          <w:szCs w:val="24"/>
        </w:rPr>
        <w:t>H</w:t>
      </w:r>
      <w:r w:rsidR="004B7151" w:rsidRPr="00FC613A">
        <w:rPr>
          <w:rFonts w:ascii="Times New Roman" w:hAnsi="Times New Roman"/>
          <w:sz w:val="24"/>
          <w:szCs w:val="24"/>
          <w:vertAlign w:val="subscript"/>
        </w:rPr>
        <w:t>2</w:t>
      </w:r>
      <w:r w:rsidR="003E5890" w:rsidRPr="00FC613A">
        <w:rPr>
          <w:rFonts w:ascii="Times New Roman" w:hAnsi="Times New Roman"/>
          <w:sz w:val="24"/>
          <w:szCs w:val="24"/>
        </w:rPr>
        <w:t>:</w:t>
      </w:r>
      <w:r w:rsidRPr="00FC613A">
        <w:rPr>
          <w:rFonts w:ascii="Times New Roman" w:hAnsi="Times New Roman"/>
          <w:sz w:val="24"/>
          <w:szCs w:val="24"/>
          <w:vertAlign w:val="subscript"/>
        </w:rPr>
        <w:t xml:space="preserve"> </w:t>
      </w:r>
      <w:r w:rsidR="00FC613A" w:rsidRPr="00FC613A">
        <w:rPr>
          <w:rFonts w:ascii="Times New Roman" w:eastAsia="Calibri" w:hAnsi="Times New Roman" w:cs="Times New Roman"/>
          <w:sz w:val="24"/>
          <w:szCs w:val="24"/>
        </w:rPr>
        <w:t>Labiausiai likvidumo valdymo efektyvumą ribojantis veiksnys neaiški - vertinimo sistema</w:t>
      </w:r>
      <w:r w:rsidR="003E5890" w:rsidRPr="00FC613A">
        <w:rPr>
          <w:rFonts w:ascii="Times New Roman" w:hAnsi="Times New Roman"/>
          <w:sz w:val="24"/>
          <w:szCs w:val="24"/>
        </w:rPr>
        <w:t xml:space="preserve">, </w:t>
      </w:r>
      <w:r w:rsidRPr="00FC613A">
        <w:rPr>
          <w:rFonts w:ascii="Times New Roman" w:hAnsi="Times New Roman"/>
          <w:sz w:val="24"/>
          <w:szCs w:val="24"/>
        </w:rPr>
        <w:t>atmetama</w:t>
      </w:r>
      <w:r w:rsidR="003E5890" w:rsidRPr="00FC613A">
        <w:rPr>
          <w:rFonts w:ascii="Times New Roman" w:hAnsi="Times New Roman" w:cs="Times New Roman"/>
          <w:sz w:val="24"/>
          <w:szCs w:val="24"/>
        </w:rPr>
        <w:t>.</w:t>
      </w:r>
      <w:r w:rsidR="00262506" w:rsidRPr="00FC613A">
        <w:rPr>
          <w:rFonts w:ascii="Times New Roman" w:hAnsi="Times New Roman" w:cs="Times New Roman"/>
          <w:sz w:val="24"/>
          <w:szCs w:val="24"/>
        </w:rPr>
        <w:t xml:space="preserve"> </w:t>
      </w:r>
      <w:r w:rsidR="003E5890" w:rsidRPr="00FC613A">
        <w:rPr>
          <w:rFonts w:ascii="Times New Roman" w:hAnsi="Times New Roman"/>
          <w:sz w:val="24"/>
          <w:szCs w:val="24"/>
        </w:rPr>
        <w:t>Ekspertų nuomone</w:t>
      </w:r>
      <w:r w:rsidR="004B7151" w:rsidRPr="00FC613A">
        <w:rPr>
          <w:rFonts w:ascii="Times New Roman" w:hAnsi="Times New Roman"/>
          <w:sz w:val="24"/>
          <w:szCs w:val="24"/>
        </w:rPr>
        <w:t>,</w:t>
      </w:r>
      <w:r w:rsidR="00262506" w:rsidRPr="00FC613A">
        <w:rPr>
          <w:rFonts w:ascii="Times New Roman" w:hAnsi="Times New Roman"/>
          <w:sz w:val="24"/>
          <w:szCs w:val="24"/>
        </w:rPr>
        <w:t xml:space="preserve"> svarbiausi veiksniai ribojantys likvidumo valdymo efektyvumą yra pramonės šaka, kurioje veikia įmonė ir ekonominė padėtis.</w:t>
      </w:r>
      <w:r w:rsidR="004B7151" w:rsidRPr="00FC613A">
        <w:rPr>
          <w:rFonts w:ascii="Times New Roman" w:hAnsi="Times New Roman"/>
          <w:sz w:val="24"/>
          <w:szCs w:val="24"/>
        </w:rPr>
        <w:t xml:space="preserve"> Tik po jų seka neaiški vertinimo sistema.</w:t>
      </w:r>
      <w:r w:rsidR="00262506" w:rsidRPr="00FC613A">
        <w:rPr>
          <w:rFonts w:ascii="Times New Roman" w:hAnsi="Times New Roman" w:cs="Times New Roman"/>
          <w:sz w:val="24"/>
          <w:szCs w:val="24"/>
        </w:rPr>
        <w:t xml:space="preserve"> </w:t>
      </w:r>
      <w:r w:rsidR="007E3342" w:rsidRPr="00FC613A">
        <w:rPr>
          <w:rFonts w:ascii="Times New Roman" w:hAnsi="Times New Roman" w:cs="Times New Roman"/>
          <w:sz w:val="24"/>
          <w:szCs w:val="24"/>
        </w:rPr>
        <w:t>Tuo tarpu mažiausiai įtakos turinčiais veiksniais ekspertai įvardijo įmonės politiką ir vadovų kompetenciją</w:t>
      </w:r>
      <w:r w:rsidR="00FC613A">
        <w:rPr>
          <w:rFonts w:ascii="Times New Roman" w:hAnsi="Times New Roman" w:cs="Times New Roman"/>
          <w:sz w:val="24"/>
          <w:szCs w:val="24"/>
        </w:rPr>
        <w:t>.</w:t>
      </w:r>
    </w:p>
    <w:p w14:paraId="40021F3D" w14:textId="77777777" w:rsidR="00D81A0D" w:rsidRPr="00E2302E" w:rsidRDefault="00D81A0D" w:rsidP="00E2302E">
      <w:pPr>
        <w:pStyle w:val="Heading1"/>
        <w:spacing w:before="0" w:line="360" w:lineRule="auto"/>
        <w:jc w:val="center"/>
        <w:rPr>
          <w:b w:val="0"/>
        </w:rPr>
      </w:pPr>
      <w:bookmarkStart w:id="138" w:name="_Toc353730665"/>
      <w:r w:rsidRPr="00E2302E">
        <w:rPr>
          <w:rStyle w:val="1antChar"/>
          <w:rFonts w:eastAsiaTheme="majorEastAsia"/>
          <w:b/>
          <w:color w:val="auto"/>
        </w:rPr>
        <w:lastRenderedPageBreak/>
        <w:t>IŠVADOS</w:t>
      </w:r>
      <w:r w:rsidR="00FC613A" w:rsidRPr="00E2302E">
        <w:rPr>
          <w:rStyle w:val="1antChar"/>
          <w:rFonts w:eastAsiaTheme="majorEastAsia"/>
          <w:b/>
          <w:color w:val="auto"/>
        </w:rPr>
        <w:t xml:space="preserve"> IR SIŪLYMAI</w:t>
      </w:r>
      <w:bookmarkEnd w:id="138"/>
    </w:p>
    <w:p w14:paraId="2C754DE3" w14:textId="77777777" w:rsidR="00D81A0D" w:rsidRDefault="00D81A0D" w:rsidP="004B7151">
      <w:pPr>
        <w:tabs>
          <w:tab w:val="left" w:pos="2763"/>
        </w:tabs>
        <w:spacing w:after="0" w:line="360" w:lineRule="auto"/>
        <w:jc w:val="center"/>
        <w:rPr>
          <w:rFonts w:ascii="Times New Roman" w:hAnsi="Times New Roman" w:cs="Times New Roman"/>
          <w:b/>
          <w:sz w:val="28"/>
          <w:szCs w:val="28"/>
        </w:rPr>
      </w:pPr>
    </w:p>
    <w:p w14:paraId="2B39D86E" w14:textId="77777777" w:rsidR="00FC613A" w:rsidRDefault="00FC613A" w:rsidP="00FC613A">
      <w:pPr>
        <w:spacing w:after="0" w:line="360" w:lineRule="auto"/>
        <w:ind w:firstLine="540"/>
        <w:jc w:val="both"/>
        <w:rPr>
          <w:rFonts w:ascii="Times New Roman" w:eastAsia="Calibri" w:hAnsi="Times New Roman" w:cs="Times New Roman"/>
          <w:sz w:val="24"/>
          <w:szCs w:val="24"/>
        </w:rPr>
      </w:pPr>
      <w:r w:rsidRPr="00092678">
        <w:rPr>
          <w:rFonts w:ascii="Times New Roman" w:eastAsia="Calibri" w:hAnsi="Times New Roman" w:cs="Times New Roman"/>
          <w:sz w:val="24"/>
          <w:szCs w:val="24"/>
        </w:rPr>
        <w:t>Atlikus</w:t>
      </w:r>
      <w:r w:rsidRPr="00092678">
        <w:rPr>
          <w:rFonts w:ascii="Times New Roman" w:hAnsi="Times New Roman" w:cs="Times New Roman"/>
          <w:sz w:val="24"/>
          <w:szCs w:val="24"/>
        </w:rPr>
        <w:t xml:space="preserve"> išsamią</w:t>
      </w:r>
      <w:r w:rsidRPr="00092678">
        <w:rPr>
          <w:rFonts w:ascii="Times New Roman" w:eastAsia="Calibri" w:hAnsi="Times New Roman" w:cs="Times New Roman"/>
          <w:sz w:val="24"/>
          <w:szCs w:val="24"/>
        </w:rPr>
        <w:t xml:space="preserve"> mokslinės literatūros analizę ir tyrimus</w:t>
      </w:r>
      <w:r w:rsidRPr="00092678">
        <w:rPr>
          <w:rFonts w:ascii="Times New Roman" w:hAnsi="Times New Roman" w:cs="Times New Roman"/>
          <w:sz w:val="24"/>
          <w:szCs w:val="24"/>
        </w:rPr>
        <w:t xml:space="preserve"> buvo nustatyta kaip kito biržoje kotiruojamų Lietuvos įmonių likvidumas, kokios šių įmonių perspektyvos ir kokie veiksniai riboja </w:t>
      </w:r>
      <w:r>
        <w:rPr>
          <w:rFonts w:ascii="Times New Roman" w:hAnsi="Times New Roman" w:cs="Times New Roman"/>
          <w:sz w:val="24"/>
          <w:szCs w:val="24"/>
        </w:rPr>
        <w:t>likvidumo valdymo efektyvumą</w:t>
      </w:r>
      <w:r w:rsidRPr="00092678">
        <w:rPr>
          <w:rFonts w:ascii="Times New Roman" w:hAnsi="Times New Roman" w:cs="Times New Roman"/>
          <w:sz w:val="24"/>
          <w:szCs w:val="24"/>
        </w:rPr>
        <w:t>. S</w:t>
      </w:r>
      <w:r w:rsidRPr="00092678">
        <w:rPr>
          <w:rFonts w:ascii="Times New Roman" w:eastAsia="Calibri" w:hAnsi="Times New Roman" w:cs="Times New Roman"/>
          <w:sz w:val="24"/>
          <w:szCs w:val="24"/>
        </w:rPr>
        <w:t>uformuluotos šios mokslinės ir praktinės darbo išvados:</w:t>
      </w:r>
    </w:p>
    <w:p w14:paraId="6530BB11" w14:textId="77777777" w:rsidR="00FC613A" w:rsidRPr="00B77A59" w:rsidRDefault="00FC613A" w:rsidP="00447752">
      <w:pPr>
        <w:pStyle w:val="ListParagraph"/>
        <w:numPr>
          <w:ilvl w:val="0"/>
          <w:numId w:val="22"/>
        </w:numPr>
        <w:spacing w:after="0" w:line="360" w:lineRule="auto"/>
        <w:ind w:left="993" w:hanging="426"/>
        <w:jc w:val="both"/>
      </w:pPr>
      <w:r>
        <w:rPr>
          <w:rFonts w:ascii="Times New Roman" w:hAnsi="Times New Roman" w:cs="Times New Roman"/>
          <w:sz w:val="24"/>
          <w:szCs w:val="24"/>
        </w:rPr>
        <w:t>Išanalizavus mokslinę literatūrą, galima teigti, kad likvidumas yra svarbi ir neatsiejama finansinės analizės dalis. Likvidumo tikslas - optimaliai valdyti darbinį kapitalą. Visa tai apima kasdienių pinigų srautų valdymą ypatingą dėmesį kreipiant į trumpalaikį turtą ir trumpalaikius įsipareigojimus, t. y. valdant per finansavimo ir investavimo sprendimus. Analizuojant likvidumą dažniausiai nepanaudojama visa turima informacija ir remiamasi tik balanso duomenimis ignoruojant pinigų srautų ataskaitos duomenis, kas padidina riziką neteisingai įvertinti esamą padėtį. Likvidumo rizika siejama su įmonės prestižu, konkurencingumu, finansiniais sunkumais ir veiklos tęstinumo galimybe.</w:t>
      </w:r>
    </w:p>
    <w:p w14:paraId="1985637B" w14:textId="77777777" w:rsidR="00FC613A" w:rsidRPr="00C02C8D" w:rsidRDefault="00FC613A" w:rsidP="00447752">
      <w:pPr>
        <w:pStyle w:val="ListParagraph"/>
        <w:numPr>
          <w:ilvl w:val="0"/>
          <w:numId w:val="22"/>
        </w:numPr>
        <w:spacing w:after="0" w:line="360" w:lineRule="auto"/>
        <w:ind w:left="993" w:hanging="426"/>
        <w:jc w:val="both"/>
      </w:pPr>
      <w:r>
        <w:rPr>
          <w:rFonts w:ascii="Times New Roman" w:hAnsi="Times New Roman" w:cs="Times New Roman"/>
          <w:sz w:val="24"/>
          <w:szCs w:val="24"/>
        </w:rPr>
        <w:t>Praktikoje nuoseklus ir išsamus likvidumo įvertinimas yra sudėtinga užduotis. Visų pirma, didelė painiava ir neaiškumas atsiranda dėl trumpalaikio mokumo ir likvidumo rodiklių tapatinimo. Antra, įvairūs autoriai, nagrinėjantys finansinę analizę, pateikia daugelio likvidumo rodiklių skaičiavimus ir tų skaičiavimų interpretacijas, tačiau finansinėje literatūroje nėra nuoseklios ir aiškios vertinimo sistemos, kurioje būtų aiškiai suformuoti ir įvardyti svarbiausi įmonės likvidumą nusakantys rodikliai. Trečia, dažniausiai likvidumo rodikliai skaičiuojami naudojant tik balanso ataskaitos duomenis, nors pažymima, kad didelę svarbą likvidumui turi pinigų srautai. Atsižvelgiant į minėtus veiksnius likvidumo rodiklius galima skirstyti į: tradicinius – tuos, kurie dažniausiai sutapatinami su trumpalaikiu mokumu ir kurių supratimas, interpretacija bei svarba įvairiuose moksliniuose darbuose, straipsniuose, knygose interpretuojami ir aiškinami panašiai; netradicinius – tuos, kurių nuoseklios aiškinimo sistemos nėra ir skirtingi autoriai šiuos rodiklius priskiria skirtingoms rodiklių grupėms bei skirtingai traktuoja ir interpretuoja juos.</w:t>
      </w:r>
    </w:p>
    <w:p w14:paraId="2D46132B" w14:textId="77777777" w:rsidR="00FC613A" w:rsidRPr="00850AC7" w:rsidRDefault="00FC613A" w:rsidP="00447752">
      <w:pPr>
        <w:pStyle w:val="ListParagraph"/>
        <w:numPr>
          <w:ilvl w:val="0"/>
          <w:numId w:val="22"/>
        </w:numPr>
        <w:spacing w:after="0" w:line="360" w:lineRule="auto"/>
        <w:ind w:left="993" w:hanging="426"/>
        <w:jc w:val="both"/>
      </w:pPr>
      <w:r w:rsidRPr="00850AC7">
        <w:rPr>
          <w:rFonts w:ascii="Times New Roman" w:hAnsi="Times New Roman" w:cs="Times New Roman"/>
          <w:sz w:val="24"/>
          <w:szCs w:val="24"/>
        </w:rPr>
        <w:t>Atlikus biržoje kotiruojamų Lietuvos įmonių likvidumo dinamikos analizę galima daryti išvadą, kad likvidumo valdymas yra pakankamai opi problema biržoje kotiruojamose Lietuvos įmonėse</w:t>
      </w:r>
      <w:r>
        <w:rPr>
          <w:rFonts w:ascii="Times New Roman" w:hAnsi="Times New Roman" w:cs="Times New Roman"/>
          <w:sz w:val="24"/>
          <w:szCs w:val="24"/>
        </w:rPr>
        <w:t>, todėl hipotezė (H</w:t>
      </w:r>
      <w:r>
        <w:rPr>
          <w:rFonts w:ascii="Times New Roman" w:hAnsi="Times New Roman" w:cs="Times New Roman"/>
          <w:sz w:val="24"/>
          <w:szCs w:val="24"/>
          <w:vertAlign w:val="subscript"/>
        </w:rPr>
        <w:t>1</w:t>
      </w:r>
      <w:r>
        <w:rPr>
          <w:rFonts w:ascii="Times New Roman" w:hAnsi="Times New Roman" w:cs="Times New Roman"/>
          <w:sz w:val="24"/>
          <w:szCs w:val="24"/>
        </w:rPr>
        <w:t>) buvo atmesta</w:t>
      </w:r>
      <w:r w:rsidRPr="00850AC7">
        <w:rPr>
          <w:rFonts w:ascii="Times New Roman" w:hAnsi="Times New Roman" w:cs="Times New Roman"/>
          <w:sz w:val="24"/>
          <w:szCs w:val="24"/>
        </w:rPr>
        <w:t xml:space="preserve">. Nustatyta, jog iš 31 nagrinėtos įmonės net 15 įmonių ateities perspektyvos yra neigiamos. Be to, analizuotu laikotarpiu 2008-2012 m. 5 įmonių likvidumas tendencingai mažėjo ir pasiekė kritinį lygį, kas kelia abejonių dėl šių įmonių veiklos tęstinumo. Taip pat pastebėta, jog tradiciniai likvidumo rodikliai rodė geresnę įmonių likvidumo poziciją nei trumpalaikių įsipareigojimų apmokėjimo pinigais koeficientas. Remiantis tik šiuo rodikliu, vos 4 įmonės nagrinėjamu laikotarpiu išlaikė aukštą likvidumo lygį. </w:t>
      </w:r>
    </w:p>
    <w:p w14:paraId="745A15E9" w14:textId="77777777" w:rsidR="00FC613A" w:rsidRPr="00850AC7" w:rsidRDefault="00FC613A" w:rsidP="00447752">
      <w:pPr>
        <w:pStyle w:val="ListParagraph"/>
        <w:numPr>
          <w:ilvl w:val="0"/>
          <w:numId w:val="22"/>
        </w:numPr>
        <w:spacing w:after="0" w:line="360" w:lineRule="auto"/>
        <w:ind w:left="993" w:hanging="426"/>
        <w:jc w:val="both"/>
      </w:pPr>
      <w:r w:rsidRPr="00850AC7">
        <w:rPr>
          <w:rFonts w:ascii="Times New Roman" w:hAnsi="Times New Roman" w:cs="Times New Roman"/>
          <w:sz w:val="24"/>
          <w:szCs w:val="24"/>
        </w:rPr>
        <w:lastRenderedPageBreak/>
        <w:t xml:space="preserve">Atlikus mokslinės literatūros analizę išskirti septyni veiksniai ribojantys įmonių likvidumo valdymo efektyvumą: pramonės šaka, įmonės dydis, ekonominė padėtis, konkurencinė aplinka, neaiški vertinimo sistema, vadovų kompetencija, įmonės politika. </w:t>
      </w:r>
      <w:r w:rsidR="003F2F73">
        <w:rPr>
          <w:rFonts w:ascii="Times New Roman" w:hAnsi="Times New Roman" w:cs="Times New Roman"/>
          <w:sz w:val="24"/>
          <w:szCs w:val="24"/>
        </w:rPr>
        <w:t>Naudojant e</w:t>
      </w:r>
      <w:r w:rsidRPr="00850AC7">
        <w:rPr>
          <w:rFonts w:ascii="Times New Roman" w:hAnsi="Times New Roman" w:cs="Times New Roman"/>
          <w:sz w:val="24"/>
          <w:szCs w:val="24"/>
        </w:rPr>
        <w:t>kspertinį vertinimą nustatyta, jog pagrindiniai veiksniai ribojantys įmonių likvidumo valdymo efektyvumą yra pramonės šaka ir ekonominė padėtis. Darbo pradžioje iškelta hipotezė (H</w:t>
      </w:r>
      <w:r w:rsidRPr="00850AC7">
        <w:rPr>
          <w:rFonts w:ascii="Times New Roman" w:hAnsi="Times New Roman" w:cs="Times New Roman"/>
          <w:sz w:val="24"/>
          <w:szCs w:val="24"/>
          <w:vertAlign w:val="subscript"/>
        </w:rPr>
        <w:t>2</w:t>
      </w:r>
      <w:r w:rsidRPr="00850AC7">
        <w:rPr>
          <w:rFonts w:ascii="Times New Roman" w:hAnsi="Times New Roman" w:cs="Times New Roman"/>
          <w:sz w:val="24"/>
          <w:szCs w:val="24"/>
        </w:rPr>
        <w:t xml:space="preserve">), jog svarbiausias veiksnys yra neaiški vertinimo sistema atmesta. Nors, remiantis ekspertų nuomone, šis veiksnys yra </w:t>
      </w:r>
      <w:r>
        <w:rPr>
          <w:rFonts w:ascii="Times New Roman" w:hAnsi="Times New Roman" w:cs="Times New Roman"/>
          <w:sz w:val="24"/>
          <w:szCs w:val="24"/>
        </w:rPr>
        <w:t xml:space="preserve">pakankamai </w:t>
      </w:r>
      <w:r w:rsidRPr="00850AC7">
        <w:rPr>
          <w:rFonts w:ascii="Times New Roman" w:hAnsi="Times New Roman" w:cs="Times New Roman"/>
          <w:sz w:val="24"/>
          <w:szCs w:val="24"/>
        </w:rPr>
        <w:t>svarbus</w:t>
      </w:r>
      <w:r>
        <w:rPr>
          <w:rFonts w:ascii="Times New Roman" w:hAnsi="Times New Roman" w:cs="Times New Roman"/>
          <w:sz w:val="24"/>
          <w:szCs w:val="24"/>
        </w:rPr>
        <w:t>.</w:t>
      </w:r>
    </w:p>
    <w:p w14:paraId="3F077BD0" w14:textId="77777777" w:rsidR="00FC613A" w:rsidRDefault="00FC613A" w:rsidP="00FC613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Pagal gautus rezultatus suformuotas pasiūlymas:</w:t>
      </w:r>
    </w:p>
    <w:p w14:paraId="1D25B142" w14:textId="77777777" w:rsidR="00FC613A" w:rsidRPr="00850AC7" w:rsidRDefault="00FC613A" w:rsidP="00447752">
      <w:pPr>
        <w:pStyle w:val="ListParagraph"/>
        <w:numPr>
          <w:ilvl w:val="0"/>
          <w:numId w:val="23"/>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Analizuojant įmonių likvidumą reiktų remtis ne tik tradiciniais likvidumo rodikliais, tačiau analizuoti ir rodiklius paremtus pinigų srautais, kadangi kartais šie rodikliai rodo kitokias įmonės perspektyvas</w:t>
      </w:r>
      <w:r w:rsidR="003F2F73">
        <w:rPr>
          <w:rFonts w:ascii="Times New Roman" w:hAnsi="Times New Roman" w:cs="Times New Roman"/>
          <w:sz w:val="24"/>
          <w:szCs w:val="24"/>
        </w:rPr>
        <w:t xml:space="preserve"> ir turėtų būti intergruoti į verslo vertinimo modelius. </w:t>
      </w:r>
      <w:r>
        <w:rPr>
          <w:rFonts w:ascii="Times New Roman" w:hAnsi="Times New Roman" w:cs="Times New Roman"/>
          <w:sz w:val="24"/>
          <w:szCs w:val="24"/>
        </w:rPr>
        <w:t>Tai gali būti ženklas, jog reikalinga gilesnė analizė norint efektyviau valdyti įmonės likvidumą.</w:t>
      </w:r>
    </w:p>
    <w:p w14:paraId="4A0DEA85" w14:textId="77777777" w:rsidR="00D81A0D" w:rsidRDefault="00D81A0D" w:rsidP="00E71C0B">
      <w:pPr>
        <w:tabs>
          <w:tab w:val="left" w:pos="2763"/>
        </w:tabs>
        <w:rPr>
          <w:rFonts w:ascii="Times New Roman" w:hAnsi="Times New Roman" w:cs="Times New Roman"/>
          <w:sz w:val="24"/>
          <w:szCs w:val="24"/>
        </w:rPr>
      </w:pPr>
    </w:p>
    <w:p w14:paraId="12EADD57" w14:textId="77777777" w:rsidR="00D81A0D" w:rsidRDefault="00D81A0D" w:rsidP="00E71C0B">
      <w:pPr>
        <w:tabs>
          <w:tab w:val="left" w:pos="2763"/>
        </w:tabs>
        <w:rPr>
          <w:rFonts w:ascii="Times New Roman" w:hAnsi="Times New Roman" w:cs="Times New Roman"/>
          <w:sz w:val="24"/>
          <w:szCs w:val="24"/>
        </w:rPr>
      </w:pPr>
    </w:p>
    <w:p w14:paraId="573A1118" w14:textId="77777777" w:rsidR="00D81A0D" w:rsidRDefault="00D81A0D" w:rsidP="00E71C0B">
      <w:pPr>
        <w:tabs>
          <w:tab w:val="left" w:pos="2763"/>
        </w:tabs>
        <w:rPr>
          <w:rFonts w:ascii="Times New Roman" w:hAnsi="Times New Roman" w:cs="Times New Roman"/>
          <w:sz w:val="24"/>
          <w:szCs w:val="24"/>
        </w:rPr>
      </w:pPr>
    </w:p>
    <w:p w14:paraId="69AEB24A" w14:textId="77777777" w:rsidR="00D81A0D" w:rsidRDefault="00D81A0D" w:rsidP="00E71C0B">
      <w:pPr>
        <w:tabs>
          <w:tab w:val="left" w:pos="2763"/>
        </w:tabs>
        <w:rPr>
          <w:rFonts w:ascii="Times New Roman" w:hAnsi="Times New Roman" w:cs="Times New Roman"/>
          <w:sz w:val="24"/>
          <w:szCs w:val="24"/>
        </w:rPr>
      </w:pPr>
    </w:p>
    <w:p w14:paraId="6DFAA24A" w14:textId="77777777" w:rsidR="00D81A0D" w:rsidRDefault="00D81A0D" w:rsidP="00E71C0B">
      <w:pPr>
        <w:tabs>
          <w:tab w:val="left" w:pos="2763"/>
        </w:tabs>
        <w:rPr>
          <w:rFonts w:ascii="Times New Roman" w:hAnsi="Times New Roman" w:cs="Times New Roman"/>
          <w:sz w:val="24"/>
          <w:szCs w:val="24"/>
        </w:rPr>
      </w:pPr>
    </w:p>
    <w:p w14:paraId="4330CFD1" w14:textId="77777777" w:rsidR="00D81A0D" w:rsidRDefault="00D81A0D" w:rsidP="00E71C0B">
      <w:pPr>
        <w:tabs>
          <w:tab w:val="left" w:pos="2763"/>
        </w:tabs>
        <w:rPr>
          <w:rFonts w:ascii="Times New Roman" w:hAnsi="Times New Roman" w:cs="Times New Roman"/>
          <w:sz w:val="24"/>
          <w:szCs w:val="24"/>
        </w:rPr>
      </w:pPr>
    </w:p>
    <w:p w14:paraId="42A16429" w14:textId="77777777" w:rsidR="00D81A0D" w:rsidRDefault="00D81A0D" w:rsidP="00E71C0B">
      <w:pPr>
        <w:tabs>
          <w:tab w:val="left" w:pos="2763"/>
        </w:tabs>
        <w:rPr>
          <w:rFonts w:ascii="Times New Roman" w:hAnsi="Times New Roman" w:cs="Times New Roman"/>
          <w:sz w:val="24"/>
          <w:szCs w:val="24"/>
        </w:rPr>
      </w:pPr>
    </w:p>
    <w:p w14:paraId="448C4D90" w14:textId="77777777" w:rsidR="00D81A0D" w:rsidRDefault="00D81A0D" w:rsidP="00E71C0B">
      <w:pPr>
        <w:tabs>
          <w:tab w:val="left" w:pos="2763"/>
        </w:tabs>
        <w:rPr>
          <w:rFonts w:ascii="Times New Roman" w:hAnsi="Times New Roman" w:cs="Times New Roman"/>
          <w:sz w:val="24"/>
          <w:szCs w:val="24"/>
        </w:rPr>
      </w:pPr>
    </w:p>
    <w:p w14:paraId="558870E4" w14:textId="77777777" w:rsidR="00262506" w:rsidRDefault="00262506" w:rsidP="00E71C0B">
      <w:pPr>
        <w:tabs>
          <w:tab w:val="left" w:pos="2763"/>
        </w:tabs>
        <w:rPr>
          <w:rFonts w:ascii="Times New Roman" w:hAnsi="Times New Roman" w:cs="Times New Roman"/>
          <w:sz w:val="24"/>
          <w:szCs w:val="24"/>
        </w:rPr>
      </w:pPr>
    </w:p>
    <w:p w14:paraId="6E5FC406" w14:textId="77777777" w:rsidR="00262506" w:rsidRDefault="00262506" w:rsidP="00E71C0B">
      <w:pPr>
        <w:tabs>
          <w:tab w:val="left" w:pos="2763"/>
        </w:tabs>
        <w:rPr>
          <w:rFonts w:ascii="Times New Roman" w:hAnsi="Times New Roman" w:cs="Times New Roman"/>
          <w:sz w:val="24"/>
          <w:szCs w:val="24"/>
        </w:rPr>
      </w:pPr>
    </w:p>
    <w:p w14:paraId="6AF01B47" w14:textId="77777777" w:rsidR="00262506" w:rsidRDefault="00262506" w:rsidP="00E71C0B">
      <w:pPr>
        <w:tabs>
          <w:tab w:val="left" w:pos="2763"/>
        </w:tabs>
        <w:rPr>
          <w:rFonts w:ascii="Times New Roman" w:hAnsi="Times New Roman" w:cs="Times New Roman"/>
          <w:sz w:val="24"/>
          <w:szCs w:val="24"/>
        </w:rPr>
      </w:pPr>
    </w:p>
    <w:p w14:paraId="185371CD" w14:textId="77777777" w:rsidR="00262506" w:rsidRDefault="00262506" w:rsidP="00E71C0B">
      <w:pPr>
        <w:tabs>
          <w:tab w:val="left" w:pos="2763"/>
        </w:tabs>
        <w:rPr>
          <w:rFonts w:ascii="Times New Roman" w:hAnsi="Times New Roman" w:cs="Times New Roman"/>
          <w:sz w:val="24"/>
          <w:szCs w:val="24"/>
        </w:rPr>
      </w:pPr>
    </w:p>
    <w:p w14:paraId="54417474" w14:textId="77777777" w:rsidR="00262506" w:rsidRDefault="00262506" w:rsidP="00E71C0B">
      <w:pPr>
        <w:tabs>
          <w:tab w:val="left" w:pos="2763"/>
        </w:tabs>
        <w:rPr>
          <w:rFonts w:ascii="Times New Roman" w:hAnsi="Times New Roman" w:cs="Times New Roman"/>
          <w:sz w:val="24"/>
          <w:szCs w:val="24"/>
        </w:rPr>
      </w:pPr>
    </w:p>
    <w:p w14:paraId="6E1D5BB5" w14:textId="77777777" w:rsidR="00262506" w:rsidRDefault="00262506" w:rsidP="00E71C0B">
      <w:pPr>
        <w:tabs>
          <w:tab w:val="left" w:pos="2763"/>
        </w:tabs>
        <w:rPr>
          <w:rFonts w:ascii="Times New Roman" w:hAnsi="Times New Roman" w:cs="Times New Roman"/>
          <w:sz w:val="24"/>
          <w:szCs w:val="24"/>
        </w:rPr>
      </w:pPr>
    </w:p>
    <w:p w14:paraId="77541939" w14:textId="77777777" w:rsidR="00262506" w:rsidRDefault="00262506" w:rsidP="00E71C0B">
      <w:pPr>
        <w:tabs>
          <w:tab w:val="left" w:pos="2763"/>
        </w:tabs>
        <w:rPr>
          <w:rFonts w:ascii="Times New Roman" w:hAnsi="Times New Roman" w:cs="Times New Roman"/>
          <w:sz w:val="24"/>
          <w:szCs w:val="24"/>
        </w:rPr>
      </w:pPr>
    </w:p>
    <w:p w14:paraId="7058A441" w14:textId="77777777" w:rsidR="00725FC7" w:rsidRDefault="00725FC7" w:rsidP="00E71C0B">
      <w:pPr>
        <w:tabs>
          <w:tab w:val="left" w:pos="2763"/>
        </w:tabs>
        <w:rPr>
          <w:rFonts w:ascii="Times New Roman" w:hAnsi="Times New Roman" w:cs="Times New Roman"/>
          <w:sz w:val="24"/>
          <w:szCs w:val="24"/>
        </w:rPr>
      </w:pPr>
    </w:p>
    <w:p w14:paraId="13A237E5" w14:textId="77777777" w:rsidR="00262506" w:rsidRDefault="00262506" w:rsidP="00E71C0B">
      <w:pPr>
        <w:tabs>
          <w:tab w:val="left" w:pos="2763"/>
        </w:tabs>
        <w:rPr>
          <w:rFonts w:ascii="Times New Roman" w:hAnsi="Times New Roman" w:cs="Times New Roman"/>
          <w:sz w:val="24"/>
          <w:szCs w:val="24"/>
        </w:rPr>
      </w:pPr>
    </w:p>
    <w:p w14:paraId="5146FD6B" w14:textId="77777777" w:rsidR="00262506" w:rsidRDefault="00262506" w:rsidP="00E71C0B">
      <w:pPr>
        <w:tabs>
          <w:tab w:val="left" w:pos="2763"/>
        </w:tabs>
        <w:rPr>
          <w:rFonts w:ascii="Times New Roman" w:hAnsi="Times New Roman" w:cs="Times New Roman"/>
          <w:sz w:val="24"/>
          <w:szCs w:val="24"/>
        </w:rPr>
      </w:pPr>
    </w:p>
    <w:p w14:paraId="2B74D8AD" w14:textId="77777777" w:rsidR="002C2AC6" w:rsidRPr="00E2302E" w:rsidRDefault="002C2AC6" w:rsidP="00E2302E">
      <w:pPr>
        <w:pStyle w:val="Heading1"/>
        <w:spacing w:before="0" w:line="360" w:lineRule="auto"/>
        <w:jc w:val="center"/>
        <w:rPr>
          <w:b w:val="0"/>
        </w:rPr>
      </w:pPr>
      <w:bookmarkStart w:id="139" w:name="_Toc353730666"/>
      <w:r w:rsidRPr="00E2302E">
        <w:rPr>
          <w:rStyle w:val="1antChar"/>
          <w:rFonts w:eastAsiaTheme="majorEastAsia"/>
          <w:b/>
          <w:color w:val="auto"/>
        </w:rPr>
        <w:lastRenderedPageBreak/>
        <w:t>LITERATŪRA</w:t>
      </w:r>
      <w:bookmarkEnd w:id="139"/>
    </w:p>
    <w:p w14:paraId="3CA9206B" w14:textId="77777777" w:rsidR="002C2AC6" w:rsidRPr="002C2AC6" w:rsidRDefault="002C2AC6" w:rsidP="002C2AC6">
      <w:pPr>
        <w:tabs>
          <w:tab w:val="left" w:pos="540"/>
        </w:tabs>
        <w:spacing w:after="0" w:line="360" w:lineRule="auto"/>
        <w:jc w:val="both"/>
        <w:rPr>
          <w:rFonts w:ascii="Times New Roman" w:hAnsi="Times New Roman" w:cs="Times New Roman"/>
          <w:sz w:val="24"/>
          <w:szCs w:val="24"/>
        </w:rPr>
      </w:pPr>
    </w:p>
    <w:p w14:paraId="3F4D6BDB" w14:textId="77777777" w:rsidR="00DC3C6F" w:rsidRPr="00DC3C6F" w:rsidRDefault="00DC3C6F"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sidRPr="00DC3C6F">
        <w:rPr>
          <w:rFonts w:ascii="Times New Roman" w:hAnsi="Times New Roman" w:cs="Times New Roman"/>
          <w:b/>
          <w:sz w:val="24"/>
          <w:szCs w:val="24"/>
        </w:rPr>
        <w:t>Adomėnienė R., Ruibytė L.</w:t>
      </w:r>
      <w:r>
        <w:rPr>
          <w:rFonts w:ascii="Times New Roman" w:hAnsi="Times New Roman" w:cs="Times New Roman"/>
          <w:b/>
          <w:sz w:val="24"/>
          <w:szCs w:val="24"/>
        </w:rPr>
        <w:t xml:space="preserve"> </w:t>
      </w:r>
      <w:r>
        <w:rPr>
          <w:rFonts w:ascii="Times New Roman" w:hAnsi="Times New Roman" w:cs="Times New Roman"/>
          <w:sz w:val="24"/>
          <w:szCs w:val="24"/>
        </w:rPr>
        <w:t xml:space="preserve">Vadovų kompetencijų ugdymo sistemos formavimo kryptys//Management theory and studies for rural businessand infrastructuredevelopment. </w:t>
      </w:r>
      <w:r w:rsidR="003A140E">
        <w:rPr>
          <w:rFonts w:ascii="Times New Roman" w:hAnsi="Times New Roman" w:cs="Times New Roman"/>
          <w:sz w:val="24"/>
          <w:szCs w:val="24"/>
        </w:rPr>
        <w:t>Kaunas</w:t>
      </w:r>
      <w:r>
        <w:rPr>
          <w:rFonts w:ascii="Times New Roman" w:hAnsi="Times New Roman" w:cs="Times New Roman"/>
          <w:sz w:val="24"/>
          <w:szCs w:val="24"/>
        </w:rPr>
        <w:t xml:space="preserve">, 2010, Nr. 5 (24), p. 1-9. – ISSN 1822-6760. – URL: </w:t>
      </w:r>
      <w:r w:rsidRPr="00DC3C6F">
        <w:rPr>
          <w:rFonts w:ascii="Times New Roman" w:hAnsi="Times New Roman" w:cs="Times New Roman"/>
          <w:sz w:val="24"/>
          <w:szCs w:val="24"/>
        </w:rPr>
        <w:t>http://vadyba.asu.lt/24/6.pdf</w:t>
      </w:r>
    </w:p>
    <w:p w14:paraId="182F993C" w14:textId="77777777" w:rsidR="00757D2D" w:rsidRDefault="00757D2D"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sidRPr="00757D2D">
        <w:rPr>
          <w:rFonts w:ascii="Times New Roman" w:hAnsi="Times New Roman" w:cs="Times New Roman"/>
          <w:b/>
          <w:sz w:val="24"/>
          <w:szCs w:val="24"/>
        </w:rPr>
        <w:t>Aleknevičienė V.</w:t>
      </w:r>
      <w:r w:rsidRPr="00757D2D">
        <w:rPr>
          <w:rFonts w:ascii="Times New Roman" w:hAnsi="Times New Roman" w:cs="Times New Roman"/>
          <w:sz w:val="24"/>
          <w:szCs w:val="24"/>
        </w:rPr>
        <w:t xml:space="preserve"> Įmonės finansų valdymas: vadovėlis. – Kaunas: Spalvų kraitė, 2009. – 430 p. – ISBN 978-9955-921-04-2</w:t>
      </w:r>
    </w:p>
    <w:p w14:paraId="7516631E" w14:textId="77777777" w:rsidR="003D33D8" w:rsidRDefault="003D33D8"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Alexandru C.</w:t>
      </w:r>
      <w:r>
        <w:rPr>
          <w:rFonts w:ascii="Times New Roman" w:hAnsi="Times New Roman" w:cs="Times New Roman"/>
          <w:sz w:val="24"/>
          <w:szCs w:val="24"/>
        </w:rPr>
        <w:t xml:space="preserve"> </w:t>
      </w:r>
      <w:r w:rsidRPr="00D54B89">
        <w:rPr>
          <w:rFonts w:ascii="Times New Roman" w:hAnsi="Times New Roman" w:cs="Times New Roman"/>
          <w:b/>
          <w:sz w:val="24"/>
          <w:szCs w:val="24"/>
        </w:rPr>
        <w:t>G.</w:t>
      </w:r>
      <w:r>
        <w:rPr>
          <w:rFonts w:ascii="Times New Roman" w:hAnsi="Times New Roman" w:cs="Times New Roman"/>
          <w:b/>
          <w:sz w:val="24"/>
          <w:szCs w:val="24"/>
        </w:rPr>
        <w:t xml:space="preserve"> </w:t>
      </w:r>
      <w:r>
        <w:rPr>
          <w:rFonts w:ascii="Times New Roman" w:hAnsi="Times New Roman" w:cs="Times New Roman"/>
          <w:sz w:val="24"/>
          <w:szCs w:val="24"/>
        </w:rPr>
        <w:t>Analyse of the liquidity tide (cash-flow), a modern financial concept.//Annals of the University of Oradea</w:t>
      </w:r>
      <w:r w:rsidR="001C2806">
        <w:rPr>
          <w:rFonts w:ascii="Times New Roman" w:hAnsi="Times New Roman" w:cs="Times New Roman"/>
          <w:sz w:val="24"/>
          <w:szCs w:val="24"/>
        </w:rPr>
        <w:t>. Oradea, 2008, Vol. 17 Iss.</w:t>
      </w:r>
      <w:r>
        <w:rPr>
          <w:rFonts w:ascii="Times New Roman" w:hAnsi="Times New Roman" w:cs="Times New Roman"/>
          <w:sz w:val="24"/>
          <w:szCs w:val="24"/>
        </w:rPr>
        <w:t xml:space="preserve"> 3, p. 16</w:t>
      </w:r>
      <w:r w:rsidR="001C2806">
        <w:rPr>
          <w:rFonts w:ascii="Times New Roman" w:hAnsi="Times New Roman" w:cs="Times New Roman"/>
          <w:sz w:val="24"/>
          <w:szCs w:val="24"/>
        </w:rPr>
        <w:t>5-168. – ISSN 15825450. URL</w:t>
      </w:r>
      <w:r w:rsidR="003A140E">
        <w:rPr>
          <w:rFonts w:ascii="Times New Roman" w:hAnsi="Times New Roman" w:cs="Times New Roman"/>
          <w:sz w:val="24"/>
          <w:szCs w:val="24"/>
        </w:rPr>
        <w:t>:</w:t>
      </w:r>
      <w:r w:rsidR="001C2806">
        <w:rPr>
          <w:rFonts w:ascii="Times New Roman" w:hAnsi="Times New Roman" w:cs="Times New Roman"/>
          <w:sz w:val="24"/>
          <w:szCs w:val="24"/>
        </w:rPr>
        <w:t xml:space="preserve"> </w:t>
      </w:r>
      <w:r w:rsidR="001C2806" w:rsidRPr="00A07EEC">
        <w:rPr>
          <w:rFonts w:ascii="Times New Roman" w:hAnsi="Times New Roman" w:cs="Times New Roman"/>
          <w:sz w:val="24"/>
          <w:szCs w:val="24"/>
        </w:rPr>
        <w:t>http://search.ebscohost.com/login.aspx?direct=true&amp;db=bth&amp;AN=48176277&amp;site=ehost-live</w:t>
      </w:r>
      <w:r w:rsidR="001C2806">
        <w:rPr>
          <w:rFonts w:ascii="Times New Roman" w:hAnsi="Times New Roman" w:cs="Times New Roman"/>
          <w:sz w:val="24"/>
          <w:szCs w:val="24"/>
        </w:rPr>
        <w:t xml:space="preserve"> </w:t>
      </w:r>
    </w:p>
    <w:p w14:paraId="76E56B4F" w14:textId="77777777" w:rsidR="003A140E" w:rsidRDefault="003A140E"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Audito ir apskaitos tarnyba.</w:t>
      </w:r>
      <w:r>
        <w:rPr>
          <w:rFonts w:ascii="Times New Roman" w:hAnsi="Times New Roman" w:cs="Times New Roman"/>
          <w:sz w:val="24"/>
          <w:szCs w:val="24"/>
        </w:rPr>
        <w:t xml:space="preserve"> 1 verslo apskaitos standartas su pakeitimais, priimtais iki 2012 m. gruodžio 21 d. [žiūrėta 2013-02-12]. Prieiga per internetą: </w:t>
      </w:r>
      <w:r w:rsidRPr="003A140E">
        <w:rPr>
          <w:rFonts w:ascii="Times New Roman" w:hAnsi="Times New Roman" w:cs="Times New Roman"/>
          <w:sz w:val="24"/>
          <w:szCs w:val="24"/>
        </w:rPr>
        <w:t>http://www.aat.lt/index.php?id=14</w:t>
      </w:r>
    </w:p>
    <w:p w14:paraId="5A52A7D0" w14:textId="77777777" w:rsidR="003A140E" w:rsidRDefault="003A140E"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Audito ir apskaitos tarnyba.</w:t>
      </w:r>
      <w:r>
        <w:rPr>
          <w:rFonts w:ascii="Times New Roman" w:hAnsi="Times New Roman" w:cs="Times New Roman"/>
          <w:sz w:val="24"/>
          <w:szCs w:val="24"/>
        </w:rPr>
        <w:t xml:space="preserve"> 2 verslo apskaitos standartas su pakeitimais, priimtais iki 2012 m. gruodžio 14 d. [žiūrėta 2013-02-17]. Prieiga per internetą: </w:t>
      </w:r>
      <w:r w:rsidRPr="003A140E">
        <w:rPr>
          <w:rFonts w:ascii="Times New Roman" w:hAnsi="Times New Roman" w:cs="Times New Roman"/>
          <w:sz w:val="24"/>
          <w:szCs w:val="24"/>
        </w:rPr>
        <w:t>http://www.aat.lt/index.php?id=14</w:t>
      </w:r>
    </w:p>
    <w:p w14:paraId="2FFCC8FB" w14:textId="77777777" w:rsidR="003A140E" w:rsidRPr="003A140E" w:rsidRDefault="003A140E"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Audito ir apskaitos tarnyba.</w:t>
      </w:r>
      <w:r>
        <w:rPr>
          <w:rFonts w:ascii="Times New Roman" w:hAnsi="Times New Roman" w:cs="Times New Roman"/>
          <w:sz w:val="24"/>
          <w:szCs w:val="24"/>
        </w:rPr>
        <w:t xml:space="preserve"> 5 verslo apskaitos standartas su pakeitimais, priimtais iki 2012 m. rugpjūčio 7 d. [žiūrėta 2013-02-13]. Prieiga per internetą: </w:t>
      </w:r>
      <w:r w:rsidRPr="003A140E">
        <w:rPr>
          <w:rFonts w:ascii="Times New Roman" w:hAnsi="Times New Roman" w:cs="Times New Roman"/>
          <w:sz w:val="24"/>
          <w:szCs w:val="24"/>
        </w:rPr>
        <w:t>http://www.aat.lt/index.php?id=14</w:t>
      </w:r>
    </w:p>
    <w:p w14:paraId="0FB706AD" w14:textId="77777777" w:rsidR="00757D2D" w:rsidRDefault="00757D2D" w:rsidP="00447752">
      <w:pPr>
        <w:pStyle w:val="Default"/>
        <w:numPr>
          <w:ilvl w:val="0"/>
          <w:numId w:val="14"/>
        </w:numPr>
        <w:tabs>
          <w:tab w:val="left" w:pos="0"/>
        </w:tabs>
        <w:spacing w:line="360" w:lineRule="auto"/>
        <w:ind w:left="0" w:firstLine="0"/>
        <w:jc w:val="both"/>
        <w:rPr>
          <w:color w:val="auto"/>
        </w:rPr>
      </w:pPr>
      <w:r w:rsidRPr="00757D2D">
        <w:rPr>
          <w:b/>
          <w:color w:val="auto"/>
        </w:rPr>
        <w:t>Blackburn S.</w:t>
      </w:r>
      <w:r w:rsidRPr="00757D2D">
        <w:rPr>
          <w:color w:val="auto"/>
        </w:rPr>
        <w:t xml:space="preserve"> Dictionary of philosophy. – New York: Oxford university press, 1996. – 418 p.- ISBN 0-19-283134-8</w:t>
      </w:r>
    </w:p>
    <w:p w14:paraId="7B87C4E1" w14:textId="77777777" w:rsidR="004B6A49" w:rsidRPr="004B6A49" w:rsidRDefault="003D33D8" w:rsidP="00447752">
      <w:pPr>
        <w:pStyle w:val="Default"/>
        <w:numPr>
          <w:ilvl w:val="0"/>
          <w:numId w:val="14"/>
        </w:numPr>
        <w:tabs>
          <w:tab w:val="left" w:pos="0"/>
        </w:tabs>
        <w:spacing w:line="360" w:lineRule="auto"/>
        <w:ind w:left="0" w:firstLine="0"/>
        <w:jc w:val="both"/>
        <w:rPr>
          <w:color w:val="auto"/>
        </w:rPr>
      </w:pPr>
      <w:r w:rsidRPr="001A7AA6">
        <w:rPr>
          <w:b/>
        </w:rPr>
        <w:t>Bolek M., Wolski R.</w:t>
      </w:r>
      <w:r>
        <w:t xml:space="preserve"> Profitability or liquidity: Influencing the market value the case of Poland.//International Journal of Economics and Finance, University of </w:t>
      </w:r>
      <w:r w:rsidR="001C2806">
        <w:t>Lodz, Poland, 2012, Vol. 4 Iss.</w:t>
      </w:r>
      <w:r>
        <w:t xml:space="preserve"> 9, p. 182-190. – ISSN 1916971X. URL</w:t>
      </w:r>
      <w:r w:rsidR="003A140E">
        <w:t xml:space="preserve">: </w:t>
      </w:r>
    </w:p>
    <w:p w14:paraId="2298E81F" w14:textId="77777777" w:rsidR="003D33D8" w:rsidRPr="00757D2D" w:rsidRDefault="001C2806" w:rsidP="004B6A49">
      <w:pPr>
        <w:pStyle w:val="Default"/>
        <w:tabs>
          <w:tab w:val="left" w:pos="0"/>
        </w:tabs>
        <w:spacing w:line="360" w:lineRule="auto"/>
        <w:jc w:val="both"/>
        <w:rPr>
          <w:color w:val="auto"/>
        </w:rPr>
      </w:pPr>
      <w:r w:rsidRPr="00A07EEC">
        <w:t>http://search.ebscohost.com/login.aspx?direct=true&amp;db=bth&amp;AN=80122589&amp;site=ehost-live</w:t>
      </w:r>
      <w:r>
        <w:t xml:space="preserve"> </w:t>
      </w:r>
    </w:p>
    <w:p w14:paraId="5F0DB4D1" w14:textId="77777777" w:rsidR="00757D2D" w:rsidRDefault="00757D2D"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sidRPr="00757D2D">
        <w:rPr>
          <w:rFonts w:ascii="Times New Roman" w:hAnsi="Times New Roman" w:cs="Times New Roman"/>
          <w:b/>
          <w:bCs/>
          <w:sz w:val="24"/>
          <w:szCs w:val="24"/>
        </w:rPr>
        <w:t>Buškevi</w:t>
      </w:r>
      <w:r w:rsidRPr="00757D2D">
        <w:rPr>
          <w:rFonts w:ascii="Times New Roman" w:eastAsia="TimesNewRomanPS-BoldMT" w:hAnsi="Times New Roman" w:cs="Times New Roman"/>
          <w:b/>
          <w:bCs/>
          <w:sz w:val="24"/>
          <w:szCs w:val="24"/>
        </w:rPr>
        <w:t>č</w:t>
      </w:r>
      <w:r w:rsidRPr="00757D2D">
        <w:rPr>
          <w:rFonts w:ascii="Times New Roman" w:hAnsi="Times New Roman" w:cs="Times New Roman"/>
          <w:b/>
          <w:bCs/>
          <w:sz w:val="24"/>
          <w:szCs w:val="24"/>
        </w:rPr>
        <w:t>i</w:t>
      </w:r>
      <w:r w:rsidRPr="00757D2D">
        <w:rPr>
          <w:rFonts w:ascii="Times New Roman" w:eastAsia="TimesNewRomanPS-BoldMT" w:hAnsi="Times New Roman" w:cs="Times New Roman"/>
          <w:b/>
          <w:bCs/>
          <w:sz w:val="24"/>
          <w:szCs w:val="24"/>
        </w:rPr>
        <w:t>ū</w:t>
      </w:r>
      <w:r w:rsidRPr="00757D2D">
        <w:rPr>
          <w:rFonts w:ascii="Times New Roman" w:hAnsi="Times New Roman" w:cs="Times New Roman"/>
          <w:b/>
          <w:bCs/>
          <w:sz w:val="24"/>
          <w:szCs w:val="24"/>
        </w:rPr>
        <w:t>t</w:t>
      </w:r>
      <w:r w:rsidRPr="00757D2D">
        <w:rPr>
          <w:rFonts w:ascii="Times New Roman" w:eastAsia="TimesNewRomanPS-BoldMT" w:hAnsi="Times New Roman" w:cs="Times New Roman"/>
          <w:b/>
          <w:bCs/>
          <w:sz w:val="24"/>
          <w:szCs w:val="24"/>
        </w:rPr>
        <w:t xml:space="preserve">ė </w:t>
      </w:r>
      <w:r w:rsidRPr="00757D2D">
        <w:rPr>
          <w:rFonts w:ascii="Times New Roman" w:hAnsi="Times New Roman" w:cs="Times New Roman"/>
          <w:b/>
          <w:bCs/>
          <w:sz w:val="24"/>
          <w:szCs w:val="24"/>
        </w:rPr>
        <w:t>E., Ma</w:t>
      </w:r>
      <w:r w:rsidRPr="00757D2D">
        <w:rPr>
          <w:rFonts w:ascii="Times New Roman" w:eastAsia="TimesNewRomanPS-BoldMT" w:hAnsi="Times New Roman" w:cs="Times New Roman"/>
          <w:b/>
          <w:bCs/>
          <w:sz w:val="24"/>
          <w:szCs w:val="24"/>
        </w:rPr>
        <w:t>č</w:t>
      </w:r>
      <w:r w:rsidRPr="00757D2D">
        <w:rPr>
          <w:rFonts w:ascii="Times New Roman" w:hAnsi="Times New Roman" w:cs="Times New Roman"/>
          <w:b/>
          <w:bCs/>
          <w:sz w:val="24"/>
          <w:szCs w:val="24"/>
        </w:rPr>
        <w:t>erinskien</w:t>
      </w:r>
      <w:r w:rsidRPr="00757D2D">
        <w:rPr>
          <w:rFonts w:ascii="Times New Roman" w:eastAsia="TimesNewRomanPS-BoldMT" w:hAnsi="Times New Roman" w:cs="Times New Roman"/>
          <w:b/>
          <w:bCs/>
          <w:sz w:val="24"/>
          <w:szCs w:val="24"/>
        </w:rPr>
        <w:t xml:space="preserve">ė </w:t>
      </w:r>
      <w:r w:rsidRPr="00757D2D">
        <w:rPr>
          <w:rFonts w:ascii="Times New Roman" w:hAnsi="Times New Roman" w:cs="Times New Roman"/>
          <w:b/>
          <w:bCs/>
          <w:sz w:val="24"/>
          <w:szCs w:val="24"/>
        </w:rPr>
        <w:t xml:space="preserve">I. </w:t>
      </w:r>
      <w:r w:rsidRPr="00757D2D">
        <w:rPr>
          <w:rFonts w:ascii="Times New Roman" w:hAnsi="Times New Roman" w:cs="Times New Roman"/>
          <w:sz w:val="24"/>
          <w:szCs w:val="24"/>
        </w:rPr>
        <w:t>Finansų analizė: vadovėlis. – Kaunas: Technologija, 2007. – 379 p. – ISBN 9986-13-710.</w:t>
      </w:r>
    </w:p>
    <w:p w14:paraId="2BDEA1AD" w14:textId="77777777" w:rsidR="008E5DD1" w:rsidRDefault="008E5DD1"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Carlslaw Ch.</w:t>
      </w:r>
      <w:r>
        <w:rPr>
          <w:rFonts w:ascii="Times New Roman" w:hAnsi="Times New Roman" w:cs="Times New Roman"/>
          <w:b/>
          <w:sz w:val="24"/>
          <w:szCs w:val="24"/>
        </w:rPr>
        <w:t xml:space="preserve">, Mills J. </w:t>
      </w:r>
      <w:r>
        <w:rPr>
          <w:rFonts w:ascii="Times New Roman" w:hAnsi="Times New Roman" w:cs="Times New Roman"/>
          <w:sz w:val="24"/>
          <w:szCs w:val="24"/>
        </w:rPr>
        <w:t>Developing ratios for effective cash flow statement analysis.//Journal of A</w:t>
      </w:r>
      <w:r w:rsidR="00A07EEC">
        <w:rPr>
          <w:rFonts w:ascii="Times New Roman" w:hAnsi="Times New Roman" w:cs="Times New Roman"/>
          <w:sz w:val="24"/>
          <w:szCs w:val="24"/>
        </w:rPr>
        <w:t>ccountancy, 1991, Vol. 172 Iss.</w:t>
      </w:r>
      <w:r>
        <w:rPr>
          <w:rFonts w:ascii="Times New Roman" w:hAnsi="Times New Roman" w:cs="Times New Roman"/>
          <w:sz w:val="24"/>
          <w:szCs w:val="24"/>
        </w:rPr>
        <w:t xml:space="preserve"> 5</w:t>
      </w:r>
      <w:r w:rsidR="003A140E">
        <w:rPr>
          <w:rFonts w:ascii="Times New Roman" w:hAnsi="Times New Roman" w:cs="Times New Roman"/>
          <w:sz w:val="24"/>
          <w:szCs w:val="24"/>
        </w:rPr>
        <w:t>, p. 63-70. ISSN 00218448. URL:</w:t>
      </w:r>
      <w:r>
        <w:rPr>
          <w:rFonts w:ascii="Times New Roman" w:hAnsi="Times New Roman" w:cs="Times New Roman"/>
          <w:sz w:val="24"/>
          <w:szCs w:val="24"/>
        </w:rPr>
        <w:t xml:space="preserve"> </w:t>
      </w:r>
      <w:r w:rsidR="00A07EEC" w:rsidRPr="00A07EEC">
        <w:rPr>
          <w:rFonts w:ascii="Times New Roman" w:hAnsi="Times New Roman" w:cs="Times New Roman"/>
          <w:sz w:val="24"/>
          <w:szCs w:val="24"/>
        </w:rPr>
        <w:t>http://search.ebscohost.com/login.aspx?direct=true&amp;db=bth&amp;AN=4583309&amp;site=ehost-live</w:t>
      </w:r>
    </w:p>
    <w:p w14:paraId="16ED24F8" w14:textId="77777777" w:rsidR="002C2AC6" w:rsidRDefault="002C2AC6" w:rsidP="00447752">
      <w:pPr>
        <w:numPr>
          <w:ilvl w:val="0"/>
          <w:numId w:val="14"/>
        </w:numPr>
        <w:tabs>
          <w:tab w:val="clear" w:pos="360"/>
          <w:tab w:val="num" w:pos="0"/>
          <w:tab w:val="left" w:pos="284"/>
        </w:tabs>
        <w:spacing w:after="0" w:line="360" w:lineRule="auto"/>
        <w:ind w:left="0" w:firstLine="0"/>
        <w:jc w:val="both"/>
        <w:rPr>
          <w:rFonts w:ascii="Times New Roman" w:hAnsi="Times New Roman" w:cs="Times New Roman"/>
          <w:sz w:val="24"/>
          <w:szCs w:val="24"/>
        </w:rPr>
      </w:pPr>
      <w:r w:rsidRPr="00612F98">
        <w:rPr>
          <w:rFonts w:ascii="Times New Roman" w:hAnsi="Times New Roman" w:cs="Times New Roman"/>
          <w:b/>
          <w:bCs/>
          <w:sz w:val="24"/>
          <w:szCs w:val="24"/>
        </w:rPr>
        <w:t>Ekonomikos</w:t>
      </w:r>
      <w:r w:rsidRPr="00100B26">
        <w:rPr>
          <w:rFonts w:ascii="Times New Roman" w:hAnsi="Times New Roman" w:cs="Times New Roman"/>
          <w:b/>
          <w:bCs/>
          <w:sz w:val="24"/>
          <w:szCs w:val="24"/>
        </w:rPr>
        <w:t xml:space="preserve"> terminų žodynas.</w:t>
      </w:r>
      <w:r w:rsidRPr="00100B26">
        <w:rPr>
          <w:rFonts w:ascii="Times New Roman" w:hAnsi="Times New Roman" w:cs="Times New Roman"/>
          <w:sz w:val="24"/>
          <w:szCs w:val="24"/>
        </w:rPr>
        <w:t xml:space="preserve"> [žiūrėta 2012-11-15]. Prieiga per internetą: </w:t>
      </w:r>
      <w:r w:rsidRPr="00A07EEC">
        <w:rPr>
          <w:rFonts w:ascii="Times New Roman" w:hAnsi="Times New Roman" w:cs="Times New Roman"/>
          <w:sz w:val="24"/>
          <w:szCs w:val="24"/>
        </w:rPr>
        <w:t>http://e-terminai.lt/ekonomika/likvidumas</w:t>
      </w:r>
      <w:r w:rsidRPr="00100B26">
        <w:rPr>
          <w:rFonts w:ascii="Times New Roman" w:hAnsi="Times New Roman" w:cs="Times New Roman"/>
          <w:sz w:val="24"/>
          <w:szCs w:val="24"/>
        </w:rPr>
        <w:t xml:space="preserve"> </w:t>
      </w:r>
    </w:p>
    <w:p w14:paraId="22AFFDA3" w14:textId="77777777" w:rsidR="003D33D8" w:rsidRPr="00A07EEC" w:rsidRDefault="003D33D8" w:rsidP="00447752">
      <w:pPr>
        <w:numPr>
          <w:ilvl w:val="0"/>
          <w:numId w:val="14"/>
        </w:numPr>
        <w:tabs>
          <w:tab w:val="clear" w:pos="360"/>
          <w:tab w:val="left" w:pos="0"/>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Galinger G. W.</w:t>
      </w:r>
      <w:r>
        <w:rPr>
          <w:rFonts w:ascii="Times New Roman" w:hAnsi="Times New Roman" w:cs="Times New Roman"/>
          <w:sz w:val="24"/>
          <w:szCs w:val="24"/>
        </w:rPr>
        <w:t xml:space="preserve"> The current and the quick ratios: Do they stand up for scrutiny?//Business credit. A</w:t>
      </w:r>
      <w:r w:rsidR="00A07EEC">
        <w:rPr>
          <w:rFonts w:ascii="Times New Roman" w:hAnsi="Times New Roman" w:cs="Times New Roman"/>
          <w:sz w:val="24"/>
          <w:szCs w:val="24"/>
        </w:rPr>
        <w:t>rizona, USA, 1997, Vol. 99, Iss.</w:t>
      </w:r>
      <w:r>
        <w:rPr>
          <w:rFonts w:ascii="Times New Roman" w:hAnsi="Times New Roman" w:cs="Times New Roman"/>
          <w:sz w:val="24"/>
          <w:szCs w:val="24"/>
        </w:rPr>
        <w:t xml:space="preserve"> </w:t>
      </w:r>
      <w:r w:rsidR="003A140E">
        <w:rPr>
          <w:rFonts w:ascii="Times New Roman" w:hAnsi="Times New Roman" w:cs="Times New Roman"/>
          <w:sz w:val="24"/>
          <w:szCs w:val="24"/>
        </w:rPr>
        <w:t>5, p. 22. – ISSN 08970181. URL:</w:t>
      </w:r>
      <w:r>
        <w:rPr>
          <w:rFonts w:ascii="Times New Roman" w:hAnsi="Times New Roman" w:cs="Times New Roman"/>
          <w:sz w:val="24"/>
          <w:szCs w:val="24"/>
        </w:rPr>
        <w:t xml:space="preserve"> </w:t>
      </w:r>
      <w:r w:rsidR="00A07EEC" w:rsidRPr="00A07EEC">
        <w:rPr>
          <w:rFonts w:ascii="Times New Roman" w:hAnsi="Times New Roman" w:cs="Times New Roman"/>
          <w:sz w:val="24"/>
          <w:szCs w:val="24"/>
        </w:rPr>
        <w:t>http://search.ebscohost.com/login.aspx?direct=true&amp;db=bth&amp;AN=4583309&amp;site=ehost-live</w:t>
      </w:r>
    </w:p>
    <w:p w14:paraId="54A20AE3" w14:textId="77777777" w:rsidR="00757D2D" w:rsidRDefault="00757D2D" w:rsidP="00447752">
      <w:pPr>
        <w:pStyle w:val="Default"/>
        <w:numPr>
          <w:ilvl w:val="0"/>
          <w:numId w:val="14"/>
        </w:numPr>
        <w:tabs>
          <w:tab w:val="left" w:pos="0"/>
        </w:tabs>
        <w:spacing w:line="360" w:lineRule="auto"/>
        <w:ind w:left="0" w:firstLine="0"/>
        <w:jc w:val="both"/>
        <w:rPr>
          <w:color w:val="000080"/>
        </w:rPr>
      </w:pPr>
      <w:r w:rsidRPr="00757D2D">
        <w:rPr>
          <w:b/>
          <w:color w:val="auto"/>
        </w:rPr>
        <w:t>Galininė B., Mašalaitytė L.</w:t>
      </w:r>
      <w:r w:rsidRPr="00757D2D">
        <w:rPr>
          <w:color w:val="auto"/>
        </w:rPr>
        <w:t xml:space="preserve"> Verslo vertinimo kokybei turintys įtakos finansinės analizės aspetai//Ekonomika. Vilnius, 2007, Nr. 77, p. 7–24. – ISSN 1392-1258. – URL: </w:t>
      </w:r>
      <w:r w:rsidRPr="00A07EEC">
        <w:t>http://www.leidykla.vu.lt/fileadmin/Ekonomika/77/str1.pdf</w:t>
      </w:r>
      <w:r w:rsidRPr="00757D2D">
        <w:rPr>
          <w:color w:val="000080"/>
        </w:rPr>
        <w:t xml:space="preserve">  </w:t>
      </w:r>
    </w:p>
    <w:p w14:paraId="67889AE7" w14:textId="77777777" w:rsidR="003D33D8" w:rsidRPr="00757D2D" w:rsidRDefault="003D33D8" w:rsidP="00447752">
      <w:pPr>
        <w:pStyle w:val="Default"/>
        <w:numPr>
          <w:ilvl w:val="0"/>
          <w:numId w:val="14"/>
        </w:numPr>
        <w:tabs>
          <w:tab w:val="left" w:pos="0"/>
        </w:tabs>
        <w:spacing w:line="360" w:lineRule="auto"/>
        <w:ind w:left="0" w:firstLine="0"/>
        <w:jc w:val="both"/>
        <w:rPr>
          <w:color w:val="000080"/>
        </w:rPr>
      </w:pPr>
      <w:r w:rsidRPr="00144554">
        <w:rPr>
          <w:b/>
        </w:rPr>
        <w:lastRenderedPageBreak/>
        <w:t>Gamba A., Triantis A.</w:t>
      </w:r>
      <w:r>
        <w:t xml:space="preserve"> The Value of Financial Flexibility.//Journal</w:t>
      </w:r>
      <w:r w:rsidR="00A07EEC">
        <w:t xml:space="preserve"> of Finance, 2008, Vol. 63 Iss.</w:t>
      </w:r>
      <w:r>
        <w:t xml:space="preserve"> 5, p. 2</w:t>
      </w:r>
      <w:r w:rsidR="003A140E">
        <w:t>263-2296. – ISSN 00221082. URL:</w:t>
      </w:r>
      <w:r>
        <w:t xml:space="preserve"> </w:t>
      </w:r>
      <w:r w:rsidR="00A07EEC" w:rsidRPr="00A07EEC">
        <w:t>http://search.ebscohost.com/login.aspx?direct=true&amp;db=bth&amp;AN=4583309&amp;site=ehost-live</w:t>
      </w:r>
    </w:p>
    <w:p w14:paraId="7EAB7418" w14:textId="77777777" w:rsidR="00757D2D" w:rsidRPr="003D33D8" w:rsidRDefault="00757D2D"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sidRPr="00757D2D">
        <w:rPr>
          <w:rFonts w:ascii="Times New Roman" w:hAnsi="Times New Roman" w:cs="Times New Roman"/>
          <w:b/>
          <w:sz w:val="24"/>
          <w:szCs w:val="24"/>
        </w:rPr>
        <w:t>Girdzijauskas S.</w:t>
      </w:r>
      <w:r w:rsidRPr="00757D2D">
        <w:rPr>
          <w:rFonts w:ascii="Times New Roman" w:hAnsi="Times New Roman" w:cs="Times New Roman"/>
          <w:sz w:val="24"/>
          <w:szCs w:val="24"/>
        </w:rPr>
        <w:t xml:space="preserve"> Finansinė analizė - kiekybiniai metodai. - Vilnius: Vilniaus universiteto leidykla, 2005. - 375 p. – ISBN 9986-19-825-9</w:t>
      </w:r>
    </w:p>
    <w:p w14:paraId="1291B74E" w14:textId="77777777" w:rsidR="003D33D8" w:rsidRDefault="00A8283C"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Hawawini G., Viallet C.</w:t>
      </w:r>
      <w:r w:rsidR="003D33D8">
        <w:rPr>
          <w:rFonts w:ascii="Times New Roman" w:hAnsi="Times New Roman" w:cs="Times New Roman"/>
          <w:sz w:val="24"/>
          <w:szCs w:val="24"/>
        </w:rPr>
        <w:t xml:space="preserve"> Finance for executives: managing for value creation, 3e. – United States of America: South-Western Cengage Learning, 2007. – 635 p. – ISBN-13: 978-0-324-27431-8</w:t>
      </w:r>
    </w:p>
    <w:p w14:paraId="7B31E51A" w14:textId="77777777" w:rsidR="00A8283C" w:rsidRPr="00A07EEC" w:rsidRDefault="00A8283C"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Huff P.</w:t>
      </w:r>
      <w:r>
        <w:rPr>
          <w:rFonts w:ascii="Times New Roman" w:hAnsi="Times New Roman" w:cs="Times New Roman"/>
          <w:sz w:val="24"/>
          <w:szCs w:val="24"/>
        </w:rPr>
        <w:t xml:space="preserve"> </w:t>
      </w:r>
      <w:r w:rsidRPr="00A8283C">
        <w:rPr>
          <w:rFonts w:ascii="Times New Roman" w:hAnsi="Times New Roman" w:cs="Times New Roman"/>
          <w:b/>
          <w:sz w:val="24"/>
          <w:szCs w:val="24"/>
        </w:rPr>
        <w:t>L., Harper R.</w:t>
      </w:r>
      <w:r>
        <w:rPr>
          <w:rFonts w:ascii="Times New Roman" w:hAnsi="Times New Roman" w:cs="Times New Roman"/>
          <w:b/>
          <w:sz w:val="24"/>
          <w:szCs w:val="24"/>
        </w:rPr>
        <w:t xml:space="preserve"> </w:t>
      </w:r>
      <w:r>
        <w:rPr>
          <w:rFonts w:ascii="Times New Roman" w:hAnsi="Times New Roman" w:cs="Times New Roman"/>
          <w:sz w:val="24"/>
          <w:szCs w:val="24"/>
        </w:rPr>
        <w:t xml:space="preserve">Are there differenves in liquidity and solvency measures based on company size?//American Business </w:t>
      </w:r>
      <w:r w:rsidR="00A07EEC">
        <w:rPr>
          <w:rFonts w:ascii="Times New Roman" w:hAnsi="Times New Roman" w:cs="Times New Roman"/>
          <w:sz w:val="24"/>
          <w:szCs w:val="24"/>
        </w:rPr>
        <w:t>Review, USA, 1999, Vol. 17 Iss.</w:t>
      </w:r>
      <w:r>
        <w:rPr>
          <w:rFonts w:ascii="Times New Roman" w:hAnsi="Times New Roman" w:cs="Times New Roman"/>
          <w:sz w:val="24"/>
          <w:szCs w:val="24"/>
        </w:rPr>
        <w:t xml:space="preserve"> 2, p. 96. – ISSN 07432348. </w:t>
      </w:r>
      <w:r w:rsidR="003A140E">
        <w:rPr>
          <w:rFonts w:ascii="Times New Roman" w:hAnsi="Times New Roman" w:cs="Times New Roman"/>
          <w:sz w:val="24"/>
          <w:szCs w:val="24"/>
        </w:rPr>
        <w:t>URL:</w:t>
      </w:r>
      <w:r w:rsidRPr="00A07EEC">
        <w:rPr>
          <w:rFonts w:ascii="Times New Roman" w:hAnsi="Times New Roman" w:cs="Times New Roman"/>
          <w:sz w:val="24"/>
          <w:szCs w:val="24"/>
        </w:rPr>
        <w:t xml:space="preserve"> </w:t>
      </w:r>
      <w:r w:rsidR="00A07EEC" w:rsidRPr="00A07EEC">
        <w:rPr>
          <w:rFonts w:ascii="Times New Roman" w:hAnsi="Times New Roman" w:cs="Times New Roman"/>
          <w:sz w:val="24"/>
          <w:szCs w:val="24"/>
        </w:rPr>
        <w:t>http://search.ebscohost.com/login.aspx?direct=true&amp;db=bth&amp;AN=2206261&amp;site=ehost-live</w:t>
      </w:r>
    </w:p>
    <w:p w14:paraId="442F185F" w14:textId="77777777" w:rsidR="00757D2D" w:rsidRPr="00757D2D" w:rsidRDefault="00757D2D"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sidRPr="00757D2D">
        <w:rPr>
          <w:rFonts w:ascii="Times New Roman" w:hAnsi="Times New Roman" w:cs="Times New Roman"/>
          <w:b/>
          <w:sz w:val="24"/>
          <w:szCs w:val="24"/>
        </w:rPr>
        <w:t xml:space="preserve">Juozaitienė L. </w:t>
      </w:r>
      <w:r w:rsidRPr="00757D2D">
        <w:rPr>
          <w:rFonts w:ascii="Times New Roman" w:hAnsi="Times New Roman" w:cs="Times New Roman"/>
          <w:sz w:val="24"/>
          <w:szCs w:val="24"/>
        </w:rPr>
        <w:t>Įmonės finansai: analizė ir valdymas: vadovėlis. – Šiauliai: Šiaulių universiteto leidykla, 2007. – 418 – ISBN 978-9986-38-792-3</w:t>
      </w:r>
    </w:p>
    <w:p w14:paraId="5DC6CD27" w14:textId="77777777" w:rsidR="00757D2D" w:rsidRPr="00757D2D" w:rsidRDefault="00757D2D"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sidRPr="00757D2D">
        <w:rPr>
          <w:rFonts w:ascii="Times New Roman" w:hAnsi="Times New Roman" w:cs="Times New Roman"/>
          <w:b/>
          <w:sz w:val="24"/>
          <w:szCs w:val="24"/>
        </w:rPr>
        <w:t>Kancerevyčius G.</w:t>
      </w:r>
      <w:r w:rsidRPr="00757D2D">
        <w:rPr>
          <w:rFonts w:ascii="Times New Roman" w:hAnsi="Times New Roman" w:cs="Times New Roman"/>
          <w:sz w:val="24"/>
          <w:szCs w:val="24"/>
        </w:rPr>
        <w:t xml:space="preserve"> Finansai ir investicijos. – Kaunas: Aušra, 2006. –</w:t>
      </w:r>
      <w:r w:rsidRPr="00757D2D">
        <w:rPr>
          <w:rFonts w:ascii="Times New Roman" w:hAnsi="Times New Roman" w:cs="Times New Roman"/>
          <w:b/>
          <w:sz w:val="24"/>
          <w:szCs w:val="24"/>
        </w:rPr>
        <w:t xml:space="preserve"> </w:t>
      </w:r>
      <w:r w:rsidRPr="00757D2D">
        <w:rPr>
          <w:rFonts w:ascii="Times New Roman" w:hAnsi="Times New Roman" w:cs="Times New Roman"/>
          <w:sz w:val="24"/>
          <w:szCs w:val="24"/>
        </w:rPr>
        <w:t>864 p. – ISBN 9955-551-93-3</w:t>
      </w:r>
    </w:p>
    <w:p w14:paraId="2EB92670" w14:textId="77777777" w:rsidR="00757D2D" w:rsidRPr="00A305E2" w:rsidRDefault="00757D2D"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sidRPr="00757D2D">
        <w:rPr>
          <w:rFonts w:ascii="Times New Roman" w:hAnsi="Times New Roman" w:cs="Times New Roman"/>
          <w:b/>
          <w:sz w:val="24"/>
          <w:szCs w:val="24"/>
        </w:rPr>
        <w:t>Katauskis P.</w:t>
      </w:r>
      <w:r w:rsidRPr="00757D2D">
        <w:rPr>
          <w:rFonts w:ascii="Times New Roman" w:hAnsi="Times New Roman" w:cs="Times New Roman"/>
          <w:sz w:val="24"/>
          <w:szCs w:val="24"/>
        </w:rPr>
        <w:t xml:space="preserve"> Finansinių skaičiavimų pagrindai. - Vilnius: Vilniaus universiteto leidykla, 2010. – 274 p. – ISBN 978-9955-33-591-7 </w:t>
      </w:r>
    </w:p>
    <w:p w14:paraId="1004654A" w14:textId="77777777" w:rsidR="00A305E2" w:rsidRPr="00A07EEC" w:rsidRDefault="00A305E2"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Kirkham R. </w:t>
      </w:r>
      <w:r>
        <w:rPr>
          <w:rFonts w:ascii="Times New Roman" w:hAnsi="Times New Roman" w:cs="Times New Roman"/>
          <w:sz w:val="24"/>
          <w:szCs w:val="24"/>
        </w:rPr>
        <w:t>Liquidity analysis using cash flow ratios and traditional ratios: the telecommunications sector in Australia.//Journal of new business ideas and trends. Australia, 2012, Vol. 10 Issue 1,</w:t>
      </w:r>
      <w:r w:rsidR="003A140E">
        <w:rPr>
          <w:rFonts w:ascii="Times New Roman" w:hAnsi="Times New Roman" w:cs="Times New Roman"/>
          <w:sz w:val="24"/>
          <w:szCs w:val="24"/>
        </w:rPr>
        <w:t xml:space="preserve"> p. 1-13. – ISSN 14468719. URL:</w:t>
      </w:r>
      <w:r>
        <w:rPr>
          <w:rFonts w:ascii="Times New Roman" w:hAnsi="Times New Roman" w:cs="Times New Roman"/>
          <w:sz w:val="24"/>
          <w:szCs w:val="24"/>
        </w:rPr>
        <w:t xml:space="preserve"> </w:t>
      </w:r>
      <w:r w:rsidR="00A07EEC" w:rsidRPr="00A07EEC">
        <w:rPr>
          <w:rFonts w:ascii="Times New Roman" w:hAnsi="Times New Roman" w:cs="Times New Roman"/>
          <w:sz w:val="24"/>
          <w:szCs w:val="24"/>
        </w:rPr>
        <w:t>http://search.ebscohost.com/login.aspx?direct=true&amp;db=bth&amp;AN=78172370&amp;site=ehost-live</w:t>
      </w:r>
    </w:p>
    <w:p w14:paraId="13AE901E" w14:textId="77777777" w:rsidR="00DA1A22" w:rsidRPr="004B6A49" w:rsidRDefault="00DA1A22"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Loran Ch. et al. </w:t>
      </w:r>
      <w:r>
        <w:rPr>
          <w:rFonts w:ascii="Times New Roman" w:hAnsi="Times New Roman" w:cs="Times New Roman"/>
          <w:sz w:val="24"/>
          <w:szCs w:val="24"/>
        </w:rPr>
        <w:t>What captures liquidity risk? A comparison of trade and order based liquidity factors.//Norges b</w:t>
      </w:r>
      <w:r w:rsidR="004B6A49">
        <w:rPr>
          <w:rFonts w:ascii="Times New Roman" w:hAnsi="Times New Roman" w:cs="Times New Roman"/>
          <w:sz w:val="24"/>
          <w:szCs w:val="24"/>
        </w:rPr>
        <w:t>ank: Working papers, 2007, Iss.</w:t>
      </w:r>
      <w:r>
        <w:rPr>
          <w:rFonts w:ascii="Times New Roman" w:hAnsi="Times New Roman" w:cs="Times New Roman"/>
          <w:sz w:val="24"/>
          <w:szCs w:val="24"/>
        </w:rPr>
        <w:t xml:space="preserve"> 3, p. 1-46. – ISSN 15025780. U</w:t>
      </w:r>
      <w:r w:rsidR="003A140E">
        <w:rPr>
          <w:rFonts w:ascii="Times New Roman" w:hAnsi="Times New Roman" w:cs="Times New Roman"/>
          <w:sz w:val="24"/>
          <w:szCs w:val="24"/>
        </w:rPr>
        <w:t>RL:</w:t>
      </w:r>
      <w:r>
        <w:rPr>
          <w:rFonts w:ascii="Times New Roman" w:hAnsi="Times New Roman" w:cs="Times New Roman"/>
          <w:sz w:val="24"/>
          <w:szCs w:val="24"/>
        </w:rPr>
        <w:t xml:space="preserve"> </w:t>
      </w:r>
      <w:r w:rsidR="004B6A49" w:rsidRPr="004B6A49">
        <w:rPr>
          <w:rFonts w:ascii="Times New Roman" w:hAnsi="Times New Roman" w:cs="Times New Roman"/>
          <w:sz w:val="24"/>
          <w:szCs w:val="24"/>
        </w:rPr>
        <w:t>http://search.ebscohost.com/login.aspx?direct=true&amp;db=bth&amp;AN=25813365&amp;site=ehost-live</w:t>
      </w:r>
    </w:p>
    <w:p w14:paraId="2ADB8646" w14:textId="77777777" w:rsidR="00757D2D" w:rsidRPr="00757D2D" w:rsidRDefault="00757D2D" w:rsidP="00447752">
      <w:pPr>
        <w:pStyle w:val="Default"/>
        <w:numPr>
          <w:ilvl w:val="0"/>
          <w:numId w:val="14"/>
        </w:numPr>
        <w:tabs>
          <w:tab w:val="left" w:pos="0"/>
        </w:tabs>
        <w:spacing w:line="360" w:lineRule="auto"/>
        <w:ind w:left="0" w:firstLine="0"/>
        <w:jc w:val="both"/>
        <w:rPr>
          <w:color w:val="auto"/>
        </w:rPr>
      </w:pPr>
      <w:r w:rsidRPr="00757D2D">
        <w:rPr>
          <w:b/>
          <w:color w:val="auto"/>
        </w:rPr>
        <w:t>Mackevičius J.</w:t>
      </w:r>
      <w:r w:rsidRPr="00757D2D">
        <w:rPr>
          <w:color w:val="auto"/>
        </w:rPr>
        <w:t xml:space="preserve"> Įmonių veiklos analizė – informacijos rinkimas, tyrimas ir vertinimas: monografija.- Vilnius: TEV, 2005. – 476 p. – ISBN 9955-680-13-X</w:t>
      </w:r>
    </w:p>
    <w:p w14:paraId="42BAE7D2" w14:textId="77777777" w:rsidR="00757D2D" w:rsidRPr="00757D2D" w:rsidRDefault="00757D2D" w:rsidP="00447752">
      <w:pPr>
        <w:pStyle w:val="Default"/>
        <w:numPr>
          <w:ilvl w:val="0"/>
          <w:numId w:val="14"/>
        </w:numPr>
        <w:tabs>
          <w:tab w:val="left" w:pos="0"/>
        </w:tabs>
        <w:spacing w:line="360" w:lineRule="auto"/>
        <w:ind w:left="0" w:firstLine="0"/>
        <w:jc w:val="both"/>
        <w:rPr>
          <w:color w:val="000080"/>
        </w:rPr>
      </w:pPr>
      <w:r w:rsidRPr="00757D2D">
        <w:rPr>
          <w:b/>
          <w:color w:val="auto"/>
        </w:rPr>
        <w:t>Mackevičius J.</w:t>
      </w:r>
      <w:r w:rsidRPr="00757D2D">
        <w:rPr>
          <w:color w:val="auto"/>
        </w:rPr>
        <w:t xml:space="preserve"> Finansinių santykinių rodiklių skaičiavimas ir grupavimas//Ekonomika. Vilnius, 2006, Nr. 75, p. 20-33. – ISSN 1392-1258. – URL: </w:t>
      </w:r>
      <w:r w:rsidRPr="004B6A49">
        <w:t>http://www.leidykla.vu.lt/fileadmin/Ekonomika/75/Jonas_Mackevicius.pdf</w:t>
      </w:r>
      <w:r w:rsidRPr="00757D2D">
        <w:rPr>
          <w:color w:val="000080"/>
        </w:rPr>
        <w:t xml:space="preserve"> </w:t>
      </w:r>
    </w:p>
    <w:p w14:paraId="175C4C91" w14:textId="77777777" w:rsidR="00757D2D" w:rsidRDefault="00757D2D" w:rsidP="00447752">
      <w:pPr>
        <w:pStyle w:val="Default"/>
        <w:numPr>
          <w:ilvl w:val="0"/>
          <w:numId w:val="14"/>
        </w:numPr>
        <w:tabs>
          <w:tab w:val="left" w:pos="0"/>
        </w:tabs>
        <w:spacing w:line="360" w:lineRule="auto"/>
        <w:ind w:left="0" w:firstLine="0"/>
        <w:jc w:val="both"/>
        <w:rPr>
          <w:color w:val="000080"/>
        </w:rPr>
      </w:pPr>
      <w:r w:rsidRPr="00757D2D">
        <w:rPr>
          <w:b/>
          <w:color w:val="auto"/>
        </w:rPr>
        <w:t>Mackevičius J.</w:t>
      </w:r>
      <w:r w:rsidRPr="00757D2D">
        <w:rPr>
          <w:color w:val="auto"/>
        </w:rPr>
        <w:t xml:space="preserve"> Įmonių veiklos analizė – informacijos rinkimo, tyrimo ir vertinimo sistema//Ekonomika: informacijos mokslai. Vilnius, 2008, Nr. 46, p. 46-56. - ISSN 1392-0561. – URL: </w:t>
      </w:r>
      <w:r w:rsidRPr="004B6A49">
        <w:t>http://www.leidykla.vu.lt/fileadmin/Informacijos_mokslai/46/46-56.pdf</w:t>
      </w:r>
      <w:r w:rsidRPr="00757D2D">
        <w:rPr>
          <w:color w:val="000080"/>
        </w:rPr>
        <w:t xml:space="preserve"> </w:t>
      </w:r>
    </w:p>
    <w:p w14:paraId="4AF21205" w14:textId="77777777" w:rsidR="004B6A49" w:rsidRPr="004B6A49" w:rsidRDefault="004B6A49"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sidRPr="00757D2D">
        <w:rPr>
          <w:rFonts w:ascii="Times New Roman" w:hAnsi="Times New Roman" w:cs="Times New Roman"/>
          <w:b/>
          <w:sz w:val="24"/>
          <w:szCs w:val="24"/>
        </w:rPr>
        <w:t>Mackevičius J. ir  kt.</w:t>
      </w:r>
      <w:r w:rsidRPr="00757D2D">
        <w:rPr>
          <w:rFonts w:ascii="Times New Roman" w:hAnsi="Times New Roman" w:cs="Times New Roman"/>
          <w:sz w:val="24"/>
          <w:szCs w:val="24"/>
        </w:rPr>
        <w:t xml:space="preserve"> Finansinė analizė: mokomoji knyga.- Vilnius: Mykolo Romerio universitetas, 2011. – 158 p. – ISBN 978-9955-19-241-1</w:t>
      </w:r>
    </w:p>
    <w:p w14:paraId="43AA1E43" w14:textId="77777777" w:rsidR="00ED3BE8" w:rsidRPr="00A305E2" w:rsidRDefault="00ED3BE8" w:rsidP="00447752">
      <w:pPr>
        <w:pStyle w:val="ListParagraph"/>
        <w:numPr>
          <w:ilvl w:val="0"/>
          <w:numId w:val="14"/>
        </w:numPr>
        <w:tabs>
          <w:tab w:val="clear" w:pos="360"/>
          <w:tab w:val="num" w:pos="0"/>
          <w:tab w:val="left" w:pos="426"/>
        </w:tabs>
        <w:spacing w:after="0" w:line="360" w:lineRule="auto"/>
        <w:ind w:left="0" w:firstLine="0"/>
        <w:jc w:val="both"/>
        <w:rPr>
          <w:rFonts w:ascii="Times New Roman" w:hAnsi="Times New Roman" w:cs="Times New Roman"/>
          <w:b/>
          <w:sz w:val="24"/>
          <w:szCs w:val="24"/>
        </w:rPr>
      </w:pPr>
      <w:r w:rsidRPr="00A305E2">
        <w:rPr>
          <w:rFonts w:ascii="Times New Roman" w:hAnsi="Times New Roman" w:cs="Times New Roman"/>
          <w:b/>
          <w:sz w:val="24"/>
          <w:szCs w:val="24"/>
        </w:rPr>
        <w:t xml:space="preserve">Megginson W. L. </w:t>
      </w:r>
      <w:r w:rsidRPr="00A305E2">
        <w:rPr>
          <w:rFonts w:ascii="Times New Roman" w:hAnsi="Times New Roman" w:cs="Times New Roman"/>
          <w:sz w:val="24"/>
          <w:szCs w:val="24"/>
        </w:rPr>
        <w:t>Introduction to corporate finance. -</w:t>
      </w:r>
      <w:r w:rsidRPr="00A305E2">
        <w:rPr>
          <w:rFonts w:ascii="Times New Roman" w:hAnsi="Times New Roman" w:cs="Times New Roman"/>
          <w:b/>
          <w:sz w:val="24"/>
          <w:szCs w:val="24"/>
        </w:rPr>
        <w:t xml:space="preserve"> </w:t>
      </w:r>
      <w:r w:rsidR="00A305E2" w:rsidRPr="00A305E2">
        <w:rPr>
          <w:rFonts w:ascii="Times New Roman" w:hAnsi="Times New Roman" w:cs="Times New Roman"/>
          <w:sz w:val="24"/>
          <w:szCs w:val="24"/>
        </w:rPr>
        <w:t>London : Cengage Learning EMEA, 2008. – 656 p. – ISBN 184480562X</w:t>
      </w:r>
    </w:p>
    <w:p w14:paraId="7057BF03" w14:textId="77777777" w:rsidR="004B6A49" w:rsidRDefault="003D33D8"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lastRenderedPageBreak/>
        <w:t>Niresh J</w:t>
      </w:r>
      <w:r w:rsidRPr="00144554">
        <w:rPr>
          <w:rFonts w:ascii="Times New Roman" w:hAnsi="Times New Roman" w:cs="Times New Roman"/>
          <w:b/>
          <w:sz w:val="24"/>
          <w:szCs w:val="24"/>
        </w:rPr>
        <w:t>. A.</w:t>
      </w:r>
      <w:r>
        <w:rPr>
          <w:rFonts w:ascii="Times New Roman" w:hAnsi="Times New Roman" w:cs="Times New Roman"/>
          <w:b/>
          <w:sz w:val="24"/>
          <w:szCs w:val="24"/>
        </w:rPr>
        <w:t xml:space="preserve"> </w:t>
      </w:r>
      <w:r>
        <w:rPr>
          <w:rFonts w:ascii="Times New Roman" w:hAnsi="Times New Roman" w:cs="Times New Roman"/>
          <w:sz w:val="24"/>
          <w:szCs w:val="24"/>
        </w:rPr>
        <w:t>Trade-off between liquidity and profitability: a study of selected manufacturing firms in Sri Lanka.//Journal of arts, science and commerc</w:t>
      </w:r>
      <w:r w:rsidR="004B6A49">
        <w:rPr>
          <w:rFonts w:ascii="Times New Roman" w:hAnsi="Times New Roman" w:cs="Times New Roman"/>
          <w:sz w:val="24"/>
          <w:szCs w:val="24"/>
        </w:rPr>
        <w:t>e, Sri Lanka, 2012, Vol. 4 Iss.</w:t>
      </w:r>
      <w:r>
        <w:rPr>
          <w:rFonts w:ascii="Times New Roman" w:hAnsi="Times New Roman" w:cs="Times New Roman"/>
          <w:sz w:val="24"/>
          <w:szCs w:val="24"/>
        </w:rPr>
        <w:t xml:space="preserve"> 2,</w:t>
      </w:r>
      <w:r w:rsidR="004B6A49">
        <w:rPr>
          <w:rFonts w:ascii="Times New Roman" w:hAnsi="Times New Roman" w:cs="Times New Roman"/>
          <w:sz w:val="24"/>
          <w:szCs w:val="24"/>
        </w:rPr>
        <w:t xml:space="preserve"> p. 34-40. – ISSN 22314172. URL</w:t>
      </w:r>
      <w:r w:rsidR="003A140E">
        <w:rPr>
          <w:rFonts w:ascii="Times New Roman" w:hAnsi="Times New Roman" w:cs="Times New Roman"/>
          <w:sz w:val="24"/>
          <w:szCs w:val="24"/>
        </w:rPr>
        <w:t>:</w:t>
      </w:r>
      <w:r w:rsidR="004B6A49">
        <w:rPr>
          <w:rFonts w:ascii="Times New Roman" w:hAnsi="Times New Roman" w:cs="Times New Roman"/>
          <w:sz w:val="24"/>
          <w:szCs w:val="24"/>
        </w:rPr>
        <w:t xml:space="preserve"> </w:t>
      </w:r>
    </w:p>
    <w:p w14:paraId="7147CBA6" w14:textId="77777777" w:rsidR="003D33D8" w:rsidRPr="004B6A49" w:rsidRDefault="004B6A49" w:rsidP="004B6A49">
      <w:pPr>
        <w:tabs>
          <w:tab w:val="left" w:pos="426"/>
        </w:tabs>
        <w:spacing w:after="0" w:line="360" w:lineRule="auto"/>
        <w:jc w:val="both"/>
        <w:rPr>
          <w:rFonts w:ascii="Times New Roman" w:hAnsi="Times New Roman" w:cs="Times New Roman"/>
          <w:sz w:val="24"/>
          <w:szCs w:val="24"/>
        </w:rPr>
      </w:pPr>
      <w:r w:rsidRPr="004B6A49">
        <w:rPr>
          <w:rFonts w:ascii="Times New Roman" w:hAnsi="Times New Roman" w:cs="Times New Roman"/>
          <w:sz w:val="24"/>
          <w:szCs w:val="24"/>
        </w:rPr>
        <w:t>http://search.ebscohost.com/login.aspx?direct=true&amp;db=a9h&amp;AN=83536603&amp;site=ehost-live</w:t>
      </w:r>
    </w:p>
    <w:p w14:paraId="6A5C9F5B" w14:textId="77777777" w:rsidR="001C2806" w:rsidRDefault="001C2806"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Pacurari </w:t>
      </w:r>
      <w:r w:rsidRPr="001C2806">
        <w:rPr>
          <w:rFonts w:ascii="Times New Roman" w:hAnsi="Times New Roman" w:cs="Times New Roman"/>
          <w:b/>
          <w:sz w:val="24"/>
          <w:szCs w:val="24"/>
        </w:rPr>
        <w:t>D., Muntean M.</w:t>
      </w:r>
      <w:r>
        <w:rPr>
          <w:rFonts w:ascii="Times New Roman" w:hAnsi="Times New Roman" w:cs="Times New Roman"/>
          <w:b/>
          <w:sz w:val="24"/>
          <w:szCs w:val="24"/>
        </w:rPr>
        <w:t xml:space="preserve"> </w:t>
      </w:r>
      <w:r>
        <w:rPr>
          <w:rFonts w:ascii="Times New Roman" w:hAnsi="Times New Roman" w:cs="Times New Roman"/>
          <w:sz w:val="24"/>
          <w:szCs w:val="24"/>
        </w:rPr>
        <w:t xml:space="preserve">Analysis of the company‘sliquidity based on its financial statements.//Annals of university Oradea, 2008, Vol. 17 Iss. 3, p. 1366-1371. – ISSN </w:t>
      </w:r>
      <w:r w:rsidR="003A140E">
        <w:rPr>
          <w:rFonts w:ascii="Times New Roman" w:hAnsi="Times New Roman" w:cs="Times New Roman"/>
          <w:sz w:val="24"/>
          <w:szCs w:val="24"/>
        </w:rPr>
        <w:t>15825450. URL:</w:t>
      </w:r>
      <w:r>
        <w:rPr>
          <w:rFonts w:ascii="Times New Roman" w:hAnsi="Times New Roman" w:cs="Times New Roman"/>
          <w:sz w:val="24"/>
          <w:szCs w:val="24"/>
        </w:rPr>
        <w:t xml:space="preserve"> </w:t>
      </w:r>
      <w:r w:rsidRPr="004B6A49">
        <w:rPr>
          <w:rFonts w:ascii="Times New Roman" w:hAnsi="Times New Roman" w:cs="Times New Roman"/>
          <w:sz w:val="24"/>
          <w:szCs w:val="24"/>
        </w:rPr>
        <w:t>http://search.ebscohost.com/login.aspx?direct=true&amp;db=bth&amp;AN=48176502&amp;site=ehost-live</w:t>
      </w:r>
      <w:r>
        <w:rPr>
          <w:rFonts w:ascii="Times New Roman" w:hAnsi="Times New Roman" w:cs="Times New Roman"/>
          <w:sz w:val="24"/>
          <w:szCs w:val="24"/>
        </w:rPr>
        <w:t xml:space="preserve"> </w:t>
      </w:r>
    </w:p>
    <w:p w14:paraId="7E5A503A" w14:textId="77777777" w:rsidR="00853E99" w:rsidRPr="004B6A49" w:rsidRDefault="00853E99"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b/>
          <w:sz w:val="24"/>
          <w:szCs w:val="24"/>
        </w:rPr>
      </w:pPr>
      <w:r w:rsidRPr="00853E99">
        <w:rPr>
          <w:rFonts w:ascii="Times New Roman" w:hAnsi="Times New Roman" w:cs="Times New Roman"/>
          <w:b/>
          <w:sz w:val="24"/>
          <w:szCs w:val="24"/>
        </w:rPr>
        <w:t>Riddiough T., Wu Z.</w:t>
      </w:r>
      <w:r>
        <w:rPr>
          <w:rFonts w:ascii="Times New Roman" w:hAnsi="Times New Roman" w:cs="Times New Roman"/>
          <w:b/>
          <w:sz w:val="24"/>
          <w:szCs w:val="24"/>
        </w:rPr>
        <w:t xml:space="preserve"> </w:t>
      </w:r>
      <w:r>
        <w:rPr>
          <w:rFonts w:ascii="Times New Roman" w:hAnsi="Times New Roman" w:cs="Times New Roman"/>
          <w:sz w:val="24"/>
          <w:szCs w:val="24"/>
        </w:rPr>
        <w:t>Financial constraints, liquidity management</w:t>
      </w:r>
      <w:r w:rsidR="004B6A49">
        <w:rPr>
          <w:rFonts w:ascii="Times New Roman" w:hAnsi="Times New Roman" w:cs="Times New Roman"/>
          <w:sz w:val="24"/>
          <w:szCs w:val="24"/>
        </w:rPr>
        <w:t xml:space="preserve"> </w:t>
      </w:r>
      <w:r>
        <w:rPr>
          <w:rFonts w:ascii="Times New Roman" w:hAnsi="Times New Roman" w:cs="Times New Roman"/>
          <w:sz w:val="24"/>
          <w:szCs w:val="24"/>
        </w:rPr>
        <w:t>and investment</w:t>
      </w:r>
      <w:r w:rsidR="001055AF">
        <w:rPr>
          <w:rFonts w:ascii="Times New Roman" w:hAnsi="Times New Roman" w:cs="Times New Roman"/>
          <w:sz w:val="24"/>
          <w:szCs w:val="24"/>
        </w:rPr>
        <w:t>//Real estat</w:t>
      </w:r>
      <w:r w:rsidR="004B6A49">
        <w:rPr>
          <w:rFonts w:ascii="Times New Roman" w:hAnsi="Times New Roman" w:cs="Times New Roman"/>
          <w:sz w:val="24"/>
          <w:szCs w:val="24"/>
        </w:rPr>
        <w:t>e economics, 2009, Vol. 37 Iss.</w:t>
      </w:r>
      <w:r w:rsidR="001055AF">
        <w:rPr>
          <w:rFonts w:ascii="Times New Roman" w:hAnsi="Times New Roman" w:cs="Times New Roman"/>
          <w:sz w:val="24"/>
          <w:szCs w:val="24"/>
        </w:rPr>
        <w:t xml:space="preserve"> 37, p. 447-481. – ISSN 10808620. – URL: </w:t>
      </w:r>
      <w:r w:rsidR="004B6A49" w:rsidRPr="004B6A49">
        <w:rPr>
          <w:rFonts w:ascii="Times New Roman" w:hAnsi="Times New Roman" w:cs="Times New Roman"/>
          <w:sz w:val="24"/>
          <w:szCs w:val="24"/>
        </w:rPr>
        <w:t>http://search.ebscohost.com/login.aspx?direct=true&amp;db=bth&amp;AN=43903541&amp;site=ehost-live</w:t>
      </w:r>
    </w:p>
    <w:p w14:paraId="69C4D008" w14:textId="77777777" w:rsidR="003E5890" w:rsidRPr="003E5890" w:rsidRDefault="003E5890"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b/>
          <w:sz w:val="24"/>
          <w:szCs w:val="24"/>
        </w:rPr>
      </w:pPr>
      <w:r w:rsidRPr="003E5890">
        <w:rPr>
          <w:rFonts w:ascii="Times New Roman" w:hAnsi="Times New Roman" w:cs="Times New Roman"/>
          <w:b/>
          <w:sz w:val="24"/>
          <w:szCs w:val="24"/>
        </w:rPr>
        <w:t xml:space="preserve">Rudzkienė V. ir kt. </w:t>
      </w:r>
      <w:r w:rsidRPr="003E5890">
        <w:rPr>
          <w:rFonts w:ascii="Times New Roman" w:hAnsi="Times New Roman" w:cs="Times New Roman"/>
          <w:sz w:val="24"/>
          <w:szCs w:val="24"/>
        </w:rPr>
        <w:t xml:space="preserve">E. Valdžia piliečiams: plėtros gairių Lietuvai nustatymas naudojant ateities įžvalgų metodologiją: metinė ataskaita.// Lietuvos valstybinis mokslo ir studijų fondas, 2008. </w:t>
      </w:r>
      <w:bookmarkStart w:id="140" w:name="OLE_LINK3"/>
      <w:r>
        <w:rPr>
          <w:rFonts w:ascii="Times New Roman" w:hAnsi="Times New Roman" w:cs="Times New Roman"/>
          <w:sz w:val="24"/>
          <w:szCs w:val="24"/>
        </w:rPr>
        <w:t xml:space="preserve">Prieiga per internetą: </w:t>
      </w:r>
      <w:r w:rsidRPr="004B6A49">
        <w:rPr>
          <w:rFonts w:ascii="Times New Roman" w:hAnsi="Times New Roman" w:cs="Times New Roman"/>
          <w:sz w:val="24"/>
          <w:szCs w:val="24"/>
        </w:rPr>
        <w:t>http://www.egov.lt/uploads/file/EVPGL_Ataskaita_2008_santrauka_psl.doc</w:t>
      </w:r>
      <w:bookmarkEnd w:id="140"/>
    </w:p>
    <w:p w14:paraId="3E6DB2A0" w14:textId="77777777" w:rsidR="003D33D8" w:rsidRPr="003D33D8" w:rsidRDefault="003D33D8"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sz w:val="24"/>
          <w:szCs w:val="24"/>
        </w:rPr>
      </w:pPr>
      <w:r w:rsidRPr="003E5890">
        <w:rPr>
          <w:rFonts w:ascii="Times New Roman" w:hAnsi="Times New Roman" w:cs="Times New Roman"/>
          <w:b/>
          <w:sz w:val="24"/>
          <w:szCs w:val="24"/>
        </w:rPr>
        <w:t>Vernimmen Pierre et al.</w:t>
      </w:r>
      <w:r w:rsidRPr="003E5890">
        <w:rPr>
          <w:rFonts w:ascii="Times New Roman" w:hAnsi="Times New Roman" w:cs="Times New Roman"/>
          <w:sz w:val="24"/>
          <w:szCs w:val="24"/>
        </w:rPr>
        <w:t xml:space="preserve"> Corporate finanse: theory and practise, 2e. – United States of America: Wiley, 2009. – 1038 p. – ISBN 978-0-470-72192-6</w:t>
      </w:r>
    </w:p>
    <w:p w14:paraId="116A774C" w14:textId="77777777" w:rsidR="004B6A49" w:rsidRPr="004B6A49" w:rsidRDefault="002C2AC6"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b/>
          <w:sz w:val="24"/>
          <w:szCs w:val="24"/>
        </w:rPr>
      </w:pPr>
      <w:r w:rsidRPr="00612F98">
        <w:rPr>
          <w:rFonts w:ascii="Times New Roman" w:hAnsi="Times New Roman" w:cs="Times New Roman"/>
          <w:b/>
          <w:sz w:val="24"/>
          <w:szCs w:val="24"/>
        </w:rPr>
        <w:t>Vertybinių</w:t>
      </w:r>
      <w:r w:rsidRPr="00100B26">
        <w:rPr>
          <w:rFonts w:ascii="Times New Roman" w:hAnsi="Times New Roman" w:cs="Times New Roman"/>
          <w:b/>
          <w:sz w:val="24"/>
          <w:szCs w:val="24"/>
        </w:rPr>
        <w:t xml:space="preserve"> popierių birža NASDAQ OMX Vilnius. </w:t>
      </w:r>
      <w:r w:rsidRPr="00100B26">
        <w:rPr>
          <w:rFonts w:ascii="Times New Roman" w:hAnsi="Times New Roman" w:cs="Times New Roman"/>
          <w:sz w:val="24"/>
          <w:szCs w:val="24"/>
        </w:rPr>
        <w:t xml:space="preserve">Rodiklių skaičiavimo metodika. [žiūrėta 2012-11-05]. Prieiga per internetą: </w:t>
      </w:r>
    </w:p>
    <w:p w14:paraId="3C6F69EA" w14:textId="77777777" w:rsidR="004B6A49" w:rsidRPr="004B6A49" w:rsidRDefault="004B6A49" w:rsidP="004B6A49">
      <w:pPr>
        <w:tabs>
          <w:tab w:val="left" w:pos="426"/>
        </w:tabs>
        <w:spacing w:after="0" w:line="360" w:lineRule="auto"/>
        <w:jc w:val="both"/>
        <w:rPr>
          <w:rFonts w:ascii="Times New Roman" w:hAnsi="Times New Roman" w:cs="Times New Roman"/>
          <w:b/>
          <w:sz w:val="24"/>
          <w:szCs w:val="24"/>
        </w:rPr>
      </w:pPr>
      <w:r w:rsidRPr="004B6A49">
        <w:rPr>
          <w:rFonts w:ascii="Times New Roman" w:hAnsi="Times New Roman" w:cs="Times New Roman"/>
          <w:sz w:val="24"/>
          <w:szCs w:val="24"/>
        </w:rPr>
        <w:t>http://www.nasdaqomxbaltic.com/files/vilnius/leidiniai/Rodikliu_skaiciavimo_metodika-final.pdf</w:t>
      </w:r>
    </w:p>
    <w:p w14:paraId="193EFE8B" w14:textId="77777777" w:rsidR="002C2AC6" w:rsidRPr="00DC3C6F" w:rsidRDefault="004B6A49"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Vertybinių popierių birža NASDAQ OMX Vilnius.</w:t>
      </w:r>
      <w:r w:rsidR="002C2AC6" w:rsidRPr="00100B26">
        <w:rPr>
          <w:rFonts w:ascii="Times New Roman" w:hAnsi="Times New Roman" w:cs="Times New Roman"/>
          <w:sz w:val="24"/>
          <w:szCs w:val="24"/>
        </w:rPr>
        <w:t xml:space="preserve"> </w:t>
      </w:r>
      <w:r>
        <w:rPr>
          <w:rFonts w:ascii="Times New Roman" w:hAnsi="Times New Roman" w:cs="Times New Roman"/>
          <w:sz w:val="24"/>
          <w:szCs w:val="24"/>
        </w:rPr>
        <w:t>Finansinės ataskaitos</w:t>
      </w:r>
      <w:r w:rsidR="00DC3C6F">
        <w:rPr>
          <w:rFonts w:ascii="Times New Roman" w:hAnsi="Times New Roman" w:cs="Times New Roman"/>
          <w:sz w:val="24"/>
          <w:szCs w:val="24"/>
        </w:rPr>
        <w:t>.</w:t>
      </w:r>
      <w:r w:rsidR="00DC3C6F">
        <w:rPr>
          <w:rFonts w:ascii="Times New Roman" w:hAnsi="Times New Roman" w:cs="Times New Roman"/>
          <w:b/>
          <w:sz w:val="24"/>
          <w:szCs w:val="24"/>
        </w:rPr>
        <w:t xml:space="preserve"> </w:t>
      </w:r>
      <w:r w:rsidR="00DC3C6F" w:rsidRPr="00DC3C6F">
        <w:rPr>
          <w:rFonts w:ascii="Times New Roman" w:hAnsi="Times New Roman" w:cs="Times New Roman"/>
          <w:sz w:val="24"/>
          <w:szCs w:val="24"/>
        </w:rPr>
        <w:t>[žiūrėta 2013-01-21].</w:t>
      </w:r>
      <w:r w:rsidR="00DC3C6F">
        <w:rPr>
          <w:rFonts w:ascii="Times New Roman" w:hAnsi="Times New Roman" w:cs="Times New Roman"/>
          <w:sz w:val="24"/>
          <w:szCs w:val="24"/>
        </w:rPr>
        <w:t xml:space="preserve"> Prieiga per internetą: </w:t>
      </w:r>
      <w:r w:rsidR="00DC3C6F" w:rsidRPr="00DC3C6F">
        <w:rPr>
          <w:rFonts w:ascii="Times New Roman" w:hAnsi="Times New Roman" w:cs="Times New Roman"/>
          <w:sz w:val="24"/>
          <w:szCs w:val="24"/>
        </w:rPr>
        <w:t>http://www.nasdaqomxbaltic.com/market/?pg=reports&amp;lang=lt</w:t>
      </w:r>
    </w:p>
    <w:p w14:paraId="20B7C761" w14:textId="77777777" w:rsidR="00DC3C6F" w:rsidRPr="00DC3C6F" w:rsidRDefault="003D33D8" w:rsidP="00447752">
      <w:pPr>
        <w:numPr>
          <w:ilvl w:val="0"/>
          <w:numId w:val="14"/>
        </w:numPr>
        <w:tabs>
          <w:tab w:val="clear" w:pos="360"/>
          <w:tab w:val="num" w:pos="0"/>
          <w:tab w:val="left" w:pos="426"/>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Staubus G. J. </w:t>
      </w:r>
      <w:r w:rsidRPr="00DC3C6F">
        <w:rPr>
          <w:rFonts w:ascii="Times New Roman" w:hAnsi="Times New Roman" w:cs="Times New Roman"/>
          <w:sz w:val="24"/>
          <w:szCs w:val="24"/>
        </w:rPr>
        <w:t>Cas</w:t>
      </w:r>
      <w:r w:rsidR="00DC3C6F" w:rsidRPr="00DC3C6F">
        <w:rPr>
          <w:rFonts w:ascii="Times New Roman" w:hAnsi="Times New Roman" w:cs="Times New Roman"/>
          <w:sz w:val="24"/>
          <w:szCs w:val="24"/>
        </w:rPr>
        <w:t>h</w:t>
      </w:r>
      <w:r w:rsidR="00DC3C6F">
        <w:rPr>
          <w:rFonts w:ascii="Times New Roman" w:hAnsi="Times New Roman" w:cs="Times New Roman"/>
          <w:b/>
          <w:sz w:val="24"/>
          <w:szCs w:val="24"/>
        </w:rPr>
        <w:t xml:space="preserve"> </w:t>
      </w:r>
      <w:r w:rsidRPr="003F021C">
        <w:rPr>
          <w:rFonts w:ascii="Times New Roman" w:hAnsi="Times New Roman" w:cs="Times New Roman"/>
          <w:sz w:val="24"/>
          <w:szCs w:val="24"/>
        </w:rPr>
        <w:t>Flo</w:t>
      </w:r>
      <w:r w:rsidR="00DC3C6F">
        <w:rPr>
          <w:rFonts w:ascii="Times New Roman" w:hAnsi="Times New Roman" w:cs="Times New Roman"/>
          <w:sz w:val="24"/>
          <w:szCs w:val="24"/>
        </w:rPr>
        <w:t>w Accounting and Liquidity: Cash</w:t>
      </w:r>
      <w:r w:rsidRPr="003F021C">
        <w:rPr>
          <w:rFonts w:ascii="Times New Roman" w:hAnsi="Times New Roman" w:cs="Times New Roman"/>
          <w:sz w:val="24"/>
          <w:szCs w:val="24"/>
        </w:rPr>
        <w:t xml:space="preserve"> Flow Potencial and Wealth.</w:t>
      </w:r>
      <w:r>
        <w:rPr>
          <w:rFonts w:ascii="Times New Roman" w:hAnsi="Times New Roman" w:cs="Times New Roman"/>
          <w:sz w:val="24"/>
          <w:szCs w:val="24"/>
        </w:rPr>
        <w:t>//Accounting and Business Research. Uni</w:t>
      </w:r>
      <w:r w:rsidR="00DC3C6F">
        <w:rPr>
          <w:rFonts w:ascii="Times New Roman" w:hAnsi="Times New Roman" w:cs="Times New Roman"/>
          <w:sz w:val="24"/>
          <w:szCs w:val="24"/>
        </w:rPr>
        <w:t>ted Kingdom, 1989, Vol. 19 Iss.</w:t>
      </w:r>
      <w:r>
        <w:rPr>
          <w:rFonts w:ascii="Times New Roman" w:hAnsi="Times New Roman" w:cs="Times New Roman"/>
          <w:sz w:val="24"/>
          <w:szCs w:val="24"/>
        </w:rPr>
        <w:t xml:space="preserve"> 74, p. 161-169. – ISSN 00014788. URL</w:t>
      </w:r>
      <w:r w:rsidR="003A140E">
        <w:rPr>
          <w:rFonts w:ascii="Times New Roman" w:hAnsi="Times New Roman" w:cs="Times New Roman"/>
          <w:sz w:val="24"/>
          <w:szCs w:val="24"/>
        </w:rPr>
        <w:t>:</w:t>
      </w:r>
    </w:p>
    <w:p w14:paraId="4568A682" w14:textId="77777777" w:rsidR="003D33D8" w:rsidRPr="00DC3C6F" w:rsidRDefault="00DC3C6F" w:rsidP="00DC3C6F">
      <w:pPr>
        <w:tabs>
          <w:tab w:val="left" w:pos="426"/>
        </w:tabs>
        <w:spacing w:after="0" w:line="360" w:lineRule="auto"/>
        <w:jc w:val="both"/>
        <w:rPr>
          <w:rFonts w:ascii="Times New Roman" w:hAnsi="Times New Roman" w:cs="Times New Roman"/>
          <w:b/>
          <w:sz w:val="24"/>
          <w:szCs w:val="24"/>
        </w:rPr>
      </w:pPr>
      <w:r w:rsidRPr="00DC3C6F">
        <w:rPr>
          <w:rFonts w:ascii="Times New Roman" w:hAnsi="Times New Roman" w:cs="Times New Roman"/>
          <w:sz w:val="24"/>
          <w:szCs w:val="24"/>
        </w:rPr>
        <w:t>http://search.ebscohost.com/login.aspx?direct=true&amp;db=bth&amp;AN=13835408&amp;site=ehost-live</w:t>
      </w:r>
    </w:p>
    <w:p w14:paraId="5AC8B400" w14:textId="77777777" w:rsidR="00757D2D" w:rsidRPr="00757D2D" w:rsidRDefault="00757D2D"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sidRPr="00757D2D">
        <w:rPr>
          <w:rFonts w:ascii="Times New Roman" w:hAnsi="Times New Roman" w:cs="Times New Roman"/>
          <w:b/>
          <w:sz w:val="24"/>
          <w:szCs w:val="24"/>
        </w:rPr>
        <w:t xml:space="preserve">Šlekienė D., Klimavičienė I. </w:t>
      </w:r>
      <w:r w:rsidRPr="00757D2D">
        <w:rPr>
          <w:rFonts w:ascii="Times New Roman" w:hAnsi="Times New Roman" w:cs="Times New Roman"/>
          <w:sz w:val="24"/>
          <w:szCs w:val="24"/>
        </w:rPr>
        <w:t>Įmonės veiklos finansinis įvertinimas: mokomoji knyga.- Kaunas: Technologija, 1999. – 146 p. – ISBN 9986-13-721-7</w:t>
      </w:r>
    </w:p>
    <w:p w14:paraId="60AE379E" w14:textId="77777777" w:rsidR="00757D2D" w:rsidRPr="00757D2D" w:rsidRDefault="00757D2D" w:rsidP="00447752">
      <w:pPr>
        <w:numPr>
          <w:ilvl w:val="0"/>
          <w:numId w:val="14"/>
        </w:numPr>
        <w:tabs>
          <w:tab w:val="left" w:pos="0"/>
        </w:tabs>
        <w:spacing w:after="0" w:line="360" w:lineRule="auto"/>
        <w:ind w:left="0" w:firstLine="0"/>
        <w:jc w:val="both"/>
        <w:rPr>
          <w:rFonts w:ascii="Times New Roman" w:hAnsi="Times New Roman" w:cs="Times New Roman"/>
          <w:b/>
          <w:sz w:val="24"/>
          <w:szCs w:val="24"/>
        </w:rPr>
      </w:pPr>
      <w:r w:rsidRPr="00757D2D">
        <w:rPr>
          <w:rFonts w:ascii="Times New Roman" w:hAnsi="Times New Roman" w:cs="Times New Roman"/>
          <w:b/>
          <w:sz w:val="24"/>
          <w:szCs w:val="24"/>
        </w:rPr>
        <w:t>Urniežius R.</w:t>
      </w:r>
      <w:r w:rsidRPr="00757D2D">
        <w:rPr>
          <w:rFonts w:ascii="Times New Roman" w:hAnsi="Times New Roman" w:cs="Times New Roman"/>
          <w:sz w:val="24"/>
          <w:szCs w:val="24"/>
        </w:rPr>
        <w:t xml:space="preserve"> Ūkinės veiklos ekonominė analizė. - Vilnius: Ekonomikos mokymo centras, 2004. – 245 p. – ISBN 9986-826-18-7</w:t>
      </w:r>
    </w:p>
    <w:p w14:paraId="16989D84" w14:textId="77777777" w:rsidR="00757D2D" w:rsidRPr="00757D2D" w:rsidRDefault="00757D2D" w:rsidP="00447752">
      <w:pPr>
        <w:numPr>
          <w:ilvl w:val="0"/>
          <w:numId w:val="14"/>
        </w:numPr>
        <w:tabs>
          <w:tab w:val="left" w:pos="0"/>
        </w:tabs>
        <w:spacing w:after="0" w:line="360" w:lineRule="auto"/>
        <w:ind w:left="0" w:firstLine="0"/>
        <w:jc w:val="both"/>
        <w:rPr>
          <w:rFonts w:ascii="Times New Roman" w:hAnsi="Times New Roman" w:cs="Times New Roman"/>
          <w:sz w:val="24"/>
          <w:szCs w:val="24"/>
        </w:rPr>
      </w:pPr>
      <w:r w:rsidRPr="00757D2D">
        <w:rPr>
          <w:rFonts w:ascii="Times New Roman" w:hAnsi="Times New Roman" w:cs="Times New Roman"/>
          <w:b/>
          <w:sz w:val="24"/>
          <w:szCs w:val="24"/>
        </w:rPr>
        <w:t>Žvirblis A.</w:t>
      </w:r>
      <w:r w:rsidRPr="00757D2D">
        <w:rPr>
          <w:rFonts w:ascii="Times New Roman" w:hAnsi="Times New Roman" w:cs="Times New Roman"/>
          <w:sz w:val="24"/>
          <w:szCs w:val="24"/>
        </w:rPr>
        <w:t xml:space="preserve"> Verslo makroaplinkos komponentų ir veiksnių kompleksinis vertinimas//Ekonomika. Vilnius, 2007, Nr. 80, p. 103-116. – ISSN 1392-1258. – URL: </w:t>
      </w:r>
      <w:r w:rsidRPr="00DC3C6F">
        <w:rPr>
          <w:rFonts w:ascii="Times New Roman" w:hAnsi="Times New Roman" w:cs="Times New Roman"/>
          <w:sz w:val="24"/>
          <w:szCs w:val="24"/>
        </w:rPr>
        <w:t>http://www.leidykla.vu.lt/fileadmin/Ekonomika/80/103-116.pdf</w:t>
      </w:r>
      <w:r w:rsidRPr="00757D2D">
        <w:rPr>
          <w:rFonts w:ascii="Times New Roman" w:hAnsi="Times New Roman" w:cs="Times New Roman"/>
          <w:sz w:val="24"/>
          <w:szCs w:val="24"/>
        </w:rPr>
        <w:t xml:space="preserve"> </w:t>
      </w:r>
    </w:p>
    <w:p w14:paraId="77DF80C1" w14:textId="77777777" w:rsidR="00757D2D" w:rsidRDefault="00757D2D" w:rsidP="00447752">
      <w:pPr>
        <w:numPr>
          <w:ilvl w:val="0"/>
          <w:numId w:val="14"/>
        </w:numPr>
        <w:tabs>
          <w:tab w:val="left" w:pos="0"/>
        </w:tabs>
        <w:spacing w:after="0" w:line="360" w:lineRule="auto"/>
        <w:ind w:left="0" w:firstLine="0"/>
        <w:jc w:val="both"/>
        <w:rPr>
          <w:rFonts w:ascii="Times New Roman" w:hAnsi="Times New Roman" w:cs="Times New Roman"/>
          <w:color w:val="000080"/>
          <w:sz w:val="24"/>
          <w:szCs w:val="24"/>
        </w:rPr>
      </w:pPr>
      <w:r w:rsidRPr="00757D2D">
        <w:rPr>
          <w:rFonts w:ascii="Times New Roman" w:hAnsi="Times New Roman" w:cs="Times New Roman"/>
          <w:b/>
          <w:sz w:val="24"/>
          <w:szCs w:val="24"/>
        </w:rPr>
        <w:t xml:space="preserve">Žvirblis A. ir kt. </w:t>
      </w:r>
      <w:r w:rsidRPr="00757D2D">
        <w:rPr>
          <w:rFonts w:ascii="Times New Roman" w:hAnsi="Times New Roman" w:cs="Times New Roman"/>
          <w:sz w:val="24"/>
          <w:szCs w:val="24"/>
        </w:rPr>
        <w:t xml:space="preserve">Įmonių konkurentų potencialo vertinimo principai ir baziniai modeliai//Intelektinė ekonomika. Vilnius, 2008, Nr. 1 (3), p. 82-92. – ISSN 1822-8038. – URL: </w:t>
      </w:r>
      <w:r w:rsidRPr="00DC3C6F">
        <w:rPr>
          <w:rFonts w:ascii="Times New Roman" w:hAnsi="Times New Roman" w:cs="Times New Roman"/>
          <w:sz w:val="24"/>
          <w:szCs w:val="24"/>
        </w:rPr>
        <w:t>http://www3.mruni.eu/~int.economics/3nr/Buracas,%20Macerinskiene,%20Zvirblis.pdf</w:t>
      </w:r>
      <w:r w:rsidRPr="00757D2D">
        <w:rPr>
          <w:rFonts w:ascii="Times New Roman" w:hAnsi="Times New Roman" w:cs="Times New Roman"/>
          <w:color w:val="000080"/>
          <w:sz w:val="24"/>
          <w:szCs w:val="24"/>
        </w:rPr>
        <w:t xml:space="preserve"> </w:t>
      </w:r>
    </w:p>
    <w:p w14:paraId="545B67F8" w14:textId="77777777" w:rsidR="00C01D92" w:rsidRDefault="00C01D92" w:rsidP="00C01D92">
      <w:pPr>
        <w:tabs>
          <w:tab w:val="left" w:pos="0"/>
        </w:tabs>
        <w:spacing w:after="0" w:line="360" w:lineRule="auto"/>
        <w:jc w:val="both"/>
        <w:rPr>
          <w:rFonts w:ascii="Times New Roman" w:hAnsi="Times New Roman" w:cs="Times New Roman"/>
          <w:b/>
          <w:sz w:val="24"/>
          <w:szCs w:val="24"/>
        </w:rPr>
      </w:pPr>
    </w:p>
    <w:p w14:paraId="51B078AC" w14:textId="77777777" w:rsidR="003F2F73" w:rsidRDefault="003F2F73" w:rsidP="00725FC7">
      <w:pPr>
        <w:tabs>
          <w:tab w:val="left" w:pos="540"/>
        </w:tabs>
        <w:spacing w:after="0" w:line="360" w:lineRule="auto"/>
        <w:ind w:firstLine="540"/>
        <w:jc w:val="both"/>
        <w:rPr>
          <w:rFonts w:ascii="Times New Roman" w:eastAsia="Calibri" w:hAnsi="Times New Roman" w:cs="Times New Roman"/>
          <w:color w:val="FF0000"/>
          <w:sz w:val="24"/>
          <w:szCs w:val="24"/>
        </w:rPr>
      </w:pPr>
      <w:r>
        <w:rPr>
          <w:rFonts w:ascii="Times New Roman" w:eastAsia="Calibri" w:hAnsi="Times New Roman" w:cs="Times New Roman"/>
          <w:b/>
          <w:sz w:val="24"/>
          <w:szCs w:val="24"/>
        </w:rPr>
        <w:lastRenderedPageBreak/>
        <w:t xml:space="preserve">Verenius E. </w:t>
      </w:r>
      <w:r>
        <w:rPr>
          <w:rFonts w:ascii="Times New Roman" w:hAnsi="Times New Roman" w:cs="Times New Roman"/>
          <w:sz w:val="24"/>
          <w:szCs w:val="24"/>
        </w:rPr>
        <w:t xml:space="preserve">Biržoje kotiruojamų Lietuvos įmonių likvidumo dinamika ir perspektyvos / Finansų valdymo magistro baigiamasis darbas. </w:t>
      </w:r>
      <w:r>
        <w:rPr>
          <w:rFonts w:ascii="Times New Roman" w:eastAsia="Calibri" w:hAnsi="Times New Roman" w:cs="Times New Roman"/>
          <w:sz w:val="24"/>
          <w:szCs w:val="24"/>
        </w:rPr>
        <w:t xml:space="preserve">Vadovas </w:t>
      </w:r>
      <w:r>
        <w:rPr>
          <w:rFonts w:ascii="Times New Roman" w:hAnsi="Times New Roman" w:cs="Times New Roman"/>
          <w:sz w:val="24"/>
          <w:szCs w:val="24"/>
        </w:rPr>
        <w:t>doc</w:t>
      </w:r>
      <w:r>
        <w:rPr>
          <w:rFonts w:ascii="Times New Roman" w:eastAsia="Calibri" w:hAnsi="Times New Roman" w:cs="Times New Roman"/>
          <w:sz w:val="24"/>
          <w:szCs w:val="24"/>
        </w:rPr>
        <w:t>.</w:t>
      </w:r>
      <w:r>
        <w:rPr>
          <w:rFonts w:ascii="Times New Roman" w:hAnsi="Times New Roman" w:cs="Times New Roman"/>
          <w:sz w:val="24"/>
          <w:szCs w:val="24"/>
        </w:rPr>
        <w:t xml:space="preserve"> dr. M</w:t>
      </w:r>
      <w:r>
        <w:rPr>
          <w:rFonts w:ascii="Times New Roman" w:eastAsia="Calibri" w:hAnsi="Times New Roman" w:cs="Times New Roman"/>
          <w:sz w:val="24"/>
          <w:szCs w:val="24"/>
        </w:rPr>
        <w:t xml:space="preserve">. </w:t>
      </w:r>
      <w:r>
        <w:rPr>
          <w:rFonts w:ascii="Times New Roman" w:hAnsi="Times New Roman" w:cs="Times New Roman"/>
          <w:sz w:val="24"/>
          <w:szCs w:val="24"/>
        </w:rPr>
        <w:t>Strumskis</w:t>
      </w:r>
      <w:r>
        <w:rPr>
          <w:rFonts w:ascii="Times New Roman" w:eastAsia="Calibri" w:hAnsi="Times New Roman" w:cs="Times New Roman"/>
          <w:sz w:val="24"/>
          <w:szCs w:val="24"/>
        </w:rPr>
        <w:t xml:space="preserve">. – Vilnius: Mykolo Romerio universitetas, Ekonomikos ir finansų valdymo fakultetas, </w:t>
      </w:r>
      <w:r>
        <w:rPr>
          <w:rFonts w:ascii="Times New Roman" w:hAnsi="Times New Roman" w:cs="Times New Roman"/>
          <w:sz w:val="24"/>
          <w:szCs w:val="24"/>
        </w:rPr>
        <w:t>finansų ir mokesčių</w:t>
      </w:r>
      <w:r>
        <w:rPr>
          <w:rFonts w:ascii="Times New Roman" w:eastAsia="Calibri" w:hAnsi="Times New Roman" w:cs="Times New Roman"/>
          <w:sz w:val="24"/>
          <w:szCs w:val="24"/>
        </w:rPr>
        <w:t xml:space="preserve"> katedra, </w:t>
      </w:r>
      <w:r>
        <w:rPr>
          <w:rFonts w:ascii="Times New Roman" w:hAnsi="Times New Roman" w:cs="Times New Roman"/>
          <w:sz w:val="24"/>
          <w:szCs w:val="24"/>
        </w:rPr>
        <w:t>2013</w:t>
      </w:r>
      <w:r>
        <w:rPr>
          <w:rFonts w:ascii="Times New Roman" w:eastAsia="Calibri" w:hAnsi="Times New Roman" w:cs="Times New Roman"/>
          <w:sz w:val="24"/>
          <w:szCs w:val="24"/>
        </w:rPr>
        <w:t xml:space="preserve">. </w:t>
      </w:r>
      <w:r w:rsidRPr="00373521">
        <w:rPr>
          <w:rFonts w:ascii="Times New Roman" w:eastAsia="Calibri" w:hAnsi="Times New Roman" w:cs="Times New Roman"/>
          <w:sz w:val="24"/>
          <w:szCs w:val="24"/>
        </w:rPr>
        <w:t>– 71 p.</w:t>
      </w:r>
    </w:p>
    <w:p w14:paraId="7A1247AE" w14:textId="77777777" w:rsidR="003F2F73" w:rsidRDefault="003F2F73" w:rsidP="00725FC7">
      <w:pPr>
        <w:spacing w:after="0" w:line="360" w:lineRule="auto"/>
        <w:rPr>
          <w:rFonts w:ascii="Calibri" w:eastAsia="Calibri" w:hAnsi="Calibri" w:cs="Times New Roman"/>
        </w:rPr>
      </w:pPr>
    </w:p>
    <w:p w14:paraId="2A54DF50" w14:textId="77777777" w:rsidR="003F2F73" w:rsidRPr="00E2302E" w:rsidRDefault="003F2F73" w:rsidP="00725FC7">
      <w:pPr>
        <w:pStyle w:val="Heading1"/>
        <w:spacing w:before="0" w:line="360" w:lineRule="auto"/>
        <w:jc w:val="center"/>
        <w:rPr>
          <w:b w:val="0"/>
        </w:rPr>
      </w:pPr>
      <w:bookmarkStart w:id="141" w:name="_Toc353730667"/>
      <w:r w:rsidRPr="00E2302E">
        <w:rPr>
          <w:rStyle w:val="1antChar"/>
          <w:rFonts w:eastAsiaTheme="majorEastAsia"/>
          <w:b/>
          <w:color w:val="auto"/>
        </w:rPr>
        <w:t>ANOTACIJA</w:t>
      </w:r>
      <w:bookmarkEnd w:id="141"/>
    </w:p>
    <w:p w14:paraId="1507D8B5" w14:textId="77777777" w:rsidR="003F2F73" w:rsidRDefault="003F2F73" w:rsidP="00725FC7">
      <w:pPr>
        <w:spacing w:after="0" w:line="360" w:lineRule="auto"/>
        <w:jc w:val="both"/>
        <w:rPr>
          <w:rFonts w:ascii="Times New Roman" w:eastAsia="Calibri" w:hAnsi="Times New Roman" w:cs="Times New Roman"/>
        </w:rPr>
      </w:pPr>
    </w:p>
    <w:p w14:paraId="691146A8" w14:textId="77777777" w:rsidR="003F2F73" w:rsidRDefault="003F2F73" w:rsidP="00725FC7">
      <w:pPr>
        <w:tabs>
          <w:tab w:val="left" w:pos="3544"/>
        </w:tabs>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Magistro</w:t>
      </w:r>
      <w:r>
        <w:rPr>
          <w:rFonts w:ascii="Times New Roman" w:eastAsia="Calibri" w:hAnsi="Times New Roman" w:cs="Times New Roman"/>
          <w:sz w:val="24"/>
          <w:szCs w:val="24"/>
        </w:rPr>
        <w:t xml:space="preserve"> baigiamajame darbe išanalizuota </w:t>
      </w:r>
      <w:r>
        <w:rPr>
          <w:rFonts w:ascii="Times New Roman" w:hAnsi="Times New Roman" w:cs="Times New Roman"/>
          <w:sz w:val="24"/>
          <w:szCs w:val="24"/>
        </w:rPr>
        <w:t xml:space="preserve">likvidumo esmė bei pateikti rodikliai likvidumui vertinti, kuriais remiantis atlikta biržoje kotiruojamų Lietuvos įmonių likvidumo dinamikos ir perspektyvų analizė. Konstatavus esamą padėtį, atliktas ekspertinis vertinimas, kurio pagalba nustatyti veiksniai labiausiai įtakojantys tyrime gautus rezultatus. </w:t>
      </w:r>
      <w:r>
        <w:rPr>
          <w:rFonts w:ascii="Times New Roman" w:eastAsia="Calibri" w:hAnsi="Times New Roman" w:cs="Times New Roman"/>
          <w:sz w:val="24"/>
          <w:szCs w:val="24"/>
        </w:rPr>
        <w:t xml:space="preserve">Pirmojoje dalyje remiantis moksline literatūra išnagrinėta </w:t>
      </w:r>
      <w:r>
        <w:rPr>
          <w:rFonts w:ascii="Times New Roman" w:hAnsi="Times New Roman" w:cs="Times New Roman"/>
          <w:sz w:val="24"/>
          <w:szCs w:val="24"/>
        </w:rPr>
        <w:t>likvidumo koncepcija bei vieta finansinėje analizėje. Antrojoje darbo dalyje išanalizuoti ir pateikti rodikliai likvidumui vertinti, kurie naudojami empirinėje darbo dalyje</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Trečiojoje dalyje taikant santykinių rodiklių analizę apskaičiuoti biržoje kotiruojamų Lietuvos įmonių likvidumo rodikliai, įvertinta jų dinamika bei perspektyvos. Ketvirtojoje darbo dalyje, remiantis empiriniu tyrimu, atliktas ekspertinis vertinimas skirtas nustatyti veiksniams pagrindžiantiems gautus empirinio tyrimo rezultatus. </w:t>
      </w:r>
      <w:r>
        <w:rPr>
          <w:rFonts w:ascii="Times New Roman" w:eastAsia="Calibri" w:hAnsi="Times New Roman" w:cs="Times New Roman"/>
          <w:sz w:val="24"/>
          <w:szCs w:val="24"/>
        </w:rPr>
        <w:t xml:space="preserve"> Atlikus mokslinės literatūros analizę ir tyrimus, suformuluotos mokslinės ir praktinės darbo išvados bei rekomendacijos. </w:t>
      </w:r>
    </w:p>
    <w:p w14:paraId="56D08FFE" w14:textId="226A39A4"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Darbą sudaro </w:t>
      </w:r>
      <w:r>
        <w:rPr>
          <w:rFonts w:ascii="Times New Roman" w:hAnsi="Times New Roman" w:cs="Times New Roman"/>
          <w:sz w:val="24"/>
          <w:szCs w:val="24"/>
        </w:rPr>
        <w:t xml:space="preserve">šios </w:t>
      </w:r>
      <w:r>
        <w:rPr>
          <w:rFonts w:ascii="Times New Roman" w:eastAsia="Calibri" w:hAnsi="Times New Roman" w:cs="Times New Roman"/>
          <w:sz w:val="24"/>
          <w:szCs w:val="24"/>
        </w:rPr>
        <w:t xml:space="preserve">dalys: įvadas, skyriai, išvados ir rekomendacijos, literatūros sąrašas, priedai. </w:t>
      </w:r>
      <w:r w:rsidR="00373521" w:rsidRPr="00373521">
        <w:rPr>
          <w:rFonts w:ascii="Times New Roman" w:eastAsia="Calibri" w:hAnsi="Times New Roman" w:cs="Times New Roman"/>
          <w:sz w:val="24"/>
          <w:szCs w:val="24"/>
        </w:rPr>
        <w:t>Darbo apimtis – 71 p., 28 paveikslų 14 lentelių</w:t>
      </w:r>
      <w:r w:rsidRPr="00373521">
        <w:rPr>
          <w:rFonts w:ascii="Times New Roman" w:eastAsia="Calibri" w:hAnsi="Times New Roman" w:cs="Times New Roman"/>
          <w:sz w:val="24"/>
          <w:szCs w:val="24"/>
        </w:rPr>
        <w:t>, 39 bibliografiniai šaltiniai.</w:t>
      </w:r>
    </w:p>
    <w:p w14:paraId="1A30F1DF"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62BBAF62" w14:textId="77777777" w:rsidR="003F2F73" w:rsidRPr="00C06885" w:rsidRDefault="003F2F73" w:rsidP="003F2F73">
      <w:pPr>
        <w:tabs>
          <w:tab w:val="left" w:pos="3544"/>
        </w:tabs>
        <w:spacing w:after="0" w:line="360" w:lineRule="auto"/>
        <w:ind w:firstLine="567"/>
        <w:jc w:val="both"/>
        <w:rPr>
          <w:rFonts w:ascii="Times New Roman" w:eastAsia="Calibri" w:hAnsi="Times New Roman" w:cs="Times New Roman"/>
          <w:sz w:val="24"/>
          <w:szCs w:val="24"/>
        </w:rPr>
      </w:pPr>
      <w:r w:rsidRPr="00C06885">
        <w:rPr>
          <w:rFonts w:ascii="Times New Roman" w:eastAsia="Calibri" w:hAnsi="Times New Roman" w:cs="Times New Roman"/>
          <w:b/>
          <w:sz w:val="24"/>
          <w:szCs w:val="24"/>
        </w:rPr>
        <w:t>Pagrindiniai žodžiai:</w:t>
      </w:r>
      <w:r w:rsidRPr="00C06885">
        <w:rPr>
          <w:rFonts w:ascii="Times New Roman" w:eastAsia="Calibri" w:hAnsi="Times New Roman" w:cs="Times New Roman"/>
          <w:sz w:val="24"/>
          <w:szCs w:val="24"/>
        </w:rPr>
        <w:t xml:space="preserve"> finansinė analizė, likvidumas, likvidumo rodikliai</w:t>
      </w:r>
      <w:r>
        <w:rPr>
          <w:rFonts w:ascii="Times New Roman" w:eastAsia="Calibri" w:hAnsi="Times New Roman" w:cs="Times New Roman"/>
          <w:sz w:val="24"/>
          <w:szCs w:val="24"/>
        </w:rPr>
        <w:t>, biržoje kotiruojamos Lietuvos įmonės</w:t>
      </w:r>
    </w:p>
    <w:p w14:paraId="5544255B"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3259FD56"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41588796"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7C5659EF"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17C51ADD"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7FA45FA1"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5FF5B167"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6FA39774"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71F63194"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0CD8DF19"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76F37DF2" w14:textId="77777777" w:rsidR="003F2F73" w:rsidRDefault="003F2F73" w:rsidP="003F2F73">
      <w:pPr>
        <w:tabs>
          <w:tab w:val="left" w:pos="3544"/>
        </w:tabs>
        <w:spacing w:after="0" w:line="360" w:lineRule="auto"/>
        <w:ind w:firstLine="567"/>
        <w:jc w:val="both"/>
        <w:rPr>
          <w:rFonts w:ascii="Times New Roman" w:eastAsia="Calibri" w:hAnsi="Times New Roman" w:cs="Times New Roman"/>
          <w:color w:val="FF0000"/>
          <w:sz w:val="24"/>
          <w:szCs w:val="24"/>
        </w:rPr>
      </w:pPr>
    </w:p>
    <w:p w14:paraId="7633B222" w14:textId="77777777" w:rsidR="003F2F73" w:rsidRDefault="003F2F73" w:rsidP="003F2F73">
      <w:pPr>
        <w:tabs>
          <w:tab w:val="left" w:pos="3544"/>
        </w:tabs>
        <w:spacing w:after="0" w:line="360" w:lineRule="auto"/>
        <w:jc w:val="both"/>
        <w:rPr>
          <w:rFonts w:ascii="Times New Roman" w:eastAsia="Calibri" w:hAnsi="Times New Roman" w:cs="Times New Roman"/>
          <w:color w:val="FF0000"/>
          <w:sz w:val="24"/>
          <w:szCs w:val="24"/>
        </w:rPr>
      </w:pPr>
    </w:p>
    <w:p w14:paraId="3845C10E" w14:textId="77777777" w:rsidR="003F2F73" w:rsidRDefault="003F2F73" w:rsidP="00725FC7">
      <w:pPr>
        <w:tabs>
          <w:tab w:val="left" w:pos="540"/>
        </w:tabs>
        <w:spacing w:after="0" w:line="360" w:lineRule="auto"/>
        <w:ind w:firstLine="540"/>
        <w:jc w:val="both"/>
        <w:rPr>
          <w:rFonts w:ascii="Times New Roman" w:eastAsia="Calibri" w:hAnsi="Times New Roman" w:cs="Times New Roman"/>
          <w:color w:val="FF0000"/>
          <w:sz w:val="24"/>
          <w:szCs w:val="24"/>
        </w:rPr>
      </w:pPr>
      <w:r>
        <w:rPr>
          <w:rFonts w:ascii="Times New Roman" w:eastAsia="Calibri" w:hAnsi="Times New Roman" w:cs="Times New Roman"/>
          <w:b/>
          <w:sz w:val="24"/>
          <w:szCs w:val="24"/>
        </w:rPr>
        <w:lastRenderedPageBreak/>
        <w:t xml:space="preserve">Verenius E. </w:t>
      </w:r>
      <w:r w:rsidRPr="00675205">
        <w:rPr>
          <w:rFonts w:ascii="Times New Roman" w:eastAsia="Calibri" w:hAnsi="Times New Roman" w:cs="Times New Roman"/>
          <w:sz w:val="24"/>
          <w:szCs w:val="24"/>
        </w:rPr>
        <w:t xml:space="preserve">The liquidity dynamics and </w:t>
      </w:r>
      <w:r>
        <w:rPr>
          <w:rFonts w:ascii="Times New Roman" w:eastAsia="Calibri" w:hAnsi="Times New Roman" w:cs="Times New Roman"/>
          <w:sz w:val="24"/>
          <w:szCs w:val="24"/>
        </w:rPr>
        <w:t>prospects</w:t>
      </w:r>
      <w:r w:rsidRPr="00675205">
        <w:rPr>
          <w:rFonts w:ascii="Times New Roman" w:eastAsia="Calibri" w:hAnsi="Times New Roman" w:cs="Times New Roman"/>
          <w:sz w:val="24"/>
          <w:szCs w:val="24"/>
        </w:rPr>
        <w:t xml:space="preserve"> of Lithuanian </w:t>
      </w:r>
      <w:r>
        <w:rPr>
          <w:rFonts w:ascii="Times New Roman" w:eastAsia="Calibri" w:hAnsi="Times New Roman" w:cs="Times New Roman"/>
          <w:sz w:val="24"/>
          <w:szCs w:val="24"/>
        </w:rPr>
        <w:t xml:space="preserve">companies </w:t>
      </w:r>
      <w:r w:rsidRPr="00675205">
        <w:rPr>
          <w:rFonts w:ascii="Times New Roman" w:eastAsia="Calibri" w:hAnsi="Times New Roman" w:cs="Times New Roman"/>
          <w:sz w:val="24"/>
          <w:szCs w:val="24"/>
        </w:rPr>
        <w:t xml:space="preserve">listed </w:t>
      </w:r>
      <w:r>
        <w:rPr>
          <w:rFonts w:ascii="Times New Roman" w:eastAsia="Calibri" w:hAnsi="Times New Roman" w:cs="Times New Roman"/>
          <w:sz w:val="24"/>
          <w:szCs w:val="24"/>
        </w:rPr>
        <w:t>on</w:t>
      </w:r>
      <w:r w:rsidRPr="00675205">
        <w:rPr>
          <w:rFonts w:ascii="Times New Roman" w:eastAsia="Calibri" w:hAnsi="Times New Roman" w:cs="Times New Roman"/>
          <w:sz w:val="24"/>
          <w:szCs w:val="24"/>
        </w:rPr>
        <w:t xml:space="preserve"> the stock exchange /</w:t>
      </w:r>
      <w:r>
        <w:rPr>
          <w:rFonts w:ascii="Times New Roman" w:eastAsia="Calibri" w:hAnsi="Times New Roman" w:cs="Times New Roman"/>
          <w:b/>
          <w:sz w:val="24"/>
          <w:szCs w:val="24"/>
        </w:rPr>
        <w:t xml:space="preserve"> </w:t>
      </w:r>
      <w:r>
        <w:rPr>
          <w:rFonts w:ascii="Times New Roman" w:hAnsi="Times New Roman" w:cs="Times New Roman"/>
          <w:sz w:val="24"/>
          <w:szCs w:val="24"/>
        </w:rPr>
        <w:t>Financial management master‘s thesis. Supervisor doc</w:t>
      </w:r>
      <w:r>
        <w:rPr>
          <w:rFonts w:ascii="Times New Roman" w:eastAsia="Calibri" w:hAnsi="Times New Roman" w:cs="Times New Roman"/>
          <w:sz w:val="24"/>
          <w:szCs w:val="24"/>
        </w:rPr>
        <w:t>.</w:t>
      </w:r>
      <w:r>
        <w:rPr>
          <w:rFonts w:ascii="Times New Roman" w:hAnsi="Times New Roman" w:cs="Times New Roman"/>
          <w:sz w:val="24"/>
          <w:szCs w:val="24"/>
        </w:rPr>
        <w:t xml:space="preserve"> dr. M</w:t>
      </w:r>
      <w:r>
        <w:rPr>
          <w:rFonts w:ascii="Times New Roman" w:eastAsia="Calibri" w:hAnsi="Times New Roman" w:cs="Times New Roman"/>
          <w:sz w:val="24"/>
          <w:szCs w:val="24"/>
        </w:rPr>
        <w:t xml:space="preserve">. </w:t>
      </w:r>
      <w:r>
        <w:rPr>
          <w:rFonts w:ascii="Times New Roman" w:hAnsi="Times New Roman" w:cs="Times New Roman"/>
          <w:sz w:val="24"/>
          <w:szCs w:val="24"/>
        </w:rPr>
        <w:t>Strumskis</w:t>
      </w:r>
      <w:r>
        <w:rPr>
          <w:rFonts w:ascii="Times New Roman" w:eastAsia="Calibri" w:hAnsi="Times New Roman" w:cs="Times New Roman"/>
          <w:sz w:val="24"/>
          <w:szCs w:val="24"/>
        </w:rPr>
        <w:t xml:space="preserve">. – Vilnius: Mykolas Romeris University, Faculty of Economics and Finance Management, Department of Finance and Taxes, </w:t>
      </w:r>
      <w:r>
        <w:rPr>
          <w:rFonts w:ascii="Times New Roman" w:hAnsi="Times New Roman" w:cs="Times New Roman"/>
          <w:sz w:val="24"/>
          <w:szCs w:val="24"/>
        </w:rPr>
        <w:t>2013</w:t>
      </w:r>
      <w:r>
        <w:rPr>
          <w:rFonts w:ascii="Times New Roman" w:eastAsia="Calibri" w:hAnsi="Times New Roman" w:cs="Times New Roman"/>
          <w:sz w:val="24"/>
          <w:szCs w:val="24"/>
        </w:rPr>
        <w:t xml:space="preserve">. – </w:t>
      </w:r>
      <w:r w:rsidRPr="00373521">
        <w:rPr>
          <w:rFonts w:ascii="Times New Roman" w:eastAsia="Calibri" w:hAnsi="Times New Roman" w:cs="Times New Roman"/>
          <w:sz w:val="24"/>
          <w:szCs w:val="24"/>
        </w:rPr>
        <w:t>71 p.</w:t>
      </w:r>
    </w:p>
    <w:p w14:paraId="670C15EB" w14:textId="77777777" w:rsidR="003F2F73" w:rsidRDefault="003F2F73" w:rsidP="00725FC7">
      <w:pPr>
        <w:tabs>
          <w:tab w:val="left" w:pos="3544"/>
        </w:tabs>
        <w:spacing w:after="0" w:line="360" w:lineRule="auto"/>
        <w:ind w:firstLine="567"/>
        <w:jc w:val="both"/>
        <w:rPr>
          <w:rFonts w:ascii="Times New Roman" w:eastAsia="Calibri" w:hAnsi="Times New Roman" w:cs="Times New Roman"/>
          <w:color w:val="FF0000"/>
          <w:sz w:val="24"/>
          <w:szCs w:val="24"/>
        </w:rPr>
      </w:pPr>
    </w:p>
    <w:p w14:paraId="55B1BE6C" w14:textId="77777777" w:rsidR="003F2F73" w:rsidRPr="00E2302E" w:rsidRDefault="003F2F73" w:rsidP="00725FC7">
      <w:pPr>
        <w:pStyle w:val="Heading1"/>
        <w:spacing w:before="0" w:line="360" w:lineRule="auto"/>
        <w:jc w:val="center"/>
        <w:rPr>
          <w:rFonts w:eastAsia="Calibri"/>
          <w:b w:val="0"/>
        </w:rPr>
      </w:pPr>
      <w:bookmarkStart w:id="142" w:name="_Toc353730668"/>
      <w:r w:rsidRPr="00E2302E">
        <w:rPr>
          <w:rStyle w:val="1antChar"/>
          <w:rFonts w:eastAsiaTheme="majorEastAsia"/>
          <w:b/>
          <w:color w:val="auto"/>
        </w:rPr>
        <w:t>ANNOTATION</w:t>
      </w:r>
      <w:bookmarkEnd w:id="142"/>
    </w:p>
    <w:p w14:paraId="1EE31E36" w14:textId="77777777" w:rsidR="003F2F73" w:rsidRPr="003F2F73" w:rsidRDefault="003F2F73" w:rsidP="00725FC7">
      <w:pPr>
        <w:tabs>
          <w:tab w:val="left" w:pos="3544"/>
        </w:tabs>
        <w:spacing w:after="0" w:line="360" w:lineRule="auto"/>
        <w:ind w:firstLine="567"/>
        <w:jc w:val="both"/>
        <w:rPr>
          <w:rFonts w:ascii="Times New Roman" w:eastAsia="Calibri" w:hAnsi="Times New Roman" w:cs="Times New Roman"/>
          <w:sz w:val="24"/>
          <w:szCs w:val="24"/>
        </w:rPr>
      </w:pPr>
    </w:p>
    <w:p w14:paraId="0A0AC374" w14:textId="77777777" w:rsidR="003F2F73" w:rsidRPr="003F2F73" w:rsidRDefault="003F2F73" w:rsidP="00725FC7">
      <w:pPr>
        <w:tabs>
          <w:tab w:val="left" w:pos="540"/>
        </w:tabs>
        <w:spacing w:after="0" w:line="360" w:lineRule="auto"/>
        <w:ind w:firstLine="539"/>
        <w:jc w:val="both"/>
        <w:rPr>
          <w:rFonts w:ascii="Times New Roman" w:hAnsi="Times New Roman" w:cs="Times New Roman"/>
          <w:sz w:val="24"/>
          <w:szCs w:val="24"/>
        </w:rPr>
      </w:pPr>
      <w:r w:rsidRPr="003F2F73">
        <w:rPr>
          <w:rStyle w:val="hps"/>
          <w:rFonts w:ascii="Times New Roman" w:hAnsi="Times New Roman" w:cs="Times New Roman"/>
          <w:sz w:val="24"/>
          <w:szCs w:val="24"/>
        </w:rPr>
        <w:t>Master's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thesis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analyz</w:t>
      </w:r>
      <w:r w:rsidR="000C5714">
        <w:rPr>
          <w:rStyle w:val="hps"/>
          <w:rFonts w:ascii="Times New Roman" w:hAnsi="Times New Roman" w:cs="Times New Roman"/>
          <w:sz w:val="24"/>
          <w:szCs w:val="24"/>
        </w:rPr>
        <w:t>es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essence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of liquidity</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and present</w:t>
      </w:r>
      <w:r w:rsidR="000C5714">
        <w:rPr>
          <w:rStyle w:val="hps"/>
          <w:rFonts w:ascii="Times New Roman" w:hAnsi="Times New Roman" w:cs="Times New Roman"/>
          <w:sz w:val="24"/>
          <w:szCs w:val="24"/>
        </w:rPr>
        <w:t>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liquidity</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indicators</w:t>
      </w:r>
      <w:r w:rsidRPr="003F2F73">
        <w:rPr>
          <w:rFonts w:ascii="Times New Roman" w:hAnsi="Times New Roman" w:cs="Times New Roman"/>
          <w:sz w:val="24"/>
          <w:szCs w:val="24"/>
        </w:rPr>
        <w:t xml:space="preserve"> on which the </w:t>
      </w:r>
      <w:r w:rsidRPr="003F2F73">
        <w:rPr>
          <w:rStyle w:val="hps"/>
          <w:rFonts w:ascii="Times New Roman" w:hAnsi="Times New Roman" w:cs="Times New Roman"/>
          <w:sz w:val="24"/>
          <w:szCs w:val="24"/>
        </w:rPr>
        <w:t>valuation of Lithuanian companies</w:t>
      </w:r>
      <w:r w:rsidRPr="003F2F73">
        <w:rPr>
          <w:rFonts w:ascii="Times New Roman" w:hAnsi="Times New Roman" w:cs="Times New Roman"/>
          <w:sz w:val="24"/>
          <w:szCs w:val="24"/>
        </w:rPr>
        <w:t xml:space="preserve"> listed on the stock exchange </w:t>
      </w:r>
      <w:r w:rsidRPr="003F2F73">
        <w:rPr>
          <w:rStyle w:val="hps"/>
          <w:rFonts w:ascii="Times New Roman" w:hAnsi="Times New Roman" w:cs="Times New Roman"/>
          <w:sz w:val="24"/>
          <w:szCs w:val="24"/>
        </w:rPr>
        <w:t>liquidity</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dynamics and</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prospective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analysis is based on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Finding of the current situation,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made an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expert</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evaluation, which</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helps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to identify</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most</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influencing</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factors of</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study</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results.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first part</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on the basis of</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scientific literature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examined</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concept of</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liquidity</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and its place in financial</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analysis.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In the second</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part of the paper</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analyzed</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and evaluated</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liquidity</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ratios</w:t>
      </w:r>
      <w:r w:rsidRPr="003F2F73">
        <w:rPr>
          <w:rFonts w:ascii="Times New Roman" w:hAnsi="Times New Roman" w:cs="Times New Roman"/>
          <w:sz w:val="24"/>
          <w:szCs w:val="24"/>
        </w:rPr>
        <w:t xml:space="preserve">, which are used </w:t>
      </w:r>
      <w:r w:rsidRPr="003F2F73">
        <w:rPr>
          <w:rStyle w:val="hps"/>
          <w:rFonts w:ascii="Times New Roman" w:hAnsi="Times New Roman" w:cs="Times New Roman"/>
          <w:sz w:val="24"/>
          <w:szCs w:val="24"/>
        </w:rPr>
        <w:t>in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empirical</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investigation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In the third part</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through</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calculation of</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relative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performances of listed in stock exchange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Lithuanian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companies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liquidity</w:t>
      </w:r>
      <w:r w:rsidRPr="003F2F73">
        <w:rPr>
          <w:rFonts w:ascii="Times New Roman" w:hAnsi="Times New Roman" w:cs="Times New Roman"/>
          <w:sz w:val="24"/>
          <w:szCs w:val="24"/>
        </w:rPr>
        <w:t xml:space="preserve">, estimated </w:t>
      </w:r>
      <w:r w:rsidRPr="003F2F73">
        <w:rPr>
          <w:rStyle w:val="hps"/>
          <w:rFonts w:ascii="Times New Roman" w:hAnsi="Times New Roman" w:cs="Times New Roman"/>
          <w:sz w:val="24"/>
          <w:szCs w:val="24"/>
        </w:rPr>
        <w:t>the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dynamics and</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prospects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fourth</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part of the paper</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based on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empirical research</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conducted in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expert evaluation</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to determine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the factors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underlying the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analysis of the empirical</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results.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After the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analysis of scientific literature</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and studies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formulated</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scientific and practical</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conclusions</w:t>
      </w:r>
      <w:r w:rsidRPr="003F2F73">
        <w:rPr>
          <w:rFonts w:ascii="Times New Roman" w:hAnsi="Times New Roman" w:cs="Times New Roman"/>
          <w:sz w:val="24"/>
          <w:szCs w:val="24"/>
        </w:rPr>
        <w:t xml:space="preserve"> </w:t>
      </w:r>
      <w:r w:rsidRPr="003F2F73">
        <w:rPr>
          <w:rStyle w:val="hps"/>
          <w:rFonts w:ascii="Times New Roman" w:hAnsi="Times New Roman" w:cs="Times New Roman"/>
          <w:sz w:val="24"/>
          <w:szCs w:val="24"/>
        </w:rPr>
        <w:t>and recommendations.</w:t>
      </w:r>
      <w:r w:rsidRPr="003F2F73">
        <w:rPr>
          <w:rFonts w:ascii="Times New Roman" w:hAnsi="Times New Roman" w:cs="Times New Roman"/>
          <w:sz w:val="24"/>
          <w:szCs w:val="24"/>
        </w:rPr>
        <w:t xml:space="preserve"> </w:t>
      </w:r>
    </w:p>
    <w:p w14:paraId="59F8F7B4" w14:textId="6FCECFD4" w:rsidR="003F2F73" w:rsidRPr="00373521" w:rsidRDefault="003F2F73" w:rsidP="003F2F73">
      <w:pPr>
        <w:tabs>
          <w:tab w:val="left" w:pos="540"/>
        </w:tabs>
        <w:spacing w:after="0" w:line="360" w:lineRule="auto"/>
        <w:ind w:firstLine="539"/>
        <w:jc w:val="both"/>
        <w:rPr>
          <w:rStyle w:val="hps"/>
          <w:rFonts w:ascii="Times New Roman" w:hAnsi="Times New Roman" w:cs="Times New Roman"/>
          <w:sz w:val="24"/>
          <w:szCs w:val="24"/>
        </w:rPr>
      </w:pPr>
      <w:r w:rsidRPr="00373521">
        <w:rPr>
          <w:rStyle w:val="hps"/>
          <w:rFonts w:ascii="Times New Roman" w:hAnsi="Times New Roman" w:cs="Times New Roman"/>
          <w:sz w:val="24"/>
          <w:szCs w:val="24"/>
        </w:rPr>
        <w:t>The work</w:t>
      </w:r>
      <w:r w:rsidRPr="00373521">
        <w:rPr>
          <w:rFonts w:ascii="Times New Roman" w:hAnsi="Times New Roman" w:cs="Times New Roman"/>
          <w:sz w:val="24"/>
          <w:szCs w:val="24"/>
        </w:rPr>
        <w:t xml:space="preserve"> </w:t>
      </w:r>
      <w:r w:rsidRPr="00373521">
        <w:rPr>
          <w:rStyle w:val="hps"/>
          <w:rFonts w:ascii="Times New Roman" w:hAnsi="Times New Roman" w:cs="Times New Roman"/>
          <w:sz w:val="24"/>
          <w:szCs w:val="24"/>
        </w:rPr>
        <w:t>consists of the following</w:t>
      </w:r>
      <w:r w:rsidRPr="00373521">
        <w:rPr>
          <w:rFonts w:ascii="Times New Roman" w:hAnsi="Times New Roman" w:cs="Times New Roman"/>
          <w:sz w:val="24"/>
          <w:szCs w:val="24"/>
        </w:rPr>
        <w:t xml:space="preserve"> </w:t>
      </w:r>
      <w:r w:rsidRPr="00373521">
        <w:rPr>
          <w:rStyle w:val="hps"/>
          <w:rFonts w:ascii="Times New Roman" w:hAnsi="Times New Roman" w:cs="Times New Roman"/>
          <w:sz w:val="24"/>
          <w:szCs w:val="24"/>
        </w:rPr>
        <w:t>parts:</w:t>
      </w:r>
      <w:r w:rsidRPr="00373521">
        <w:rPr>
          <w:rFonts w:ascii="Times New Roman" w:hAnsi="Times New Roman" w:cs="Times New Roman"/>
          <w:sz w:val="24"/>
          <w:szCs w:val="24"/>
        </w:rPr>
        <w:t xml:space="preserve"> </w:t>
      </w:r>
      <w:r w:rsidRPr="00373521">
        <w:rPr>
          <w:rStyle w:val="hps"/>
          <w:rFonts w:ascii="Times New Roman" w:hAnsi="Times New Roman" w:cs="Times New Roman"/>
          <w:sz w:val="24"/>
          <w:szCs w:val="24"/>
        </w:rPr>
        <w:t>an introduction</w:t>
      </w:r>
      <w:r w:rsidRPr="00373521">
        <w:rPr>
          <w:rFonts w:ascii="Times New Roman" w:hAnsi="Times New Roman" w:cs="Times New Roman"/>
          <w:sz w:val="24"/>
          <w:szCs w:val="24"/>
        </w:rPr>
        <w:t xml:space="preserve">, chapters, conclusions </w:t>
      </w:r>
      <w:r w:rsidRPr="00373521">
        <w:rPr>
          <w:rStyle w:val="hps"/>
          <w:rFonts w:ascii="Times New Roman" w:hAnsi="Times New Roman" w:cs="Times New Roman"/>
          <w:sz w:val="24"/>
          <w:szCs w:val="24"/>
        </w:rPr>
        <w:t>and recommendations</w:t>
      </w:r>
      <w:r w:rsidRPr="00373521">
        <w:rPr>
          <w:rFonts w:ascii="Times New Roman" w:hAnsi="Times New Roman" w:cs="Times New Roman"/>
          <w:sz w:val="24"/>
          <w:szCs w:val="24"/>
        </w:rPr>
        <w:t xml:space="preserve">, references </w:t>
      </w:r>
      <w:r w:rsidRPr="00373521">
        <w:rPr>
          <w:rStyle w:val="hps"/>
          <w:rFonts w:ascii="Times New Roman" w:hAnsi="Times New Roman" w:cs="Times New Roman"/>
          <w:sz w:val="24"/>
          <w:szCs w:val="24"/>
        </w:rPr>
        <w:t>and accessories.</w:t>
      </w:r>
      <w:r w:rsidRPr="00373521">
        <w:rPr>
          <w:rFonts w:ascii="Times New Roman" w:hAnsi="Times New Roman" w:cs="Times New Roman"/>
          <w:sz w:val="24"/>
          <w:szCs w:val="24"/>
        </w:rPr>
        <w:t xml:space="preserve"> </w:t>
      </w:r>
      <w:r w:rsidRPr="00373521">
        <w:rPr>
          <w:rStyle w:val="hps"/>
          <w:rFonts w:ascii="Times New Roman" w:hAnsi="Times New Roman" w:cs="Times New Roman"/>
          <w:sz w:val="24"/>
          <w:szCs w:val="24"/>
        </w:rPr>
        <w:t>The thesis size - 71</w:t>
      </w:r>
      <w:r w:rsidRPr="00373521">
        <w:rPr>
          <w:rFonts w:ascii="Times New Roman" w:hAnsi="Times New Roman" w:cs="Times New Roman"/>
          <w:sz w:val="24"/>
          <w:szCs w:val="24"/>
        </w:rPr>
        <w:t xml:space="preserve"> </w:t>
      </w:r>
      <w:r w:rsidRPr="00373521">
        <w:rPr>
          <w:rStyle w:val="hps"/>
          <w:rFonts w:ascii="Times New Roman" w:hAnsi="Times New Roman" w:cs="Times New Roman"/>
          <w:sz w:val="24"/>
          <w:szCs w:val="24"/>
        </w:rPr>
        <w:t>p.</w:t>
      </w:r>
      <w:r w:rsidRPr="00373521">
        <w:rPr>
          <w:rFonts w:ascii="Times New Roman" w:hAnsi="Times New Roman" w:cs="Times New Roman"/>
          <w:sz w:val="24"/>
          <w:szCs w:val="24"/>
        </w:rPr>
        <w:t xml:space="preserve">, </w:t>
      </w:r>
      <w:r w:rsidR="00373521" w:rsidRPr="00373521">
        <w:rPr>
          <w:rStyle w:val="hps"/>
          <w:rFonts w:ascii="Times New Roman" w:hAnsi="Times New Roman" w:cs="Times New Roman"/>
          <w:sz w:val="24"/>
          <w:szCs w:val="24"/>
        </w:rPr>
        <w:t>28</w:t>
      </w:r>
      <w:r w:rsidRPr="00373521">
        <w:rPr>
          <w:rStyle w:val="hps"/>
          <w:rFonts w:ascii="Times New Roman" w:hAnsi="Times New Roman" w:cs="Times New Roman"/>
          <w:sz w:val="24"/>
          <w:szCs w:val="24"/>
        </w:rPr>
        <w:t xml:space="preserve"> figures</w:t>
      </w:r>
      <w:r w:rsidRPr="00373521">
        <w:rPr>
          <w:rFonts w:ascii="Times New Roman" w:hAnsi="Times New Roman" w:cs="Times New Roman"/>
          <w:sz w:val="24"/>
          <w:szCs w:val="24"/>
        </w:rPr>
        <w:t xml:space="preserve"> </w:t>
      </w:r>
      <w:r w:rsidR="00373521" w:rsidRPr="00373521">
        <w:rPr>
          <w:rStyle w:val="hps"/>
          <w:rFonts w:ascii="Times New Roman" w:hAnsi="Times New Roman" w:cs="Times New Roman"/>
          <w:sz w:val="24"/>
          <w:szCs w:val="24"/>
        </w:rPr>
        <w:t>14</w:t>
      </w:r>
      <w:r w:rsidRPr="00373521">
        <w:rPr>
          <w:rStyle w:val="hps"/>
          <w:rFonts w:ascii="Times New Roman" w:hAnsi="Times New Roman" w:cs="Times New Roman"/>
          <w:sz w:val="24"/>
          <w:szCs w:val="24"/>
        </w:rPr>
        <w:t xml:space="preserve"> tables</w:t>
      </w:r>
      <w:r w:rsidRPr="00373521">
        <w:rPr>
          <w:rFonts w:ascii="Times New Roman" w:hAnsi="Times New Roman" w:cs="Times New Roman"/>
          <w:sz w:val="24"/>
          <w:szCs w:val="24"/>
        </w:rPr>
        <w:t xml:space="preserve">, 39 </w:t>
      </w:r>
      <w:r w:rsidRPr="00373521">
        <w:rPr>
          <w:rStyle w:val="hps"/>
          <w:rFonts w:ascii="Times New Roman" w:hAnsi="Times New Roman" w:cs="Times New Roman"/>
          <w:sz w:val="24"/>
          <w:szCs w:val="24"/>
        </w:rPr>
        <w:t>bibliographical sources.</w:t>
      </w:r>
    </w:p>
    <w:p w14:paraId="3F43A7EE" w14:textId="77777777" w:rsidR="003F2F73" w:rsidRDefault="003F2F73" w:rsidP="003F2F73">
      <w:pPr>
        <w:tabs>
          <w:tab w:val="left" w:pos="540"/>
        </w:tabs>
        <w:spacing w:after="0" w:line="360" w:lineRule="auto"/>
        <w:ind w:firstLine="539"/>
        <w:jc w:val="both"/>
        <w:rPr>
          <w:rStyle w:val="hps"/>
          <w:rFonts w:ascii="Times New Roman" w:hAnsi="Times New Roman" w:cs="Times New Roman"/>
          <w:color w:val="FF0000"/>
          <w:sz w:val="24"/>
          <w:szCs w:val="24"/>
        </w:rPr>
      </w:pPr>
    </w:p>
    <w:p w14:paraId="218E32C0" w14:textId="77777777" w:rsidR="003F2F73" w:rsidRPr="003F2F73" w:rsidRDefault="003F2F73" w:rsidP="003F2F73">
      <w:pPr>
        <w:tabs>
          <w:tab w:val="left" w:pos="540"/>
        </w:tabs>
        <w:spacing w:after="0" w:line="360" w:lineRule="auto"/>
        <w:ind w:firstLine="539"/>
        <w:jc w:val="both"/>
        <w:rPr>
          <w:rFonts w:ascii="Times New Roman" w:hAnsi="Times New Roman" w:cs="Times New Roman"/>
          <w:sz w:val="24"/>
          <w:szCs w:val="24"/>
        </w:rPr>
      </w:pPr>
      <w:r w:rsidRPr="003F2F73">
        <w:rPr>
          <w:rStyle w:val="hps"/>
          <w:rFonts w:ascii="Times New Roman" w:hAnsi="Times New Roman" w:cs="Times New Roman"/>
          <w:b/>
          <w:sz w:val="24"/>
          <w:szCs w:val="24"/>
        </w:rPr>
        <w:t>Key words:</w:t>
      </w:r>
      <w:r w:rsidRPr="003F2F73">
        <w:rPr>
          <w:rStyle w:val="hps"/>
          <w:rFonts w:ascii="Times New Roman" w:hAnsi="Times New Roman" w:cs="Times New Roman"/>
          <w:sz w:val="24"/>
          <w:szCs w:val="24"/>
        </w:rPr>
        <w:t xml:space="preserve"> financial analysis, liquidity, liquidity ratios, Lithuanian companies listed on the stock exchange</w:t>
      </w:r>
    </w:p>
    <w:p w14:paraId="673DA8B2" w14:textId="77777777" w:rsidR="003F2F73" w:rsidRDefault="003F2F73" w:rsidP="003F2F73">
      <w:pPr>
        <w:tabs>
          <w:tab w:val="left" w:pos="540"/>
        </w:tabs>
        <w:spacing w:line="360" w:lineRule="auto"/>
        <w:ind w:firstLine="540"/>
        <w:jc w:val="both"/>
        <w:rPr>
          <w:rFonts w:ascii="Times New Roman" w:eastAsia="Calibri" w:hAnsi="Times New Roman" w:cs="Times New Roman"/>
          <w:b/>
          <w:sz w:val="24"/>
          <w:szCs w:val="24"/>
        </w:rPr>
      </w:pPr>
    </w:p>
    <w:p w14:paraId="437D904D" w14:textId="77777777" w:rsidR="003F2F73" w:rsidRDefault="003F2F73" w:rsidP="003F2F73">
      <w:pPr>
        <w:tabs>
          <w:tab w:val="left" w:pos="540"/>
        </w:tabs>
        <w:spacing w:line="360" w:lineRule="auto"/>
        <w:ind w:firstLine="540"/>
        <w:jc w:val="both"/>
        <w:rPr>
          <w:rFonts w:ascii="Times New Roman" w:eastAsia="Calibri" w:hAnsi="Times New Roman" w:cs="Times New Roman"/>
          <w:b/>
          <w:sz w:val="24"/>
          <w:szCs w:val="24"/>
        </w:rPr>
      </w:pPr>
    </w:p>
    <w:p w14:paraId="4315B96E" w14:textId="77777777" w:rsidR="003F2F73" w:rsidRDefault="003F2F73" w:rsidP="003F2F73">
      <w:pPr>
        <w:tabs>
          <w:tab w:val="left" w:pos="540"/>
        </w:tabs>
        <w:spacing w:line="360" w:lineRule="auto"/>
        <w:ind w:firstLine="540"/>
        <w:jc w:val="both"/>
        <w:rPr>
          <w:rFonts w:ascii="Times New Roman" w:eastAsia="Calibri" w:hAnsi="Times New Roman" w:cs="Times New Roman"/>
          <w:b/>
          <w:sz w:val="24"/>
          <w:szCs w:val="24"/>
        </w:rPr>
      </w:pPr>
    </w:p>
    <w:p w14:paraId="33779A89" w14:textId="77777777" w:rsidR="003F2F73" w:rsidRDefault="003F2F73" w:rsidP="003F2F73">
      <w:pPr>
        <w:tabs>
          <w:tab w:val="left" w:pos="540"/>
        </w:tabs>
        <w:spacing w:line="360" w:lineRule="auto"/>
        <w:ind w:firstLine="540"/>
        <w:jc w:val="both"/>
        <w:rPr>
          <w:rFonts w:ascii="Times New Roman" w:eastAsia="Calibri" w:hAnsi="Times New Roman" w:cs="Times New Roman"/>
          <w:b/>
          <w:sz w:val="24"/>
          <w:szCs w:val="24"/>
        </w:rPr>
      </w:pPr>
    </w:p>
    <w:p w14:paraId="0E7050FD" w14:textId="77777777" w:rsidR="003F2F73" w:rsidRDefault="003F2F73" w:rsidP="003F2F73">
      <w:pPr>
        <w:tabs>
          <w:tab w:val="left" w:pos="540"/>
        </w:tabs>
        <w:spacing w:line="360" w:lineRule="auto"/>
        <w:ind w:firstLine="540"/>
        <w:jc w:val="both"/>
        <w:rPr>
          <w:rFonts w:ascii="Times New Roman" w:eastAsia="Calibri" w:hAnsi="Times New Roman" w:cs="Times New Roman"/>
          <w:b/>
          <w:sz w:val="24"/>
          <w:szCs w:val="24"/>
        </w:rPr>
      </w:pPr>
    </w:p>
    <w:p w14:paraId="05DFBDE0" w14:textId="77777777" w:rsidR="003F2F73" w:rsidRDefault="003F2F73" w:rsidP="003F2F73">
      <w:pPr>
        <w:tabs>
          <w:tab w:val="left" w:pos="540"/>
        </w:tabs>
        <w:spacing w:line="360" w:lineRule="auto"/>
        <w:ind w:firstLine="540"/>
        <w:jc w:val="both"/>
        <w:rPr>
          <w:rFonts w:ascii="Times New Roman" w:eastAsia="Calibri" w:hAnsi="Times New Roman" w:cs="Times New Roman"/>
          <w:b/>
          <w:sz w:val="24"/>
          <w:szCs w:val="24"/>
        </w:rPr>
      </w:pPr>
    </w:p>
    <w:p w14:paraId="7383E42F" w14:textId="77777777" w:rsidR="003F2F73" w:rsidRDefault="003F2F73" w:rsidP="003F2F73">
      <w:pPr>
        <w:tabs>
          <w:tab w:val="left" w:pos="540"/>
        </w:tabs>
        <w:spacing w:line="360" w:lineRule="auto"/>
        <w:ind w:firstLine="540"/>
        <w:jc w:val="both"/>
        <w:rPr>
          <w:rFonts w:ascii="Times New Roman" w:eastAsia="Calibri" w:hAnsi="Times New Roman" w:cs="Times New Roman"/>
          <w:b/>
          <w:sz w:val="24"/>
          <w:szCs w:val="24"/>
        </w:rPr>
      </w:pPr>
    </w:p>
    <w:p w14:paraId="25D5C68D" w14:textId="77777777" w:rsidR="001C7E72" w:rsidRPr="001820F6" w:rsidRDefault="001C7E72" w:rsidP="00725FC7">
      <w:pPr>
        <w:tabs>
          <w:tab w:val="left" w:pos="540"/>
        </w:tabs>
        <w:spacing w:after="0" w:line="360" w:lineRule="auto"/>
        <w:ind w:firstLine="540"/>
        <w:jc w:val="both"/>
        <w:rPr>
          <w:rFonts w:ascii="Times New Roman" w:eastAsia="Calibri" w:hAnsi="Times New Roman" w:cs="Times New Roman"/>
          <w:color w:val="FF0000"/>
          <w:sz w:val="24"/>
          <w:szCs w:val="24"/>
        </w:rPr>
      </w:pPr>
      <w:r w:rsidRPr="001820F6">
        <w:rPr>
          <w:rFonts w:ascii="Times New Roman" w:eastAsia="Calibri" w:hAnsi="Times New Roman" w:cs="Times New Roman"/>
          <w:b/>
          <w:sz w:val="24"/>
          <w:szCs w:val="24"/>
        </w:rPr>
        <w:lastRenderedPageBreak/>
        <w:t xml:space="preserve">Verenius E. </w:t>
      </w:r>
      <w:r w:rsidRPr="001820F6">
        <w:rPr>
          <w:rFonts w:ascii="Times New Roman" w:hAnsi="Times New Roman" w:cs="Times New Roman"/>
          <w:sz w:val="24"/>
          <w:szCs w:val="24"/>
        </w:rPr>
        <w:t>Biržoje kotiruojamų</w:t>
      </w:r>
      <w:r>
        <w:rPr>
          <w:rFonts w:ascii="Times New Roman" w:hAnsi="Times New Roman" w:cs="Times New Roman"/>
          <w:sz w:val="24"/>
          <w:szCs w:val="24"/>
        </w:rPr>
        <w:t xml:space="preserve"> Lietuvos įmonių likvidumo dinamika ir perspektyvos / Finansų valdymo magistro baigiamasis darbas. </w:t>
      </w:r>
      <w:r w:rsidRPr="001820F6">
        <w:rPr>
          <w:rFonts w:ascii="Times New Roman" w:eastAsia="Calibri" w:hAnsi="Times New Roman" w:cs="Times New Roman"/>
          <w:sz w:val="24"/>
          <w:szCs w:val="24"/>
        </w:rPr>
        <w:t xml:space="preserve">Vadovas </w:t>
      </w:r>
      <w:r>
        <w:rPr>
          <w:rFonts w:ascii="Times New Roman" w:hAnsi="Times New Roman" w:cs="Times New Roman"/>
          <w:sz w:val="24"/>
          <w:szCs w:val="24"/>
        </w:rPr>
        <w:t>doc</w:t>
      </w:r>
      <w:r w:rsidRPr="001820F6">
        <w:rPr>
          <w:rFonts w:ascii="Times New Roman" w:eastAsia="Calibri" w:hAnsi="Times New Roman" w:cs="Times New Roman"/>
          <w:sz w:val="24"/>
          <w:szCs w:val="24"/>
        </w:rPr>
        <w:t>.</w:t>
      </w:r>
      <w:r>
        <w:rPr>
          <w:rFonts w:ascii="Times New Roman" w:hAnsi="Times New Roman" w:cs="Times New Roman"/>
          <w:sz w:val="24"/>
          <w:szCs w:val="24"/>
        </w:rPr>
        <w:t xml:space="preserve"> dr. M</w:t>
      </w:r>
      <w:r w:rsidRPr="001820F6">
        <w:rPr>
          <w:rFonts w:ascii="Times New Roman" w:eastAsia="Calibri" w:hAnsi="Times New Roman" w:cs="Times New Roman"/>
          <w:sz w:val="24"/>
          <w:szCs w:val="24"/>
        </w:rPr>
        <w:t xml:space="preserve">. </w:t>
      </w:r>
      <w:r>
        <w:rPr>
          <w:rFonts w:ascii="Times New Roman" w:hAnsi="Times New Roman" w:cs="Times New Roman"/>
          <w:sz w:val="24"/>
          <w:szCs w:val="24"/>
        </w:rPr>
        <w:t>Strumskis</w:t>
      </w:r>
      <w:r w:rsidRPr="001820F6">
        <w:rPr>
          <w:rFonts w:ascii="Times New Roman" w:eastAsia="Calibri" w:hAnsi="Times New Roman" w:cs="Times New Roman"/>
          <w:sz w:val="24"/>
          <w:szCs w:val="24"/>
        </w:rPr>
        <w:t xml:space="preserve">. – Vilnius: Mykolo Romerio universitetas, Ekonomikos ir finansų valdymo fakultetas, </w:t>
      </w:r>
      <w:r>
        <w:rPr>
          <w:rFonts w:ascii="Times New Roman" w:hAnsi="Times New Roman" w:cs="Times New Roman"/>
          <w:sz w:val="24"/>
          <w:szCs w:val="24"/>
        </w:rPr>
        <w:t>finansų ir mokesčių</w:t>
      </w:r>
      <w:r w:rsidRPr="001820F6">
        <w:rPr>
          <w:rFonts w:ascii="Times New Roman" w:eastAsia="Calibri" w:hAnsi="Times New Roman" w:cs="Times New Roman"/>
          <w:sz w:val="24"/>
          <w:szCs w:val="24"/>
        </w:rPr>
        <w:t xml:space="preserve"> katedra, </w:t>
      </w:r>
      <w:r>
        <w:rPr>
          <w:rFonts w:ascii="Times New Roman" w:hAnsi="Times New Roman" w:cs="Times New Roman"/>
          <w:sz w:val="24"/>
          <w:szCs w:val="24"/>
        </w:rPr>
        <w:t>2013</w:t>
      </w:r>
      <w:r w:rsidRPr="001820F6">
        <w:rPr>
          <w:rFonts w:ascii="Times New Roman" w:eastAsia="Calibri" w:hAnsi="Times New Roman" w:cs="Times New Roman"/>
          <w:sz w:val="24"/>
          <w:szCs w:val="24"/>
        </w:rPr>
        <w:t xml:space="preserve">. – </w:t>
      </w:r>
      <w:r w:rsidRPr="00373521">
        <w:rPr>
          <w:rFonts w:ascii="Times New Roman" w:eastAsia="Calibri" w:hAnsi="Times New Roman" w:cs="Times New Roman"/>
          <w:sz w:val="24"/>
          <w:szCs w:val="24"/>
        </w:rPr>
        <w:t>71 p.</w:t>
      </w:r>
    </w:p>
    <w:p w14:paraId="152EE338" w14:textId="77777777" w:rsidR="001C7E72" w:rsidRDefault="001C7E72" w:rsidP="00725FC7">
      <w:pPr>
        <w:tabs>
          <w:tab w:val="left" w:pos="0"/>
        </w:tabs>
        <w:spacing w:after="0" w:line="360" w:lineRule="auto"/>
        <w:ind w:firstLine="567"/>
        <w:jc w:val="both"/>
        <w:rPr>
          <w:rFonts w:ascii="Times New Roman" w:hAnsi="Times New Roman" w:cs="Times New Roman"/>
          <w:b/>
          <w:sz w:val="24"/>
          <w:szCs w:val="24"/>
        </w:rPr>
      </w:pPr>
    </w:p>
    <w:p w14:paraId="42CFA692" w14:textId="77777777" w:rsidR="001C7E72" w:rsidRPr="00E2302E" w:rsidRDefault="001C7E72" w:rsidP="00725FC7">
      <w:pPr>
        <w:pStyle w:val="Heading1"/>
        <w:spacing w:before="0" w:line="360" w:lineRule="auto"/>
        <w:jc w:val="center"/>
        <w:rPr>
          <w:b w:val="0"/>
        </w:rPr>
      </w:pPr>
      <w:bookmarkStart w:id="143" w:name="_Toc353730669"/>
      <w:r w:rsidRPr="00E2302E">
        <w:rPr>
          <w:rStyle w:val="1antChar"/>
          <w:rFonts w:eastAsiaTheme="majorEastAsia"/>
          <w:b/>
          <w:color w:val="auto"/>
        </w:rPr>
        <w:t>SANTRAUKA</w:t>
      </w:r>
      <w:bookmarkEnd w:id="143"/>
    </w:p>
    <w:p w14:paraId="333616F7" w14:textId="77777777" w:rsidR="001C7E72" w:rsidRDefault="001C7E72" w:rsidP="00725FC7">
      <w:pPr>
        <w:tabs>
          <w:tab w:val="left" w:pos="0"/>
        </w:tabs>
        <w:spacing w:after="0" w:line="360" w:lineRule="auto"/>
        <w:ind w:firstLine="567"/>
        <w:rPr>
          <w:rFonts w:ascii="Times New Roman" w:hAnsi="Times New Roman" w:cs="Times New Roman"/>
          <w:sz w:val="24"/>
          <w:szCs w:val="24"/>
        </w:rPr>
      </w:pPr>
    </w:p>
    <w:p w14:paraId="3D1BD919" w14:textId="77777777" w:rsidR="001C7E72" w:rsidRPr="00D81EB3" w:rsidRDefault="001C7E72" w:rsidP="00725FC7">
      <w:pPr>
        <w:tabs>
          <w:tab w:val="left" w:pos="0"/>
        </w:tabs>
        <w:spacing w:after="0" w:line="360" w:lineRule="auto"/>
        <w:ind w:firstLine="567"/>
        <w:jc w:val="both"/>
        <w:rPr>
          <w:rFonts w:ascii="Times New Roman" w:hAnsi="Times New Roman" w:cs="Times New Roman"/>
          <w:sz w:val="24"/>
          <w:szCs w:val="24"/>
        </w:rPr>
      </w:pPr>
      <w:r w:rsidRPr="00D81EB3">
        <w:rPr>
          <w:rFonts w:ascii="Times New Roman" w:hAnsi="Times New Roman" w:cs="Times New Roman"/>
          <w:sz w:val="24"/>
          <w:szCs w:val="24"/>
        </w:rPr>
        <w:t xml:space="preserve">Finansų valdymo magistro baigiamojo darbo tema „Biržoje kotiruojamų Lietuvos įmonių likvidumo dinamika ir perspektyvos“ yra itin aktuali esant šiandieninei ekonominei situacijai Lietuvoje, nes likvidumo valdymas yra būtina sąlyga įmonių veiklos tęstinumui ir sėkmingai plėtrai. </w:t>
      </w:r>
      <w:r w:rsidRPr="00D81EB3">
        <w:rPr>
          <w:rFonts w:ascii="Times New Roman" w:eastAsia="Calibri" w:hAnsi="Times New Roman" w:cs="Times New Roman"/>
          <w:sz w:val="24"/>
          <w:szCs w:val="24"/>
        </w:rPr>
        <w:t>Likvidumo vertinimo praktikos analizė Lietuvoje rodo, kad yra nemažai metodinių ir praktinių problemų, siekiant įvertinti įmonių likvidumą. Vertinimai atliekami naudojant tradicinius rodiklius, nors likvidumo vertinimas yra sudėtingas procesas ir norint tiksliai bei teisingai įvertinti esamą padėtį, nepakanka naudoti tik tradicinius rodiklius, būtina sudaryti rodiklių sistemą. Vertinant biržoje kotiruojamų įmonių likvidumo dinamiką bandoma atspindėti bendras rinkos tendencijas.</w:t>
      </w:r>
    </w:p>
    <w:p w14:paraId="706465FA" w14:textId="77777777" w:rsidR="001C7E72" w:rsidRPr="00D81EB3" w:rsidRDefault="001C7E72" w:rsidP="001C7E72">
      <w:pPr>
        <w:tabs>
          <w:tab w:val="left" w:pos="0"/>
        </w:tabs>
        <w:spacing w:after="0" w:line="360" w:lineRule="auto"/>
        <w:ind w:firstLine="567"/>
        <w:jc w:val="both"/>
        <w:rPr>
          <w:rFonts w:ascii="Times New Roman" w:hAnsi="Times New Roman" w:cs="Times New Roman"/>
          <w:sz w:val="24"/>
          <w:szCs w:val="24"/>
        </w:rPr>
      </w:pPr>
      <w:r w:rsidRPr="00D81EB3">
        <w:rPr>
          <w:rFonts w:ascii="Times New Roman" w:hAnsi="Times New Roman" w:cs="Times New Roman"/>
          <w:sz w:val="24"/>
          <w:szCs w:val="24"/>
        </w:rPr>
        <w:t>Tyrimo problemą apibūdina klausimai:</w:t>
      </w:r>
    </w:p>
    <w:p w14:paraId="56A9161D" w14:textId="77777777" w:rsidR="001C7E72" w:rsidRPr="00D81EB3" w:rsidRDefault="001C7E72" w:rsidP="00447752">
      <w:pPr>
        <w:pStyle w:val="ListParagraph"/>
        <w:numPr>
          <w:ilvl w:val="0"/>
          <w:numId w:val="24"/>
        </w:numPr>
        <w:tabs>
          <w:tab w:val="left" w:pos="0"/>
        </w:tabs>
        <w:spacing w:after="0" w:line="360" w:lineRule="auto"/>
        <w:ind w:left="993" w:hanging="426"/>
        <w:jc w:val="both"/>
        <w:rPr>
          <w:rFonts w:ascii="Times New Roman" w:hAnsi="Times New Roman" w:cs="Times New Roman"/>
          <w:sz w:val="24"/>
          <w:szCs w:val="24"/>
        </w:rPr>
      </w:pPr>
      <w:r w:rsidRPr="00D81EB3">
        <w:rPr>
          <w:rFonts w:ascii="Times New Roman" w:hAnsi="Times New Roman" w:cs="Times New Roman"/>
          <w:sz w:val="24"/>
          <w:szCs w:val="24"/>
        </w:rPr>
        <w:t>Ar aiški likvidumo vertinimo bei valdymo sistema ir ar pakankamai dėmesio skiriama įmonių likvidumui?</w:t>
      </w:r>
    </w:p>
    <w:p w14:paraId="2FC23EC3" w14:textId="77777777" w:rsidR="001C7E72" w:rsidRPr="00D81EB3" w:rsidRDefault="001C7E72" w:rsidP="00447752">
      <w:pPr>
        <w:pStyle w:val="ListParagraph"/>
        <w:numPr>
          <w:ilvl w:val="0"/>
          <w:numId w:val="24"/>
        </w:numPr>
        <w:tabs>
          <w:tab w:val="left" w:pos="0"/>
        </w:tabs>
        <w:spacing w:after="0" w:line="360" w:lineRule="auto"/>
        <w:ind w:left="993" w:hanging="426"/>
        <w:jc w:val="both"/>
        <w:rPr>
          <w:rFonts w:ascii="Times New Roman" w:hAnsi="Times New Roman" w:cs="Times New Roman"/>
          <w:sz w:val="24"/>
          <w:szCs w:val="24"/>
        </w:rPr>
      </w:pPr>
      <w:r w:rsidRPr="00D81EB3">
        <w:rPr>
          <w:rFonts w:ascii="Times New Roman" w:hAnsi="Times New Roman" w:cs="Times New Roman"/>
          <w:sz w:val="24"/>
          <w:szCs w:val="24"/>
        </w:rPr>
        <w:t>Kokie veiksniai, ekonominiame kontekste, riboja</w:t>
      </w:r>
      <w:r>
        <w:rPr>
          <w:rFonts w:ascii="Times New Roman" w:hAnsi="Times New Roman" w:cs="Times New Roman"/>
          <w:sz w:val="24"/>
          <w:szCs w:val="24"/>
        </w:rPr>
        <w:t xml:space="preserve"> likvidumo valdymo efektyvumą?</w:t>
      </w:r>
    </w:p>
    <w:p w14:paraId="49EE8BB7" w14:textId="77777777" w:rsidR="001C7E72" w:rsidRPr="00D81EB3" w:rsidRDefault="001C7E72" w:rsidP="001C7E72">
      <w:pPr>
        <w:tabs>
          <w:tab w:val="left" w:pos="0"/>
        </w:tabs>
        <w:spacing w:after="0" w:line="360" w:lineRule="auto"/>
        <w:ind w:firstLine="567"/>
        <w:jc w:val="both"/>
        <w:rPr>
          <w:rFonts w:ascii="Times New Roman" w:hAnsi="Times New Roman" w:cs="Times New Roman"/>
          <w:sz w:val="24"/>
          <w:szCs w:val="24"/>
        </w:rPr>
      </w:pPr>
      <w:r w:rsidRPr="00D81EB3">
        <w:rPr>
          <w:rFonts w:ascii="Times New Roman" w:hAnsi="Times New Roman" w:cs="Times New Roman"/>
          <w:sz w:val="24"/>
          <w:szCs w:val="24"/>
        </w:rPr>
        <w:t>Tyrimo objektas – biržoje kotiruojamų Lietuvos įmonių likvidumas.</w:t>
      </w:r>
    </w:p>
    <w:p w14:paraId="5F72D341" w14:textId="77777777" w:rsidR="001C7E72" w:rsidRPr="00D81EB3" w:rsidRDefault="001C7E72" w:rsidP="001C7E72">
      <w:pPr>
        <w:tabs>
          <w:tab w:val="left" w:pos="0"/>
        </w:tabs>
        <w:spacing w:after="0" w:line="360" w:lineRule="auto"/>
        <w:ind w:firstLine="567"/>
        <w:jc w:val="both"/>
        <w:rPr>
          <w:rFonts w:ascii="Times New Roman" w:eastAsia="Calibri" w:hAnsi="Times New Roman" w:cs="Times New Roman"/>
          <w:sz w:val="24"/>
          <w:szCs w:val="24"/>
        </w:rPr>
      </w:pPr>
      <w:r w:rsidRPr="00D81EB3">
        <w:rPr>
          <w:rFonts w:ascii="Times New Roman" w:hAnsi="Times New Roman" w:cs="Times New Roman"/>
          <w:sz w:val="24"/>
          <w:szCs w:val="24"/>
        </w:rPr>
        <w:t xml:space="preserve">Tyrimo tikslas - </w:t>
      </w:r>
      <w:r w:rsidRPr="00D81EB3">
        <w:rPr>
          <w:rFonts w:ascii="Times New Roman" w:eastAsia="Calibri" w:hAnsi="Times New Roman" w:cs="Times New Roman"/>
          <w:sz w:val="24"/>
          <w:szCs w:val="24"/>
        </w:rPr>
        <w:t>įvertinti biržoje kotiruojamų įmonių likvidumo dinamiką ir perspektyvas, nustatyti veiksnius, labiausiai ribojančius likvidumo valdymo efektyvumą.</w:t>
      </w:r>
    </w:p>
    <w:p w14:paraId="531F5468" w14:textId="77777777" w:rsidR="001C7E72" w:rsidRPr="00D81EB3" w:rsidRDefault="001C7E72" w:rsidP="001C7E72">
      <w:pPr>
        <w:tabs>
          <w:tab w:val="left" w:pos="0"/>
          <w:tab w:val="left" w:pos="567"/>
        </w:tabs>
        <w:spacing w:after="0" w:line="360" w:lineRule="auto"/>
        <w:ind w:firstLine="567"/>
        <w:jc w:val="both"/>
        <w:rPr>
          <w:rFonts w:ascii="Times New Roman" w:eastAsia="Calibri" w:hAnsi="Times New Roman" w:cs="Times New Roman"/>
          <w:sz w:val="24"/>
          <w:szCs w:val="24"/>
        </w:rPr>
      </w:pPr>
      <w:r w:rsidRPr="00D81EB3">
        <w:rPr>
          <w:rFonts w:ascii="Times New Roman" w:eastAsia="Calibri" w:hAnsi="Times New Roman" w:cs="Times New Roman"/>
          <w:sz w:val="24"/>
          <w:szCs w:val="24"/>
        </w:rPr>
        <w:t>Tyrimo tikslui pasiekti suformuoti šie uždaviniai: remiantis Lietuvos ir užsienio autorių moksliniais darbais, pateikti įmonių likvidumo teorinius pagrindus; išanalizuoti įmonių likvidumo rodiklius bei paregti ir pagrįsti įmonių likvidumo dinamikos ir perspektyvų vertinimo metodologiją; įvertinti biržoje kotiruojamų Lietuvos įmonių likvidumo dinamiką ir perspektyvas; nustatyti veiksnius ribojančius likvidumo valdymo efektyvumą; apibendrinti tyrimo rezultatus ir pateikti siūlymus bei rekomendacijas dėl likvidumo vertinimo svarbos įmonių veiklai.</w:t>
      </w:r>
    </w:p>
    <w:p w14:paraId="73F5F3EB" w14:textId="77777777" w:rsidR="001C7E72" w:rsidRPr="00D81EB3" w:rsidRDefault="001C7E72" w:rsidP="001C7E72">
      <w:pPr>
        <w:tabs>
          <w:tab w:val="left" w:pos="0"/>
          <w:tab w:val="left" w:pos="567"/>
        </w:tabs>
        <w:spacing w:after="0" w:line="360" w:lineRule="auto"/>
        <w:ind w:firstLine="567"/>
        <w:jc w:val="both"/>
        <w:rPr>
          <w:rFonts w:ascii="Times New Roman" w:hAnsi="Times New Roman" w:cs="Times New Roman"/>
          <w:sz w:val="24"/>
          <w:szCs w:val="24"/>
        </w:rPr>
      </w:pPr>
      <w:r w:rsidRPr="00D81EB3">
        <w:rPr>
          <w:rFonts w:ascii="Times New Roman" w:eastAsia="Calibri" w:hAnsi="Times New Roman" w:cs="Times New Roman"/>
          <w:sz w:val="24"/>
          <w:szCs w:val="24"/>
        </w:rPr>
        <w:t xml:space="preserve">Darbe naudojami tyrimo metodai: </w:t>
      </w:r>
      <w:r w:rsidRPr="00D81EB3">
        <w:rPr>
          <w:rFonts w:ascii="Times New Roman" w:hAnsi="Times New Roman" w:cs="Times New Roman"/>
          <w:sz w:val="24"/>
          <w:szCs w:val="24"/>
        </w:rPr>
        <w:t xml:space="preserve">mokslinės literatūros, statistinių duomenų analizė, apibendrinimo, praktinių duomenų grupavimo metodai. Empirinėje darbo dalyje naudojami horizontaliosios bei santykinių rodiklių analizės metodai, ekspertinio vertinimo metodas. </w:t>
      </w:r>
    </w:p>
    <w:p w14:paraId="3D9B6BEB" w14:textId="77777777" w:rsidR="001C7E72" w:rsidRPr="00D81EB3" w:rsidRDefault="001C7E72" w:rsidP="001C7E72">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R</w:t>
      </w:r>
      <w:r w:rsidRPr="00D81EB3">
        <w:rPr>
          <w:rFonts w:ascii="Times New Roman" w:hAnsi="Times New Roman" w:cs="Times New Roman"/>
          <w:sz w:val="24"/>
          <w:szCs w:val="24"/>
        </w:rPr>
        <w:t>ezultatai:</w:t>
      </w:r>
      <w:r>
        <w:t xml:space="preserve"> </w:t>
      </w:r>
      <w:r w:rsidRPr="00D81EB3">
        <w:rPr>
          <w:rFonts w:ascii="Times New Roman" w:hAnsi="Times New Roman" w:cs="Times New Roman"/>
          <w:sz w:val="24"/>
          <w:szCs w:val="24"/>
        </w:rPr>
        <w:t>atlikus biržoje kotiruojamų Lietuvos įmonių likvidumo dinamikos ir perspektyvų vertinimą nustatyta, kad didelė dalis įmonių turi problemų su likvidumo valdymu ir netgi pusei iš jų artimiausios perspektyvos neigiamos. Iškelta hipotezė H</w:t>
      </w:r>
      <w:r w:rsidRPr="00D81EB3">
        <w:rPr>
          <w:rFonts w:ascii="Times New Roman" w:hAnsi="Times New Roman" w:cs="Times New Roman"/>
          <w:sz w:val="24"/>
          <w:szCs w:val="24"/>
          <w:vertAlign w:val="subscript"/>
        </w:rPr>
        <w:t>1</w:t>
      </w:r>
      <w:r w:rsidRPr="00D81EB3">
        <w:rPr>
          <w:rFonts w:ascii="Times New Roman" w:hAnsi="Times New Roman" w:cs="Times New Roman"/>
          <w:sz w:val="24"/>
          <w:szCs w:val="24"/>
        </w:rPr>
        <w:t xml:space="preserve">: </w:t>
      </w:r>
      <w:r w:rsidRPr="00D81EB3">
        <w:rPr>
          <w:rFonts w:ascii="Times New Roman" w:eastAsia="Calibri" w:hAnsi="Times New Roman" w:cs="Times New Roman"/>
          <w:sz w:val="24"/>
          <w:szCs w:val="24"/>
        </w:rPr>
        <w:t>Biržoje kotiruojamų</w:t>
      </w:r>
      <w:r w:rsidR="00D96DE7">
        <w:rPr>
          <w:rFonts w:ascii="Times New Roman" w:eastAsia="Calibri" w:hAnsi="Times New Roman" w:cs="Times New Roman"/>
          <w:sz w:val="24"/>
          <w:szCs w:val="24"/>
        </w:rPr>
        <w:t xml:space="preserve"> </w:t>
      </w:r>
      <w:r w:rsidR="00D96DE7" w:rsidRPr="00D81EB3">
        <w:rPr>
          <w:rFonts w:ascii="Times New Roman" w:eastAsia="Calibri" w:hAnsi="Times New Roman" w:cs="Times New Roman"/>
          <w:sz w:val="24"/>
          <w:szCs w:val="24"/>
        </w:rPr>
        <w:t>Lietuvos</w:t>
      </w:r>
      <w:r w:rsidRPr="00D81EB3">
        <w:rPr>
          <w:rFonts w:ascii="Times New Roman" w:eastAsia="Calibri" w:hAnsi="Times New Roman" w:cs="Times New Roman"/>
          <w:sz w:val="24"/>
          <w:szCs w:val="24"/>
        </w:rPr>
        <w:t xml:space="preserve"> įmonių likvidumas 2008-2012 m. gerėjo, atmesta. Ekspertinio vertinimo pagalba nustatyta, kad labiausiai </w:t>
      </w:r>
      <w:r w:rsidRPr="00D81EB3">
        <w:rPr>
          <w:rFonts w:ascii="Times New Roman" w:eastAsia="Calibri" w:hAnsi="Times New Roman" w:cs="Times New Roman"/>
          <w:sz w:val="24"/>
          <w:szCs w:val="24"/>
        </w:rPr>
        <w:lastRenderedPageBreak/>
        <w:t>efektyvų likvidumo valdymą riboja pramonės šaka ir ekonominė padėtis. Hipotezė jog didžiausią įtaką turi neaiški vertinimo sistema taip pat atmesta.</w:t>
      </w:r>
    </w:p>
    <w:p w14:paraId="0E87DF6E" w14:textId="77777777" w:rsidR="001C7E72" w:rsidRPr="00D81EB3" w:rsidRDefault="001C7E72" w:rsidP="001C7E72">
      <w:pPr>
        <w:spacing w:after="0" w:line="360" w:lineRule="auto"/>
        <w:ind w:firstLine="567"/>
        <w:jc w:val="both"/>
        <w:rPr>
          <w:rFonts w:ascii="Times New Roman" w:eastAsia="Calibri" w:hAnsi="Times New Roman" w:cs="Times New Roman"/>
          <w:sz w:val="24"/>
          <w:szCs w:val="24"/>
        </w:rPr>
      </w:pPr>
      <w:r w:rsidRPr="00D81EB3">
        <w:rPr>
          <w:rFonts w:ascii="Times New Roman" w:eastAsia="Calibri" w:hAnsi="Times New Roman" w:cs="Times New Roman"/>
          <w:sz w:val="24"/>
          <w:szCs w:val="24"/>
        </w:rPr>
        <w:t xml:space="preserve">Darbo tyrimai ir išvados aktualūs visų verslo sektoriuje veikiančių subjektų vadovams, kreditoriams, teikiantiems paskolas įmonėms, taip pat investuotojams, vertinant kur investuoti ir ar konkretaus objekto rizikos lygis atitinka planuojamą gauti pelningumą. </w:t>
      </w:r>
      <w:r>
        <w:rPr>
          <w:rFonts w:ascii="Times New Roman" w:eastAsia="Calibri" w:hAnsi="Times New Roman" w:cs="Times New Roman"/>
          <w:sz w:val="24"/>
          <w:szCs w:val="24"/>
        </w:rPr>
        <w:t>R</w:t>
      </w:r>
      <w:r w:rsidRPr="00D81EB3">
        <w:rPr>
          <w:rFonts w:ascii="Times New Roman" w:eastAsia="Calibri" w:hAnsi="Times New Roman" w:cs="Times New Roman"/>
          <w:sz w:val="24"/>
          <w:szCs w:val="24"/>
        </w:rPr>
        <w:t>ezultatai galėtų būti panaudoti kuriant išsamią likvidumo vertinimo sistemą.</w:t>
      </w:r>
    </w:p>
    <w:p w14:paraId="0D933643"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63955DC3"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743AEF3B"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13F8B222"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46D67407"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2C2E1ACB"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7FC6A6F3"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02FFA3E1"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243E9BEC"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10F07485" w14:textId="77777777" w:rsidR="00846FBB" w:rsidRDefault="00846FBB" w:rsidP="002F46A7">
      <w:pPr>
        <w:tabs>
          <w:tab w:val="left" w:pos="0"/>
        </w:tabs>
        <w:spacing w:after="0" w:line="360" w:lineRule="auto"/>
        <w:ind w:firstLine="567"/>
        <w:jc w:val="right"/>
        <w:rPr>
          <w:rFonts w:ascii="Times New Roman" w:hAnsi="Times New Roman" w:cs="Times New Roman"/>
          <w:b/>
          <w:sz w:val="24"/>
          <w:szCs w:val="24"/>
        </w:rPr>
      </w:pPr>
    </w:p>
    <w:p w14:paraId="73B2DD3E" w14:textId="77777777" w:rsidR="00846FBB" w:rsidRDefault="00846FBB" w:rsidP="000F7986">
      <w:pPr>
        <w:tabs>
          <w:tab w:val="left" w:pos="0"/>
        </w:tabs>
        <w:spacing w:after="0" w:line="360" w:lineRule="auto"/>
        <w:ind w:firstLine="567"/>
        <w:jc w:val="center"/>
        <w:rPr>
          <w:rFonts w:ascii="Times New Roman" w:hAnsi="Times New Roman" w:cs="Times New Roman"/>
          <w:b/>
          <w:sz w:val="24"/>
          <w:szCs w:val="24"/>
        </w:rPr>
      </w:pPr>
    </w:p>
    <w:p w14:paraId="2FDE85F1"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06C5301E"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55D39FE7"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32AA32D1"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466C43DB"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427410C9"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79B4BBE5"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259927F8"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7F9F1E98"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1665B4B1"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56D1AD5C"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44F49211"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75946260"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588EF2A9"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7F002BE9" w14:textId="77777777" w:rsidR="000F7986" w:rsidRDefault="000F7986" w:rsidP="000F7986">
      <w:pPr>
        <w:tabs>
          <w:tab w:val="left" w:pos="0"/>
        </w:tabs>
        <w:spacing w:after="0" w:line="360" w:lineRule="auto"/>
        <w:ind w:firstLine="567"/>
        <w:jc w:val="center"/>
        <w:rPr>
          <w:rFonts w:ascii="Times New Roman" w:hAnsi="Times New Roman" w:cs="Times New Roman"/>
          <w:b/>
          <w:sz w:val="24"/>
          <w:szCs w:val="24"/>
        </w:rPr>
      </w:pPr>
    </w:p>
    <w:p w14:paraId="44A186C6" w14:textId="77777777" w:rsidR="00B32ABB" w:rsidRDefault="00B32ABB" w:rsidP="000F7986">
      <w:pPr>
        <w:tabs>
          <w:tab w:val="left" w:pos="0"/>
        </w:tabs>
        <w:spacing w:after="0" w:line="360" w:lineRule="auto"/>
        <w:ind w:firstLine="567"/>
        <w:jc w:val="center"/>
        <w:rPr>
          <w:rFonts w:ascii="Times New Roman" w:hAnsi="Times New Roman" w:cs="Times New Roman"/>
          <w:b/>
          <w:sz w:val="24"/>
          <w:szCs w:val="24"/>
        </w:rPr>
      </w:pPr>
    </w:p>
    <w:p w14:paraId="03BC40F6" w14:textId="77777777" w:rsidR="00B32ABB" w:rsidRDefault="00B32ABB" w:rsidP="000F7986">
      <w:pPr>
        <w:tabs>
          <w:tab w:val="left" w:pos="0"/>
        </w:tabs>
        <w:spacing w:after="0" w:line="360" w:lineRule="auto"/>
        <w:ind w:firstLine="567"/>
        <w:jc w:val="center"/>
        <w:rPr>
          <w:rFonts w:ascii="Times New Roman" w:hAnsi="Times New Roman" w:cs="Times New Roman"/>
          <w:b/>
          <w:sz w:val="24"/>
          <w:szCs w:val="24"/>
        </w:rPr>
      </w:pPr>
    </w:p>
    <w:p w14:paraId="6814C77A" w14:textId="77777777" w:rsidR="00B32ABB" w:rsidRDefault="00B32ABB" w:rsidP="000F7986">
      <w:pPr>
        <w:tabs>
          <w:tab w:val="left" w:pos="0"/>
        </w:tabs>
        <w:spacing w:after="0" w:line="360" w:lineRule="auto"/>
        <w:ind w:firstLine="567"/>
        <w:jc w:val="center"/>
        <w:rPr>
          <w:rFonts w:ascii="Times New Roman" w:hAnsi="Times New Roman" w:cs="Times New Roman"/>
          <w:b/>
          <w:sz w:val="24"/>
          <w:szCs w:val="24"/>
        </w:rPr>
      </w:pPr>
    </w:p>
    <w:p w14:paraId="0035704F" w14:textId="77777777" w:rsidR="00B32ABB" w:rsidRPr="00373521" w:rsidRDefault="00B32ABB" w:rsidP="00725FC7">
      <w:pPr>
        <w:tabs>
          <w:tab w:val="left" w:pos="540"/>
        </w:tabs>
        <w:spacing w:after="0" w:line="360" w:lineRule="auto"/>
        <w:ind w:firstLine="54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Verenius E. </w:t>
      </w:r>
      <w:r w:rsidRPr="00675205">
        <w:rPr>
          <w:rFonts w:ascii="Times New Roman" w:eastAsia="Calibri" w:hAnsi="Times New Roman" w:cs="Times New Roman"/>
          <w:sz w:val="24"/>
          <w:szCs w:val="24"/>
        </w:rPr>
        <w:t xml:space="preserve">The liquidity dynamics and </w:t>
      </w:r>
      <w:r>
        <w:rPr>
          <w:rFonts w:ascii="Times New Roman" w:eastAsia="Calibri" w:hAnsi="Times New Roman" w:cs="Times New Roman"/>
          <w:sz w:val="24"/>
          <w:szCs w:val="24"/>
        </w:rPr>
        <w:t>prospects</w:t>
      </w:r>
      <w:r w:rsidRPr="00675205">
        <w:rPr>
          <w:rFonts w:ascii="Times New Roman" w:eastAsia="Calibri" w:hAnsi="Times New Roman" w:cs="Times New Roman"/>
          <w:sz w:val="24"/>
          <w:szCs w:val="24"/>
        </w:rPr>
        <w:t xml:space="preserve"> of Lithuanian </w:t>
      </w:r>
      <w:r>
        <w:rPr>
          <w:rFonts w:ascii="Times New Roman" w:eastAsia="Calibri" w:hAnsi="Times New Roman" w:cs="Times New Roman"/>
          <w:sz w:val="24"/>
          <w:szCs w:val="24"/>
        </w:rPr>
        <w:t xml:space="preserve">companies </w:t>
      </w:r>
      <w:r w:rsidRPr="00675205">
        <w:rPr>
          <w:rFonts w:ascii="Times New Roman" w:eastAsia="Calibri" w:hAnsi="Times New Roman" w:cs="Times New Roman"/>
          <w:sz w:val="24"/>
          <w:szCs w:val="24"/>
        </w:rPr>
        <w:t xml:space="preserve">listed </w:t>
      </w:r>
      <w:r>
        <w:rPr>
          <w:rFonts w:ascii="Times New Roman" w:eastAsia="Calibri" w:hAnsi="Times New Roman" w:cs="Times New Roman"/>
          <w:sz w:val="24"/>
          <w:szCs w:val="24"/>
        </w:rPr>
        <w:t>on</w:t>
      </w:r>
      <w:r w:rsidRPr="00675205">
        <w:rPr>
          <w:rFonts w:ascii="Times New Roman" w:eastAsia="Calibri" w:hAnsi="Times New Roman" w:cs="Times New Roman"/>
          <w:sz w:val="24"/>
          <w:szCs w:val="24"/>
        </w:rPr>
        <w:t xml:space="preserve"> the stock exchange /</w:t>
      </w:r>
      <w:r>
        <w:rPr>
          <w:rFonts w:ascii="Times New Roman" w:eastAsia="Calibri" w:hAnsi="Times New Roman" w:cs="Times New Roman"/>
          <w:b/>
          <w:sz w:val="24"/>
          <w:szCs w:val="24"/>
        </w:rPr>
        <w:t xml:space="preserve"> </w:t>
      </w:r>
      <w:r>
        <w:rPr>
          <w:rFonts w:ascii="Times New Roman" w:hAnsi="Times New Roman" w:cs="Times New Roman"/>
          <w:sz w:val="24"/>
          <w:szCs w:val="24"/>
        </w:rPr>
        <w:t>Financial management master‘s thesis. Supervisor doc</w:t>
      </w:r>
      <w:r>
        <w:rPr>
          <w:rFonts w:ascii="Times New Roman" w:eastAsia="Calibri" w:hAnsi="Times New Roman" w:cs="Times New Roman"/>
          <w:sz w:val="24"/>
          <w:szCs w:val="24"/>
        </w:rPr>
        <w:t>.</w:t>
      </w:r>
      <w:r>
        <w:rPr>
          <w:rFonts w:ascii="Times New Roman" w:hAnsi="Times New Roman" w:cs="Times New Roman"/>
          <w:sz w:val="24"/>
          <w:szCs w:val="24"/>
        </w:rPr>
        <w:t xml:space="preserve"> dr. M</w:t>
      </w:r>
      <w:r>
        <w:rPr>
          <w:rFonts w:ascii="Times New Roman" w:eastAsia="Calibri" w:hAnsi="Times New Roman" w:cs="Times New Roman"/>
          <w:sz w:val="24"/>
          <w:szCs w:val="24"/>
        </w:rPr>
        <w:t xml:space="preserve">. </w:t>
      </w:r>
      <w:r>
        <w:rPr>
          <w:rFonts w:ascii="Times New Roman" w:hAnsi="Times New Roman" w:cs="Times New Roman"/>
          <w:sz w:val="24"/>
          <w:szCs w:val="24"/>
        </w:rPr>
        <w:t>Strumskis</w:t>
      </w:r>
      <w:r>
        <w:rPr>
          <w:rFonts w:ascii="Times New Roman" w:eastAsia="Calibri" w:hAnsi="Times New Roman" w:cs="Times New Roman"/>
          <w:sz w:val="24"/>
          <w:szCs w:val="24"/>
        </w:rPr>
        <w:t xml:space="preserve">. – Vilnius: Mykolas Romeris University, Faculty of Economics and Finance Management, Department of Finance and Taxes, </w:t>
      </w:r>
      <w:r>
        <w:rPr>
          <w:rFonts w:ascii="Times New Roman" w:hAnsi="Times New Roman" w:cs="Times New Roman"/>
          <w:sz w:val="24"/>
          <w:szCs w:val="24"/>
        </w:rPr>
        <w:t>2013</w:t>
      </w:r>
      <w:r>
        <w:rPr>
          <w:rFonts w:ascii="Times New Roman" w:eastAsia="Calibri" w:hAnsi="Times New Roman" w:cs="Times New Roman"/>
          <w:sz w:val="24"/>
          <w:szCs w:val="24"/>
        </w:rPr>
        <w:t xml:space="preserve">. – </w:t>
      </w:r>
      <w:r w:rsidRPr="00373521">
        <w:rPr>
          <w:rFonts w:ascii="Times New Roman" w:eastAsia="Calibri" w:hAnsi="Times New Roman" w:cs="Times New Roman"/>
          <w:sz w:val="24"/>
          <w:szCs w:val="24"/>
        </w:rPr>
        <w:t>71 p.</w:t>
      </w:r>
    </w:p>
    <w:p w14:paraId="1D224A23" w14:textId="77777777" w:rsidR="00B32ABB" w:rsidRDefault="00B32ABB" w:rsidP="00725FC7">
      <w:pPr>
        <w:tabs>
          <w:tab w:val="left" w:pos="0"/>
        </w:tabs>
        <w:spacing w:after="0" w:line="360" w:lineRule="auto"/>
        <w:ind w:firstLine="567"/>
        <w:jc w:val="center"/>
        <w:rPr>
          <w:rFonts w:ascii="Times New Roman" w:hAnsi="Times New Roman" w:cs="Times New Roman"/>
          <w:b/>
          <w:sz w:val="24"/>
          <w:szCs w:val="24"/>
        </w:rPr>
      </w:pPr>
    </w:p>
    <w:p w14:paraId="4782E679" w14:textId="77777777" w:rsidR="00B32ABB" w:rsidRPr="00E2302E" w:rsidRDefault="00B32ABB" w:rsidP="00725FC7">
      <w:pPr>
        <w:pStyle w:val="Heading1"/>
        <w:spacing w:before="0" w:line="360" w:lineRule="auto"/>
        <w:jc w:val="center"/>
        <w:rPr>
          <w:b w:val="0"/>
        </w:rPr>
      </w:pPr>
      <w:bookmarkStart w:id="144" w:name="_Toc353730670"/>
      <w:r w:rsidRPr="00E2302E">
        <w:rPr>
          <w:rStyle w:val="1antChar"/>
          <w:rFonts w:eastAsiaTheme="majorEastAsia"/>
          <w:b/>
          <w:color w:val="auto"/>
        </w:rPr>
        <w:t>SUMMARY</w:t>
      </w:r>
      <w:bookmarkEnd w:id="144"/>
    </w:p>
    <w:p w14:paraId="03D09C4F" w14:textId="77777777" w:rsidR="00B32ABB" w:rsidRDefault="00B32ABB" w:rsidP="00725FC7">
      <w:pPr>
        <w:tabs>
          <w:tab w:val="left" w:pos="0"/>
        </w:tabs>
        <w:spacing w:after="0" w:line="360" w:lineRule="auto"/>
        <w:ind w:firstLine="567"/>
        <w:jc w:val="center"/>
        <w:rPr>
          <w:rFonts w:ascii="Times New Roman" w:hAnsi="Times New Roman" w:cs="Times New Roman"/>
          <w:b/>
          <w:sz w:val="28"/>
          <w:szCs w:val="28"/>
        </w:rPr>
      </w:pPr>
    </w:p>
    <w:p w14:paraId="750928D6" w14:textId="77777777" w:rsidR="00F76157" w:rsidRPr="00261892" w:rsidRDefault="00F76157" w:rsidP="00725FC7">
      <w:pPr>
        <w:tabs>
          <w:tab w:val="left" w:pos="0"/>
          <w:tab w:val="left" w:pos="567"/>
        </w:tabs>
        <w:spacing w:after="0" w:line="360" w:lineRule="auto"/>
        <w:ind w:firstLine="567"/>
        <w:jc w:val="both"/>
        <w:rPr>
          <w:rFonts w:ascii="Times New Roman" w:hAnsi="Times New Roman" w:cs="Times New Roman"/>
          <w:sz w:val="24"/>
          <w:szCs w:val="24"/>
        </w:rPr>
      </w:pPr>
      <w:r w:rsidRPr="00261892">
        <w:rPr>
          <w:rFonts w:ascii="Times New Roman" w:hAnsi="Times New Roman" w:cs="Times New Roman"/>
          <w:sz w:val="24"/>
          <w:szCs w:val="24"/>
        </w:rPr>
        <w:t>Finan</w:t>
      </w:r>
      <w:r>
        <w:rPr>
          <w:rFonts w:ascii="Times New Roman" w:hAnsi="Times New Roman" w:cs="Times New Roman"/>
          <w:sz w:val="24"/>
          <w:szCs w:val="24"/>
        </w:rPr>
        <w:t>cial Management Master's thesis „</w:t>
      </w:r>
      <w:r w:rsidRPr="00261892">
        <w:rPr>
          <w:rFonts w:ascii="Times New Roman" w:eastAsia="Calibri" w:hAnsi="Times New Roman" w:cs="Times New Roman"/>
          <w:sz w:val="24"/>
          <w:szCs w:val="24"/>
        </w:rPr>
        <w:t>The liquidity dynamics and prospects of Lithuanian companies listed on the stock exchange</w:t>
      </w:r>
      <w:r>
        <w:rPr>
          <w:rFonts w:ascii="Times New Roman" w:eastAsia="Calibri" w:hAnsi="Times New Roman" w:cs="Times New Roman"/>
          <w:sz w:val="24"/>
          <w:szCs w:val="24"/>
        </w:rPr>
        <w:t>“</w:t>
      </w:r>
      <w:r w:rsidRPr="00261892">
        <w:rPr>
          <w:rFonts w:ascii="Times New Roman" w:hAnsi="Times New Roman" w:cs="Times New Roman"/>
          <w:sz w:val="24"/>
          <w:szCs w:val="24"/>
        </w:rPr>
        <w:t xml:space="preserve"> is especially relevant in today's economic situation in Lithuania, as the liquidity management is a necessary condition for the continuity of operations and successful development. The practice analysis of Lithuania liquidity assessment shows that there are a number of methodological and practical problems in order to evaluate the company's liquidity. Evaluations are carried out using only traditional indicators, even though liquidity is a complex process and in order to accurately and fairly assess the current situation is not sufficient to use only the traditional characteristics, it is necessary to establish a system of indicators. Evaluation of publicly quoted companies liquidity dynamics in an attempt to reflect the overall market trend.</w:t>
      </w:r>
    </w:p>
    <w:p w14:paraId="7B708509" w14:textId="77777777" w:rsidR="00F76157" w:rsidRPr="00261892" w:rsidRDefault="00F76157" w:rsidP="00F76157">
      <w:pPr>
        <w:tabs>
          <w:tab w:val="left" w:pos="0"/>
          <w:tab w:val="left" w:pos="567"/>
        </w:tabs>
        <w:spacing w:after="0" w:line="360" w:lineRule="auto"/>
        <w:ind w:firstLine="567"/>
        <w:jc w:val="both"/>
        <w:rPr>
          <w:rFonts w:ascii="Times New Roman" w:hAnsi="Times New Roman" w:cs="Times New Roman"/>
          <w:sz w:val="24"/>
          <w:szCs w:val="24"/>
        </w:rPr>
      </w:pPr>
      <w:r w:rsidRPr="00261892">
        <w:rPr>
          <w:rFonts w:ascii="Times New Roman" w:hAnsi="Times New Roman" w:cs="Times New Roman"/>
          <w:sz w:val="24"/>
          <w:szCs w:val="24"/>
        </w:rPr>
        <w:t>The problem of analysis describes below listed questiions:</w:t>
      </w:r>
    </w:p>
    <w:p w14:paraId="26ACAEAB" w14:textId="77777777" w:rsidR="00F76157" w:rsidRPr="00261892" w:rsidRDefault="00F76157" w:rsidP="00447752">
      <w:pPr>
        <w:pStyle w:val="ListParagraph"/>
        <w:numPr>
          <w:ilvl w:val="0"/>
          <w:numId w:val="25"/>
        </w:numPr>
        <w:tabs>
          <w:tab w:val="left" w:pos="0"/>
          <w:tab w:val="left" w:pos="567"/>
        </w:tabs>
        <w:spacing w:after="0" w:line="360" w:lineRule="auto"/>
        <w:jc w:val="both"/>
        <w:rPr>
          <w:rFonts w:ascii="Times New Roman" w:hAnsi="Times New Roman" w:cs="Times New Roman"/>
          <w:sz w:val="24"/>
          <w:szCs w:val="24"/>
        </w:rPr>
      </w:pPr>
      <w:r w:rsidRPr="00261892">
        <w:rPr>
          <w:rFonts w:ascii="Times New Roman" w:hAnsi="Times New Roman" w:cs="Times New Roman"/>
          <w:sz w:val="24"/>
          <w:szCs w:val="24"/>
        </w:rPr>
        <w:t>Is there clear evidence of liquidity assessment and management system, and whether enough attention is focussed to the company's liquidity?</w:t>
      </w:r>
    </w:p>
    <w:p w14:paraId="49B5AE76" w14:textId="77777777" w:rsidR="00F76157" w:rsidRPr="00261892" w:rsidRDefault="00F76157" w:rsidP="00447752">
      <w:pPr>
        <w:pStyle w:val="ListParagraph"/>
        <w:numPr>
          <w:ilvl w:val="0"/>
          <w:numId w:val="25"/>
        </w:numPr>
        <w:tabs>
          <w:tab w:val="left" w:pos="0"/>
          <w:tab w:val="left" w:pos="567"/>
        </w:tabs>
        <w:spacing w:after="0" w:line="360" w:lineRule="auto"/>
        <w:jc w:val="both"/>
        <w:rPr>
          <w:rFonts w:ascii="Times New Roman" w:hAnsi="Times New Roman" w:cs="Times New Roman"/>
          <w:sz w:val="24"/>
          <w:szCs w:val="24"/>
        </w:rPr>
      </w:pPr>
      <w:r w:rsidRPr="00261892">
        <w:rPr>
          <w:rFonts w:ascii="Times New Roman" w:hAnsi="Times New Roman" w:cs="Times New Roman"/>
          <w:sz w:val="24"/>
          <w:szCs w:val="24"/>
        </w:rPr>
        <w:t>What are the factors in an economic context, restrict liquidity management efficiency?</w:t>
      </w:r>
    </w:p>
    <w:p w14:paraId="59F2C4A0" w14:textId="77777777" w:rsidR="00F76157" w:rsidRPr="00261892" w:rsidRDefault="00F76157" w:rsidP="00F76157">
      <w:pPr>
        <w:tabs>
          <w:tab w:val="left" w:pos="0"/>
          <w:tab w:val="left" w:pos="567"/>
        </w:tabs>
        <w:spacing w:after="0" w:line="360" w:lineRule="auto"/>
        <w:ind w:firstLine="567"/>
        <w:jc w:val="both"/>
        <w:rPr>
          <w:rFonts w:ascii="Times New Roman" w:hAnsi="Times New Roman" w:cs="Times New Roman"/>
          <w:sz w:val="24"/>
          <w:szCs w:val="24"/>
        </w:rPr>
      </w:pPr>
      <w:r w:rsidRPr="00261892">
        <w:rPr>
          <w:rFonts w:ascii="Times New Roman" w:hAnsi="Times New Roman" w:cs="Times New Roman"/>
          <w:sz w:val="24"/>
          <w:szCs w:val="24"/>
        </w:rPr>
        <w:t>The object of investigation – the liquidity of Lithuanian companies listed in the stock exchange.</w:t>
      </w:r>
    </w:p>
    <w:p w14:paraId="516E0D35" w14:textId="77777777" w:rsidR="00F76157" w:rsidRPr="00261892" w:rsidRDefault="00F76157" w:rsidP="00F76157">
      <w:pPr>
        <w:tabs>
          <w:tab w:val="left" w:pos="0"/>
          <w:tab w:val="left" w:pos="567"/>
        </w:tabs>
        <w:spacing w:after="0" w:line="360" w:lineRule="auto"/>
        <w:ind w:firstLine="567"/>
        <w:jc w:val="both"/>
        <w:rPr>
          <w:rFonts w:ascii="Times New Roman" w:hAnsi="Times New Roman" w:cs="Times New Roman"/>
          <w:sz w:val="24"/>
          <w:szCs w:val="24"/>
        </w:rPr>
      </w:pPr>
      <w:r w:rsidRPr="00261892">
        <w:rPr>
          <w:rFonts w:ascii="Times New Roman" w:hAnsi="Times New Roman" w:cs="Times New Roman"/>
          <w:sz w:val="24"/>
          <w:szCs w:val="24"/>
        </w:rPr>
        <w:t>Objective of the study - to assess the liquidity dynamics and prospects of companies listed on the stock exchange and to identify the factors most limiting liquidity management efficiency.</w:t>
      </w:r>
    </w:p>
    <w:p w14:paraId="05FD975A" w14:textId="77777777" w:rsidR="00F76157" w:rsidRPr="00261892" w:rsidRDefault="00F76157" w:rsidP="00F76157">
      <w:pPr>
        <w:tabs>
          <w:tab w:val="left" w:pos="0"/>
          <w:tab w:val="left" w:pos="567"/>
        </w:tabs>
        <w:spacing w:after="0" w:line="360" w:lineRule="auto"/>
        <w:ind w:firstLine="567"/>
        <w:jc w:val="both"/>
        <w:rPr>
          <w:rFonts w:ascii="Times New Roman" w:hAnsi="Times New Roman" w:cs="Times New Roman"/>
          <w:sz w:val="24"/>
          <w:szCs w:val="24"/>
        </w:rPr>
      </w:pPr>
      <w:r w:rsidRPr="00261892">
        <w:rPr>
          <w:rFonts w:ascii="Times New Roman" w:eastAsia="Calibri" w:hAnsi="Times New Roman" w:cs="Times New Roman"/>
          <w:sz w:val="24"/>
          <w:szCs w:val="24"/>
        </w:rPr>
        <w:t>In order to achieve the objective of the research the following tasks are determined:</w:t>
      </w:r>
      <w:r w:rsidRPr="00261892">
        <w:rPr>
          <w:rFonts w:ascii="Times New Roman" w:hAnsi="Times New Roman" w:cs="Times New Roman"/>
          <w:sz w:val="24"/>
          <w:szCs w:val="24"/>
        </w:rPr>
        <w:t xml:space="preserve"> to provide theoretical framework of companies liquidity; to analyze corporate liquidity ratios and justify the methodology of corporate liquidity dynamics and prospective evaluation; to assess the liquidity dinamics and prospects of Lithuanian companies listed on the stock exchange; to identify the factors limiting the Liquidity management efficiency; to summarize the results and make suggestions. </w:t>
      </w:r>
    </w:p>
    <w:p w14:paraId="6CA41D27" w14:textId="77777777" w:rsidR="00F76157" w:rsidRPr="00261892" w:rsidRDefault="00F76157" w:rsidP="00F76157">
      <w:pPr>
        <w:tabs>
          <w:tab w:val="left" w:pos="0"/>
          <w:tab w:val="left" w:pos="567"/>
        </w:tabs>
        <w:spacing w:after="0" w:line="360" w:lineRule="auto"/>
        <w:ind w:firstLine="567"/>
        <w:jc w:val="both"/>
        <w:rPr>
          <w:rFonts w:ascii="Times New Roman" w:hAnsi="Times New Roman" w:cs="Times New Roman"/>
          <w:sz w:val="24"/>
          <w:szCs w:val="24"/>
        </w:rPr>
      </w:pPr>
      <w:r w:rsidRPr="00261892">
        <w:rPr>
          <w:rFonts w:ascii="Times New Roman" w:hAnsi="Times New Roman" w:cs="Times New Roman"/>
          <w:sz w:val="24"/>
          <w:szCs w:val="24"/>
        </w:rPr>
        <w:t xml:space="preserve">The </w:t>
      </w:r>
      <w:r w:rsidRPr="00261892">
        <w:rPr>
          <w:rFonts w:ascii="Times New Roman" w:eastAsia="Calibri" w:hAnsi="Times New Roman" w:cs="Times New Roman"/>
          <w:sz w:val="24"/>
          <w:szCs w:val="24"/>
        </w:rPr>
        <w:t xml:space="preserve">methods used in the paper: </w:t>
      </w:r>
      <w:r w:rsidRPr="00261892">
        <w:rPr>
          <w:rFonts w:ascii="Times New Roman" w:hAnsi="Times New Roman" w:cs="Times New Roman"/>
          <w:sz w:val="24"/>
          <w:szCs w:val="24"/>
        </w:rPr>
        <w:t>literature, statistical data analysis, practical data clustering method. The horizontal analysis, relative analysis and expert evaluation method is used in the empirical part of the paper.</w:t>
      </w:r>
    </w:p>
    <w:p w14:paraId="6EFF499E" w14:textId="77777777" w:rsidR="00F76157" w:rsidRPr="00261892" w:rsidRDefault="00F76157" w:rsidP="00F76157">
      <w:pPr>
        <w:tabs>
          <w:tab w:val="left" w:pos="0"/>
          <w:tab w:val="left" w:pos="567"/>
        </w:tabs>
        <w:spacing w:after="0" w:line="360" w:lineRule="auto"/>
        <w:ind w:firstLine="567"/>
        <w:jc w:val="both"/>
        <w:rPr>
          <w:rFonts w:ascii="Times New Roman" w:hAnsi="Times New Roman" w:cs="Times New Roman"/>
          <w:sz w:val="24"/>
          <w:szCs w:val="24"/>
        </w:rPr>
      </w:pPr>
      <w:r w:rsidRPr="00261892">
        <w:rPr>
          <w:rFonts w:ascii="Times New Roman" w:hAnsi="Times New Roman" w:cs="Times New Roman"/>
          <w:sz w:val="24"/>
          <w:szCs w:val="24"/>
        </w:rPr>
        <w:t>Results: The assessment of liquidity dinamics and perspectives of Lithuanian companies listed on the stock exchange found that large number of enterprises have problems with liquidity management and even the half of their short-term negative. Hypothesis H</w:t>
      </w:r>
      <w:r w:rsidRPr="00261892">
        <w:rPr>
          <w:rFonts w:ascii="Times New Roman" w:hAnsi="Times New Roman" w:cs="Times New Roman"/>
          <w:sz w:val="24"/>
          <w:szCs w:val="24"/>
          <w:vertAlign w:val="subscript"/>
        </w:rPr>
        <w:t>1</w:t>
      </w:r>
      <w:r w:rsidRPr="00261892">
        <w:rPr>
          <w:rFonts w:ascii="Times New Roman" w:hAnsi="Times New Roman" w:cs="Times New Roman"/>
          <w:sz w:val="24"/>
          <w:szCs w:val="24"/>
        </w:rPr>
        <w:t xml:space="preserve">: Stock Exchange listed companies of Lithuania liquidity 2008-2012. improved, declined. Identified with the help of expert </w:t>
      </w:r>
      <w:r w:rsidRPr="00261892">
        <w:rPr>
          <w:rFonts w:ascii="Times New Roman" w:hAnsi="Times New Roman" w:cs="Times New Roman"/>
          <w:sz w:val="24"/>
          <w:szCs w:val="24"/>
        </w:rPr>
        <w:lastRenderedPageBreak/>
        <w:t>assessment, the most effective liquidity management limits the industry, and the economic situation. The hypothesis that the greatest impact is unclear evaluation system also rejected.</w:t>
      </w:r>
    </w:p>
    <w:p w14:paraId="52B81454" w14:textId="77777777" w:rsidR="00F76157" w:rsidRPr="00261892" w:rsidRDefault="00F76157" w:rsidP="00F76157">
      <w:pPr>
        <w:tabs>
          <w:tab w:val="left" w:pos="0"/>
          <w:tab w:val="left" w:pos="567"/>
        </w:tabs>
        <w:spacing w:after="0" w:line="360" w:lineRule="auto"/>
        <w:ind w:firstLine="567"/>
        <w:jc w:val="both"/>
        <w:rPr>
          <w:rFonts w:ascii="Times New Roman" w:hAnsi="Times New Roman" w:cs="Times New Roman"/>
          <w:sz w:val="24"/>
          <w:szCs w:val="24"/>
        </w:rPr>
      </w:pPr>
      <w:r w:rsidRPr="00261892">
        <w:rPr>
          <w:rStyle w:val="hps"/>
          <w:rFonts w:ascii="Times New Roman" w:eastAsia="Calibri" w:hAnsi="Times New Roman" w:cs="Times New Roman"/>
          <w:sz w:val="24"/>
          <w:szCs w:val="24"/>
        </w:rPr>
        <w:t>The research</w:t>
      </w:r>
      <w:r w:rsidRPr="00261892">
        <w:rPr>
          <w:rFonts w:ascii="Times New Roman" w:eastAsia="Calibri" w:hAnsi="Times New Roman" w:cs="Times New Roman"/>
          <w:sz w:val="24"/>
          <w:szCs w:val="24"/>
        </w:rPr>
        <w:t xml:space="preserve"> </w:t>
      </w:r>
      <w:r w:rsidRPr="00261892">
        <w:rPr>
          <w:rStyle w:val="hps"/>
          <w:rFonts w:ascii="Times New Roman" w:eastAsia="Calibri" w:hAnsi="Times New Roman" w:cs="Times New Roman"/>
          <w:sz w:val="24"/>
          <w:szCs w:val="24"/>
        </w:rPr>
        <w:t>results</w:t>
      </w:r>
      <w:r w:rsidRPr="00261892">
        <w:rPr>
          <w:rFonts w:ascii="Times New Roman" w:eastAsia="Calibri" w:hAnsi="Times New Roman" w:cs="Times New Roman"/>
          <w:sz w:val="24"/>
          <w:szCs w:val="24"/>
        </w:rPr>
        <w:t xml:space="preserve"> </w:t>
      </w:r>
      <w:r w:rsidRPr="00261892">
        <w:rPr>
          <w:rStyle w:val="hps"/>
          <w:rFonts w:ascii="Times New Roman" w:eastAsia="Calibri" w:hAnsi="Times New Roman" w:cs="Times New Roman"/>
          <w:sz w:val="24"/>
          <w:szCs w:val="24"/>
        </w:rPr>
        <w:t>and</w:t>
      </w:r>
      <w:r w:rsidRPr="00261892">
        <w:rPr>
          <w:rFonts w:ascii="Times New Roman" w:eastAsia="Calibri" w:hAnsi="Times New Roman" w:cs="Times New Roman"/>
          <w:sz w:val="24"/>
          <w:szCs w:val="24"/>
        </w:rPr>
        <w:t xml:space="preserve"> </w:t>
      </w:r>
      <w:r w:rsidRPr="00261892">
        <w:rPr>
          <w:rStyle w:val="hps"/>
          <w:rFonts w:ascii="Times New Roman" w:eastAsia="Calibri" w:hAnsi="Times New Roman" w:cs="Times New Roman"/>
          <w:sz w:val="24"/>
          <w:szCs w:val="24"/>
        </w:rPr>
        <w:t>findings</w:t>
      </w:r>
      <w:r w:rsidRPr="00261892">
        <w:rPr>
          <w:rFonts w:ascii="Times New Roman" w:eastAsia="Calibri" w:hAnsi="Times New Roman" w:cs="Times New Roman"/>
          <w:sz w:val="24"/>
          <w:szCs w:val="24"/>
        </w:rPr>
        <w:t xml:space="preserve"> </w:t>
      </w:r>
      <w:r w:rsidRPr="00261892">
        <w:rPr>
          <w:rStyle w:val="hps"/>
          <w:rFonts w:ascii="Times New Roman" w:hAnsi="Times New Roman" w:cs="Times New Roman"/>
          <w:sz w:val="24"/>
          <w:szCs w:val="24"/>
        </w:rPr>
        <w:t>is relevant for all subjects, who acts in business area: managers, creditors, investors.</w:t>
      </w:r>
      <w:r w:rsidRPr="00261892">
        <w:rPr>
          <w:rFonts w:ascii="Times New Roman" w:hAnsi="Times New Roman" w:cs="Times New Roman"/>
          <w:sz w:val="24"/>
          <w:szCs w:val="24"/>
        </w:rPr>
        <w:t xml:space="preserve"> The results could be used to create a comprehensive system of assessing liquidity.</w:t>
      </w:r>
    </w:p>
    <w:p w14:paraId="7AF0C3F0"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0199BDD6"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021460BC"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62CFC34B"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57840605"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7EE7E360"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210AD9DB"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38546354"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18734CE8"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1A5A2D63"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108BDEEC"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60F3C0CD"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023853BD"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45F13647"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51BC199C"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382F6205"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0CD02652"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285ADCBA"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40D2833E"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6701B9C9" w14:textId="77777777" w:rsid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4841532C" w14:textId="77777777" w:rsidR="00B32ABB" w:rsidRPr="00B32ABB" w:rsidRDefault="00B32ABB" w:rsidP="000F7986">
      <w:pPr>
        <w:tabs>
          <w:tab w:val="left" w:pos="0"/>
        </w:tabs>
        <w:spacing w:after="0" w:line="360" w:lineRule="auto"/>
        <w:ind w:firstLine="567"/>
        <w:jc w:val="center"/>
        <w:rPr>
          <w:rFonts w:ascii="Times New Roman" w:hAnsi="Times New Roman" w:cs="Times New Roman"/>
          <w:sz w:val="24"/>
          <w:szCs w:val="24"/>
        </w:rPr>
      </w:pPr>
    </w:p>
    <w:p w14:paraId="0D20A231" w14:textId="77777777" w:rsidR="00B32ABB" w:rsidRDefault="00B32ABB" w:rsidP="000F7986">
      <w:pPr>
        <w:tabs>
          <w:tab w:val="left" w:pos="0"/>
        </w:tabs>
        <w:spacing w:after="0" w:line="360" w:lineRule="auto"/>
        <w:ind w:firstLine="567"/>
        <w:jc w:val="center"/>
        <w:rPr>
          <w:rFonts w:ascii="Times New Roman" w:hAnsi="Times New Roman" w:cs="Times New Roman"/>
          <w:b/>
          <w:sz w:val="24"/>
          <w:szCs w:val="24"/>
        </w:rPr>
      </w:pPr>
    </w:p>
    <w:p w14:paraId="37FAF829"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320F05E0"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05613912"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7DD72115"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411D0FA6"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12EE383C"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57F022F9"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327A87BE"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21B66356"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6D0D8F84"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3C479A6A"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21FB97DF"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4BFE04CD"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6B0B0E8D"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223A2E83"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2D1711A9"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690D5177"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3EFB309A"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45844CC7"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7F82370B" w14:textId="77777777" w:rsidR="00F76157" w:rsidRDefault="00F76157" w:rsidP="000F7986">
      <w:pPr>
        <w:tabs>
          <w:tab w:val="left" w:pos="0"/>
        </w:tabs>
        <w:spacing w:after="0" w:line="360" w:lineRule="auto"/>
        <w:ind w:firstLine="567"/>
        <w:jc w:val="center"/>
        <w:rPr>
          <w:rFonts w:ascii="Times New Roman" w:hAnsi="Times New Roman" w:cs="Times New Roman"/>
          <w:b/>
          <w:sz w:val="24"/>
          <w:szCs w:val="24"/>
        </w:rPr>
      </w:pPr>
    </w:p>
    <w:p w14:paraId="4186AF83" w14:textId="77777777" w:rsidR="000F7986" w:rsidRPr="00E2302E" w:rsidRDefault="000F7986" w:rsidP="00E2302E">
      <w:pPr>
        <w:pStyle w:val="Heading1"/>
        <w:spacing w:before="0" w:line="360" w:lineRule="auto"/>
        <w:jc w:val="center"/>
        <w:rPr>
          <w:b w:val="0"/>
        </w:rPr>
      </w:pPr>
      <w:bookmarkStart w:id="145" w:name="_Toc353730671"/>
      <w:r w:rsidRPr="00E2302E">
        <w:rPr>
          <w:rStyle w:val="1antChar"/>
          <w:rFonts w:eastAsiaTheme="majorEastAsia"/>
          <w:b/>
          <w:color w:val="auto"/>
        </w:rPr>
        <w:t>PRIEDAI</w:t>
      </w:r>
      <w:bookmarkEnd w:id="145"/>
    </w:p>
    <w:p w14:paraId="6707FAA5" w14:textId="77777777" w:rsidR="000F7986" w:rsidRPr="000F7986" w:rsidRDefault="000F7986" w:rsidP="000F7986">
      <w:pPr>
        <w:rPr>
          <w:rFonts w:ascii="Times New Roman" w:hAnsi="Times New Roman" w:cs="Times New Roman"/>
          <w:sz w:val="28"/>
          <w:szCs w:val="28"/>
        </w:rPr>
      </w:pPr>
    </w:p>
    <w:p w14:paraId="382785C7" w14:textId="77777777" w:rsidR="000F7986" w:rsidRPr="000F7986" w:rsidRDefault="000F7986" w:rsidP="000F7986">
      <w:pPr>
        <w:rPr>
          <w:rFonts w:ascii="Times New Roman" w:hAnsi="Times New Roman" w:cs="Times New Roman"/>
          <w:sz w:val="28"/>
          <w:szCs w:val="28"/>
        </w:rPr>
      </w:pPr>
    </w:p>
    <w:p w14:paraId="5F43E41B" w14:textId="77777777" w:rsidR="000F7986" w:rsidRPr="000F7986" w:rsidRDefault="000F7986" w:rsidP="000F7986">
      <w:pPr>
        <w:rPr>
          <w:rFonts w:ascii="Times New Roman" w:hAnsi="Times New Roman" w:cs="Times New Roman"/>
          <w:sz w:val="28"/>
          <w:szCs w:val="28"/>
        </w:rPr>
      </w:pPr>
    </w:p>
    <w:p w14:paraId="4A92BE38" w14:textId="77777777" w:rsidR="000F7986" w:rsidRPr="000F7986" w:rsidRDefault="000F7986" w:rsidP="000F7986">
      <w:pPr>
        <w:rPr>
          <w:rFonts w:ascii="Times New Roman" w:hAnsi="Times New Roman" w:cs="Times New Roman"/>
          <w:sz w:val="28"/>
          <w:szCs w:val="28"/>
        </w:rPr>
      </w:pPr>
    </w:p>
    <w:p w14:paraId="7A983F16" w14:textId="77777777" w:rsidR="000F7986" w:rsidRDefault="000F7986" w:rsidP="00C20E27">
      <w:pPr>
        <w:rPr>
          <w:rFonts w:ascii="Times New Roman" w:hAnsi="Times New Roman" w:cs="Times New Roman"/>
          <w:sz w:val="28"/>
          <w:szCs w:val="28"/>
        </w:rPr>
      </w:pPr>
    </w:p>
    <w:p w14:paraId="3DB9198A" w14:textId="77777777" w:rsidR="000F7986" w:rsidRDefault="000F7986" w:rsidP="000F7986">
      <w:pPr>
        <w:jc w:val="center"/>
        <w:rPr>
          <w:rFonts w:ascii="Times New Roman" w:hAnsi="Times New Roman" w:cs="Times New Roman"/>
          <w:sz w:val="28"/>
          <w:szCs w:val="28"/>
        </w:rPr>
      </w:pPr>
    </w:p>
    <w:p w14:paraId="0115A85D" w14:textId="77777777" w:rsidR="00262506" w:rsidRDefault="00262506" w:rsidP="000F7986">
      <w:pPr>
        <w:jc w:val="center"/>
        <w:rPr>
          <w:rFonts w:ascii="Times New Roman" w:hAnsi="Times New Roman" w:cs="Times New Roman"/>
          <w:sz w:val="28"/>
          <w:szCs w:val="28"/>
        </w:rPr>
      </w:pPr>
    </w:p>
    <w:p w14:paraId="36E8BA79" w14:textId="77777777" w:rsidR="00262506" w:rsidRDefault="00262506" w:rsidP="000F7986">
      <w:pPr>
        <w:jc w:val="center"/>
        <w:rPr>
          <w:rFonts w:ascii="Times New Roman" w:hAnsi="Times New Roman" w:cs="Times New Roman"/>
          <w:sz w:val="28"/>
          <w:szCs w:val="28"/>
        </w:rPr>
      </w:pPr>
    </w:p>
    <w:p w14:paraId="194680C3" w14:textId="77777777" w:rsidR="00262506" w:rsidRDefault="00262506" w:rsidP="000F7986">
      <w:pPr>
        <w:jc w:val="center"/>
        <w:rPr>
          <w:rFonts w:ascii="Times New Roman" w:hAnsi="Times New Roman" w:cs="Times New Roman"/>
          <w:sz w:val="28"/>
          <w:szCs w:val="28"/>
        </w:rPr>
      </w:pPr>
    </w:p>
    <w:p w14:paraId="40C67EC0" w14:textId="77777777" w:rsidR="00262506" w:rsidRDefault="00262506" w:rsidP="000F7986">
      <w:pPr>
        <w:jc w:val="center"/>
        <w:rPr>
          <w:rFonts w:ascii="Times New Roman" w:hAnsi="Times New Roman" w:cs="Times New Roman"/>
          <w:sz w:val="28"/>
          <w:szCs w:val="28"/>
        </w:rPr>
      </w:pPr>
    </w:p>
    <w:p w14:paraId="19F95149" w14:textId="77777777" w:rsidR="00262506" w:rsidRDefault="00262506" w:rsidP="000F7986">
      <w:pPr>
        <w:jc w:val="center"/>
        <w:rPr>
          <w:rFonts w:ascii="Times New Roman" w:hAnsi="Times New Roman" w:cs="Times New Roman"/>
          <w:sz w:val="28"/>
          <w:szCs w:val="28"/>
        </w:rPr>
      </w:pPr>
    </w:p>
    <w:p w14:paraId="0CB02694" w14:textId="77777777" w:rsidR="00262506" w:rsidRDefault="00262506" w:rsidP="000F7986">
      <w:pPr>
        <w:jc w:val="center"/>
        <w:rPr>
          <w:rFonts w:ascii="Times New Roman" w:hAnsi="Times New Roman" w:cs="Times New Roman"/>
          <w:sz w:val="28"/>
          <w:szCs w:val="28"/>
        </w:rPr>
      </w:pPr>
    </w:p>
    <w:p w14:paraId="5CC4B310" w14:textId="77777777" w:rsidR="00262506" w:rsidRDefault="00262506" w:rsidP="000F7986">
      <w:pPr>
        <w:jc w:val="center"/>
        <w:rPr>
          <w:rFonts w:ascii="Times New Roman" w:hAnsi="Times New Roman" w:cs="Times New Roman"/>
          <w:sz w:val="28"/>
          <w:szCs w:val="28"/>
        </w:rPr>
      </w:pPr>
    </w:p>
    <w:p w14:paraId="0116489B" w14:textId="77777777" w:rsidR="00F76157" w:rsidRDefault="00F76157" w:rsidP="000F7986">
      <w:pPr>
        <w:jc w:val="center"/>
        <w:rPr>
          <w:rFonts w:ascii="Times New Roman" w:hAnsi="Times New Roman" w:cs="Times New Roman"/>
          <w:sz w:val="28"/>
          <w:szCs w:val="28"/>
        </w:rPr>
      </w:pPr>
    </w:p>
    <w:p w14:paraId="4EEC02FA" w14:textId="77777777" w:rsidR="00F76157" w:rsidRDefault="00F76157" w:rsidP="000F7986">
      <w:pPr>
        <w:jc w:val="center"/>
        <w:rPr>
          <w:rFonts w:ascii="Times New Roman" w:hAnsi="Times New Roman" w:cs="Times New Roman"/>
          <w:sz w:val="28"/>
          <w:szCs w:val="28"/>
        </w:rPr>
      </w:pPr>
    </w:p>
    <w:p w14:paraId="4F3B1227" w14:textId="77777777" w:rsidR="00F76157" w:rsidRDefault="00F76157" w:rsidP="000F7986">
      <w:pPr>
        <w:jc w:val="center"/>
        <w:rPr>
          <w:rFonts w:ascii="Times New Roman" w:hAnsi="Times New Roman" w:cs="Times New Roman"/>
          <w:sz w:val="28"/>
          <w:szCs w:val="28"/>
        </w:rPr>
      </w:pPr>
    </w:p>
    <w:p w14:paraId="28344599" w14:textId="77777777" w:rsidR="007F2B73" w:rsidRDefault="007F2B73" w:rsidP="00F76157">
      <w:pPr>
        <w:jc w:val="right"/>
        <w:rPr>
          <w:rFonts w:ascii="Times New Roman" w:hAnsi="Times New Roman" w:cs="Times New Roman"/>
          <w:b/>
          <w:sz w:val="24"/>
          <w:szCs w:val="24"/>
        </w:rPr>
      </w:pPr>
    </w:p>
    <w:p w14:paraId="785ED9D7" w14:textId="77777777" w:rsidR="00F76157" w:rsidRDefault="00F76157" w:rsidP="00F76157">
      <w:pPr>
        <w:jc w:val="right"/>
        <w:rPr>
          <w:rFonts w:ascii="Times New Roman" w:hAnsi="Times New Roman" w:cs="Times New Roman"/>
          <w:b/>
          <w:sz w:val="24"/>
          <w:szCs w:val="24"/>
        </w:rPr>
      </w:pPr>
      <w:r w:rsidRPr="007B78A4">
        <w:rPr>
          <w:rFonts w:ascii="Times New Roman" w:hAnsi="Times New Roman" w:cs="Times New Roman"/>
          <w:b/>
          <w:sz w:val="24"/>
          <w:szCs w:val="24"/>
        </w:rPr>
        <w:lastRenderedPageBreak/>
        <w:t>1 PRIEDAS</w:t>
      </w:r>
    </w:p>
    <w:p w14:paraId="69D81672" w14:textId="77777777" w:rsidR="00F76157" w:rsidRDefault="00F76157" w:rsidP="00F76157">
      <w:pPr>
        <w:jc w:val="right"/>
        <w:rPr>
          <w:rFonts w:ascii="Times New Roman" w:hAnsi="Times New Roman" w:cs="Times New Roman"/>
          <w:b/>
          <w:sz w:val="24"/>
          <w:szCs w:val="24"/>
        </w:rPr>
      </w:pPr>
    </w:p>
    <w:p w14:paraId="21E211AC" w14:textId="77777777" w:rsidR="00F76157" w:rsidRPr="00FF027C" w:rsidRDefault="00F76157" w:rsidP="00F76157">
      <w:pPr>
        <w:ind w:firstLine="1276"/>
        <w:rPr>
          <w:rFonts w:ascii="Times New Roman" w:hAnsi="Times New Roman" w:cs="Times New Roman"/>
          <w:b/>
          <w:sz w:val="24"/>
          <w:szCs w:val="24"/>
        </w:rPr>
      </w:pPr>
      <w:r w:rsidRPr="00FF027C">
        <w:rPr>
          <w:rFonts w:ascii="Times New Roman" w:hAnsi="Times New Roman" w:cs="Times New Roman"/>
          <w:b/>
          <w:sz w:val="24"/>
          <w:szCs w:val="24"/>
        </w:rPr>
        <w:t>Biržoje kotiruojamų Lietuvos įmonių apyvartinis kapitalas 2008-2012 m.</w:t>
      </w:r>
    </w:p>
    <w:tbl>
      <w:tblPr>
        <w:tblW w:w="8675" w:type="dxa"/>
        <w:jc w:val="center"/>
        <w:tblInd w:w="91" w:type="dxa"/>
        <w:tblLook w:val="04A0" w:firstRow="1" w:lastRow="0" w:firstColumn="1" w:lastColumn="0" w:noHBand="0" w:noVBand="1"/>
      </w:tblPr>
      <w:tblGrid>
        <w:gridCol w:w="3760"/>
        <w:gridCol w:w="983"/>
        <w:gridCol w:w="983"/>
        <w:gridCol w:w="983"/>
        <w:gridCol w:w="983"/>
        <w:gridCol w:w="983"/>
      </w:tblGrid>
      <w:tr w:rsidR="00F76157" w:rsidRPr="004E2FAA" w14:paraId="6992D2BC" w14:textId="77777777" w:rsidTr="007742F5">
        <w:trPr>
          <w:trHeight w:val="255"/>
          <w:jc w:val="center"/>
        </w:trPr>
        <w:tc>
          <w:tcPr>
            <w:tcW w:w="3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CA96E"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Įmonė\Metai</w:t>
            </w:r>
          </w:p>
        </w:tc>
        <w:tc>
          <w:tcPr>
            <w:tcW w:w="983" w:type="dxa"/>
            <w:tcBorders>
              <w:top w:val="single" w:sz="4" w:space="0" w:color="auto"/>
              <w:left w:val="nil"/>
              <w:bottom w:val="single" w:sz="4" w:space="0" w:color="auto"/>
              <w:right w:val="single" w:sz="4" w:space="0" w:color="auto"/>
            </w:tcBorders>
            <w:shd w:val="clear" w:color="000000" w:fill="FFFFFF"/>
            <w:noWrap/>
            <w:vAlign w:val="bottom"/>
            <w:hideMark/>
          </w:tcPr>
          <w:p w14:paraId="5E8CD8C5" w14:textId="77777777" w:rsidR="00F76157" w:rsidRPr="004E2FAA" w:rsidRDefault="00F76157" w:rsidP="007742F5">
            <w:pPr>
              <w:spacing w:after="0" w:line="240" w:lineRule="auto"/>
              <w:jc w:val="right"/>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2008</w:t>
            </w:r>
          </w:p>
        </w:tc>
        <w:tc>
          <w:tcPr>
            <w:tcW w:w="983" w:type="dxa"/>
            <w:tcBorders>
              <w:top w:val="single" w:sz="4" w:space="0" w:color="auto"/>
              <w:left w:val="nil"/>
              <w:bottom w:val="single" w:sz="4" w:space="0" w:color="auto"/>
              <w:right w:val="single" w:sz="4" w:space="0" w:color="auto"/>
            </w:tcBorders>
            <w:shd w:val="clear" w:color="000000" w:fill="FFFFFF"/>
            <w:noWrap/>
            <w:vAlign w:val="bottom"/>
            <w:hideMark/>
          </w:tcPr>
          <w:p w14:paraId="5C64E87D" w14:textId="77777777" w:rsidR="00F76157" w:rsidRPr="004E2FAA" w:rsidRDefault="00F76157" w:rsidP="007742F5">
            <w:pPr>
              <w:spacing w:after="0" w:line="240" w:lineRule="auto"/>
              <w:jc w:val="right"/>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2009</w:t>
            </w:r>
          </w:p>
        </w:tc>
        <w:tc>
          <w:tcPr>
            <w:tcW w:w="983" w:type="dxa"/>
            <w:tcBorders>
              <w:top w:val="single" w:sz="4" w:space="0" w:color="auto"/>
              <w:left w:val="nil"/>
              <w:bottom w:val="single" w:sz="4" w:space="0" w:color="auto"/>
              <w:right w:val="single" w:sz="4" w:space="0" w:color="auto"/>
            </w:tcBorders>
            <w:shd w:val="clear" w:color="000000" w:fill="FFFFFF"/>
            <w:noWrap/>
            <w:vAlign w:val="bottom"/>
            <w:hideMark/>
          </w:tcPr>
          <w:p w14:paraId="2637E4F8" w14:textId="77777777" w:rsidR="00F76157" w:rsidRPr="004E2FAA" w:rsidRDefault="00F76157" w:rsidP="007742F5">
            <w:pPr>
              <w:spacing w:after="0" w:line="240" w:lineRule="auto"/>
              <w:jc w:val="right"/>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2010</w:t>
            </w:r>
          </w:p>
        </w:tc>
        <w:tc>
          <w:tcPr>
            <w:tcW w:w="983" w:type="dxa"/>
            <w:tcBorders>
              <w:top w:val="single" w:sz="4" w:space="0" w:color="auto"/>
              <w:left w:val="nil"/>
              <w:bottom w:val="single" w:sz="4" w:space="0" w:color="auto"/>
              <w:right w:val="single" w:sz="4" w:space="0" w:color="auto"/>
            </w:tcBorders>
            <w:shd w:val="clear" w:color="000000" w:fill="FFFFFF"/>
            <w:noWrap/>
            <w:vAlign w:val="bottom"/>
            <w:hideMark/>
          </w:tcPr>
          <w:p w14:paraId="4957C49A" w14:textId="77777777" w:rsidR="00F76157" w:rsidRPr="004E2FAA" w:rsidRDefault="00F76157" w:rsidP="007742F5">
            <w:pPr>
              <w:spacing w:after="0" w:line="240" w:lineRule="auto"/>
              <w:jc w:val="right"/>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2011</w:t>
            </w:r>
          </w:p>
        </w:tc>
        <w:tc>
          <w:tcPr>
            <w:tcW w:w="983" w:type="dxa"/>
            <w:tcBorders>
              <w:top w:val="single" w:sz="4" w:space="0" w:color="auto"/>
              <w:left w:val="nil"/>
              <w:bottom w:val="single" w:sz="4" w:space="0" w:color="auto"/>
              <w:right w:val="single" w:sz="4" w:space="0" w:color="auto"/>
            </w:tcBorders>
            <w:shd w:val="clear" w:color="000000" w:fill="FFFFFF"/>
            <w:noWrap/>
            <w:vAlign w:val="bottom"/>
            <w:hideMark/>
          </w:tcPr>
          <w:p w14:paraId="471E1EDD" w14:textId="77777777" w:rsidR="00F76157" w:rsidRPr="004E2FAA" w:rsidRDefault="00F76157" w:rsidP="007742F5">
            <w:pPr>
              <w:spacing w:after="0" w:line="240" w:lineRule="auto"/>
              <w:jc w:val="right"/>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2012</w:t>
            </w:r>
          </w:p>
        </w:tc>
      </w:tr>
      <w:tr w:rsidR="00F76157" w:rsidRPr="004E2FAA" w14:paraId="743999B7"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40AB56F4"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„Agrowill Group“</w:t>
            </w:r>
          </w:p>
        </w:tc>
        <w:tc>
          <w:tcPr>
            <w:tcW w:w="983" w:type="dxa"/>
            <w:tcBorders>
              <w:top w:val="nil"/>
              <w:left w:val="nil"/>
              <w:bottom w:val="single" w:sz="4" w:space="0" w:color="auto"/>
              <w:right w:val="single" w:sz="4" w:space="0" w:color="auto"/>
            </w:tcBorders>
            <w:shd w:val="clear" w:color="auto" w:fill="auto"/>
            <w:noWrap/>
            <w:vAlign w:val="bottom"/>
            <w:hideMark/>
          </w:tcPr>
          <w:p w14:paraId="0833B49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-52147</w:t>
            </w:r>
          </w:p>
        </w:tc>
        <w:tc>
          <w:tcPr>
            <w:tcW w:w="983" w:type="dxa"/>
            <w:tcBorders>
              <w:top w:val="nil"/>
              <w:left w:val="nil"/>
              <w:bottom w:val="single" w:sz="4" w:space="0" w:color="auto"/>
              <w:right w:val="single" w:sz="4" w:space="0" w:color="auto"/>
            </w:tcBorders>
            <w:shd w:val="clear" w:color="auto" w:fill="auto"/>
            <w:noWrap/>
            <w:vAlign w:val="bottom"/>
            <w:hideMark/>
          </w:tcPr>
          <w:p w14:paraId="42A4F36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-136724</w:t>
            </w:r>
          </w:p>
        </w:tc>
        <w:tc>
          <w:tcPr>
            <w:tcW w:w="983" w:type="dxa"/>
            <w:tcBorders>
              <w:top w:val="nil"/>
              <w:left w:val="nil"/>
              <w:bottom w:val="single" w:sz="4" w:space="0" w:color="auto"/>
              <w:right w:val="single" w:sz="4" w:space="0" w:color="auto"/>
            </w:tcBorders>
            <w:shd w:val="clear" w:color="auto" w:fill="auto"/>
            <w:noWrap/>
            <w:vAlign w:val="bottom"/>
            <w:hideMark/>
          </w:tcPr>
          <w:p w14:paraId="4D1AA6B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-61699</w:t>
            </w:r>
          </w:p>
        </w:tc>
        <w:tc>
          <w:tcPr>
            <w:tcW w:w="983" w:type="dxa"/>
            <w:tcBorders>
              <w:top w:val="nil"/>
              <w:left w:val="nil"/>
              <w:bottom w:val="single" w:sz="4" w:space="0" w:color="auto"/>
              <w:right w:val="single" w:sz="4" w:space="0" w:color="auto"/>
            </w:tcBorders>
            <w:shd w:val="clear" w:color="auto" w:fill="auto"/>
            <w:noWrap/>
            <w:vAlign w:val="bottom"/>
            <w:hideMark/>
          </w:tcPr>
          <w:p w14:paraId="127B5ED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-47170</w:t>
            </w:r>
          </w:p>
        </w:tc>
        <w:tc>
          <w:tcPr>
            <w:tcW w:w="983" w:type="dxa"/>
            <w:tcBorders>
              <w:top w:val="nil"/>
              <w:left w:val="nil"/>
              <w:bottom w:val="single" w:sz="4" w:space="0" w:color="auto"/>
              <w:right w:val="single" w:sz="4" w:space="0" w:color="auto"/>
            </w:tcBorders>
            <w:shd w:val="clear" w:color="auto" w:fill="auto"/>
            <w:noWrap/>
            <w:vAlign w:val="bottom"/>
            <w:hideMark/>
          </w:tcPr>
          <w:p w14:paraId="21F2A1E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-42793</w:t>
            </w:r>
          </w:p>
        </w:tc>
      </w:tr>
      <w:tr w:rsidR="00F76157" w:rsidRPr="004E2FAA" w14:paraId="4139ACA8"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60CB0547"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„Anykščių vynas“</w:t>
            </w:r>
          </w:p>
        </w:tc>
        <w:tc>
          <w:tcPr>
            <w:tcW w:w="983" w:type="dxa"/>
            <w:tcBorders>
              <w:top w:val="nil"/>
              <w:left w:val="nil"/>
              <w:bottom w:val="single" w:sz="4" w:space="0" w:color="auto"/>
              <w:right w:val="single" w:sz="4" w:space="0" w:color="auto"/>
            </w:tcBorders>
            <w:shd w:val="clear" w:color="auto" w:fill="auto"/>
            <w:noWrap/>
            <w:vAlign w:val="bottom"/>
            <w:hideMark/>
          </w:tcPr>
          <w:p w14:paraId="6796621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9386</w:t>
            </w:r>
          </w:p>
        </w:tc>
        <w:tc>
          <w:tcPr>
            <w:tcW w:w="983" w:type="dxa"/>
            <w:tcBorders>
              <w:top w:val="nil"/>
              <w:left w:val="nil"/>
              <w:bottom w:val="single" w:sz="4" w:space="0" w:color="auto"/>
              <w:right w:val="single" w:sz="4" w:space="0" w:color="auto"/>
            </w:tcBorders>
            <w:shd w:val="clear" w:color="auto" w:fill="auto"/>
            <w:noWrap/>
            <w:vAlign w:val="bottom"/>
            <w:hideMark/>
          </w:tcPr>
          <w:p w14:paraId="0F3ECCE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4606</w:t>
            </w:r>
          </w:p>
        </w:tc>
        <w:tc>
          <w:tcPr>
            <w:tcW w:w="983" w:type="dxa"/>
            <w:tcBorders>
              <w:top w:val="nil"/>
              <w:left w:val="nil"/>
              <w:bottom w:val="single" w:sz="4" w:space="0" w:color="auto"/>
              <w:right w:val="single" w:sz="4" w:space="0" w:color="auto"/>
            </w:tcBorders>
            <w:shd w:val="clear" w:color="auto" w:fill="auto"/>
            <w:noWrap/>
            <w:vAlign w:val="bottom"/>
            <w:hideMark/>
          </w:tcPr>
          <w:p w14:paraId="77476FA3"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525</w:t>
            </w:r>
          </w:p>
        </w:tc>
        <w:tc>
          <w:tcPr>
            <w:tcW w:w="983" w:type="dxa"/>
            <w:tcBorders>
              <w:top w:val="nil"/>
              <w:left w:val="nil"/>
              <w:bottom w:val="single" w:sz="4" w:space="0" w:color="auto"/>
              <w:right w:val="single" w:sz="4" w:space="0" w:color="auto"/>
            </w:tcBorders>
            <w:shd w:val="clear" w:color="auto" w:fill="auto"/>
            <w:noWrap/>
            <w:vAlign w:val="bottom"/>
            <w:hideMark/>
          </w:tcPr>
          <w:p w14:paraId="0A92C97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-6804</w:t>
            </w:r>
          </w:p>
        </w:tc>
        <w:tc>
          <w:tcPr>
            <w:tcW w:w="983" w:type="dxa"/>
            <w:tcBorders>
              <w:top w:val="nil"/>
              <w:left w:val="nil"/>
              <w:bottom w:val="single" w:sz="4" w:space="0" w:color="auto"/>
              <w:right w:val="single" w:sz="4" w:space="0" w:color="auto"/>
            </w:tcBorders>
            <w:shd w:val="clear" w:color="auto" w:fill="auto"/>
            <w:noWrap/>
            <w:vAlign w:val="bottom"/>
            <w:hideMark/>
          </w:tcPr>
          <w:p w14:paraId="3C486AE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-7707</w:t>
            </w:r>
          </w:p>
        </w:tc>
      </w:tr>
      <w:tr w:rsidR="00F76157" w:rsidRPr="004E2FAA" w14:paraId="54C27672"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5CA17E39"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APB „Apranga“</w:t>
            </w:r>
          </w:p>
        </w:tc>
        <w:tc>
          <w:tcPr>
            <w:tcW w:w="983" w:type="dxa"/>
            <w:tcBorders>
              <w:top w:val="nil"/>
              <w:left w:val="nil"/>
              <w:bottom w:val="single" w:sz="4" w:space="0" w:color="auto"/>
              <w:right w:val="single" w:sz="4" w:space="0" w:color="auto"/>
            </w:tcBorders>
            <w:shd w:val="clear" w:color="auto" w:fill="auto"/>
            <w:noWrap/>
            <w:vAlign w:val="bottom"/>
            <w:hideMark/>
          </w:tcPr>
          <w:p w14:paraId="3A743EB4"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-10052</w:t>
            </w:r>
          </w:p>
        </w:tc>
        <w:tc>
          <w:tcPr>
            <w:tcW w:w="983" w:type="dxa"/>
            <w:tcBorders>
              <w:top w:val="nil"/>
              <w:left w:val="nil"/>
              <w:bottom w:val="single" w:sz="4" w:space="0" w:color="auto"/>
              <w:right w:val="single" w:sz="4" w:space="0" w:color="auto"/>
            </w:tcBorders>
            <w:shd w:val="clear" w:color="auto" w:fill="auto"/>
            <w:noWrap/>
            <w:vAlign w:val="bottom"/>
            <w:hideMark/>
          </w:tcPr>
          <w:p w14:paraId="18964BB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6521</w:t>
            </w:r>
          </w:p>
        </w:tc>
        <w:tc>
          <w:tcPr>
            <w:tcW w:w="983" w:type="dxa"/>
            <w:tcBorders>
              <w:top w:val="nil"/>
              <w:left w:val="nil"/>
              <w:bottom w:val="single" w:sz="4" w:space="0" w:color="auto"/>
              <w:right w:val="single" w:sz="4" w:space="0" w:color="auto"/>
            </w:tcBorders>
            <w:shd w:val="clear" w:color="auto" w:fill="auto"/>
            <w:noWrap/>
            <w:vAlign w:val="bottom"/>
            <w:hideMark/>
          </w:tcPr>
          <w:p w14:paraId="58E49562"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16843</w:t>
            </w:r>
          </w:p>
        </w:tc>
        <w:tc>
          <w:tcPr>
            <w:tcW w:w="983" w:type="dxa"/>
            <w:tcBorders>
              <w:top w:val="nil"/>
              <w:left w:val="nil"/>
              <w:bottom w:val="single" w:sz="4" w:space="0" w:color="auto"/>
              <w:right w:val="single" w:sz="4" w:space="0" w:color="auto"/>
            </w:tcBorders>
            <w:shd w:val="clear" w:color="auto" w:fill="auto"/>
            <w:noWrap/>
            <w:vAlign w:val="bottom"/>
            <w:hideMark/>
          </w:tcPr>
          <w:p w14:paraId="5443B6E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36772</w:t>
            </w:r>
          </w:p>
        </w:tc>
        <w:tc>
          <w:tcPr>
            <w:tcW w:w="983" w:type="dxa"/>
            <w:tcBorders>
              <w:top w:val="nil"/>
              <w:left w:val="nil"/>
              <w:bottom w:val="single" w:sz="4" w:space="0" w:color="auto"/>
              <w:right w:val="single" w:sz="4" w:space="0" w:color="auto"/>
            </w:tcBorders>
            <w:shd w:val="clear" w:color="auto" w:fill="auto"/>
            <w:noWrap/>
            <w:vAlign w:val="bottom"/>
            <w:hideMark/>
          </w:tcPr>
          <w:p w14:paraId="44CBAD4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45628</w:t>
            </w:r>
          </w:p>
        </w:tc>
      </w:tr>
      <w:tr w:rsidR="00F76157" w:rsidRPr="004E2FAA" w14:paraId="117D3CC6"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4346D977"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„City Service“</w:t>
            </w:r>
          </w:p>
        </w:tc>
        <w:tc>
          <w:tcPr>
            <w:tcW w:w="983" w:type="dxa"/>
            <w:tcBorders>
              <w:top w:val="nil"/>
              <w:left w:val="nil"/>
              <w:bottom w:val="single" w:sz="4" w:space="0" w:color="auto"/>
              <w:right w:val="single" w:sz="4" w:space="0" w:color="auto"/>
            </w:tcBorders>
            <w:shd w:val="clear" w:color="auto" w:fill="auto"/>
            <w:noWrap/>
            <w:vAlign w:val="bottom"/>
            <w:hideMark/>
          </w:tcPr>
          <w:p w14:paraId="1011933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32908</w:t>
            </w:r>
          </w:p>
        </w:tc>
        <w:tc>
          <w:tcPr>
            <w:tcW w:w="983" w:type="dxa"/>
            <w:tcBorders>
              <w:top w:val="nil"/>
              <w:left w:val="nil"/>
              <w:bottom w:val="single" w:sz="4" w:space="0" w:color="auto"/>
              <w:right w:val="single" w:sz="4" w:space="0" w:color="auto"/>
            </w:tcBorders>
            <w:shd w:val="clear" w:color="auto" w:fill="auto"/>
            <w:noWrap/>
            <w:vAlign w:val="bottom"/>
            <w:hideMark/>
          </w:tcPr>
          <w:p w14:paraId="0D491E1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40860</w:t>
            </w:r>
          </w:p>
        </w:tc>
        <w:tc>
          <w:tcPr>
            <w:tcW w:w="983" w:type="dxa"/>
            <w:tcBorders>
              <w:top w:val="nil"/>
              <w:left w:val="nil"/>
              <w:bottom w:val="single" w:sz="4" w:space="0" w:color="auto"/>
              <w:right w:val="single" w:sz="4" w:space="0" w:color="auto"/>
            </w:tcBorders>
            <w:shd w:val="clear" w:color="auto" w:fill="auto"/>
            <w:noWrap/>
            <w:vAlign w:val="bottom"/>
            <w:hideMark/>
          </w:tcPr>
          <w:p w14:paraId="491416E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31827</w:t>
            </w:r>
          </w:p>
        </w:tc>
        <w:tc>
          <w:tcPr>
            <w:tcW w:w="983" w:type="dxa"/>
            <w:tcBorders>
              <w:top w:val="nil"/>
              <w:left w:val="nil"/>
              <w:bottom w:val="single" w:sz="4" w:space="0" w:color="auto"/>
              <w:right w:val="single" w:sz="4" w:space="0" w:color="auto"/>
            </w:tcBorders>
            <w:shd w:val="clear" w:color="auto" w:fill="auto"/>
            <w:noWrap/>
            <w:vAlign w:val="bottom"/>
            <w:hideMark/>
          </w:tcPr>
          <w:p w14:paraId="22C028EA"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27592</w:t>
            </w:r>
          </w:p>
        </w:tc>
        <w:tc>
          <w:tcPr>
            <w:tcW w:w="983" w:type="dxa"/>
            <w:tcBorders>
              <w:top w:val="nil"/>
              <w:left w:val="nil"/>
              <w:bottom w:val="single" w:sz="4" w:space="0" w:color="auto"/>
              <w:right w:val="single" w:sz="4" w:space="0" w:color="auto"/>
            </w:tcBorders>
            <w:shd w:val="clear" w:color="auto" w:fill="auto"/>
            <w:noWrap/>
            <w:vAlign w:val="bottom"/>
            <w:hideMark/>
          </w:tcPr>
          <w:p w14:paraId="40EE4FE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14409</w:t>
            </w:r>
          </w:p>
        </w:tc>
      </w:tr>
      <w:tr w:rsidR="00F76157" w:rsidRPr="004E2FAA" w14:paraId="5041A8FB" w14:textId="77777777" w:rsidTr="007742F5">
        <w:trPr>
          <w:trHeight w:val="300"/>
          <w:jc w:val="center"/>
        </w:trPr>
        <w:tc>
          <w:tcPr>
            <w:tcW w:w="3760" w:type="dxa"/>
            <w:tcBorders>
              <w:top w:val="nil"/>
              <w:left w:val="single" w:sz="4" w:space="0" w:color="auto"/>
              <w:bottom w:val="single" w:sz="4" w:space="0" w:color="auto"/>
              <w:right w:val="single" w:sz="4" w:space="0" w:color="auto"/>
            </w:tcBorders>
            <w:shd w:val="clear" w:color="auto" w:fill="auto"/>
            <w:hideMark/>
          </w:tcPr>
          <w:p w14:paraId="0C912D35"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„Dvarčionių keramika“</w:t>
            </w:r>
          </w:p>
        </w:tc>
        <w:tc>
          <w:tcPr>
            <w:tcW w:w="983" w:type="dxa"/>
            <w:tcBorders>
              <w:top w:val="nil"/>
              <w:left w:val="nil"/>
              <w:bottom w:val="single" w:sz="4" w:space="0" w:color="auto"/>
              <w:right w:val="single" w:sz="4" w:space="0" w:color="auto"/>
            </w:tcBorders>
            <w:shd w:val="clear" w:color="auto" w:fill="auto"/>
            <w:noWrap/>
            <w:vAlign w:val="bottom"/>
            <w:hideMark/>
          </w:tcPr>
          <w:p w14:paraId="3880035A"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5525</w:t>
            </w:r>
          </w:p>
        </w:tc>
        <w:tc>
          <w:tcPr>
            <w:tcW w:w="983" w:type="dxa"/>
            <w:tcBorders>
              <w:top w:val="nil"/>
              <w:left w:val="nil"/>
              <w:bottom w:val="single" w:sz="4" w:space="0" w:color="auto"/>
              <w:right w:val="single" w:sz="4" w:space="0" w:color="auto"/>
            </w:tcBorders>
            <w:shd w:val="clear" w:color="auto" w:fill="auto"/>
            <w:noWrap/>
            <w:vAlign w:val="bottom"/>
            <w:hideMark/>
          </w:tcPr>
          <w:p w14:paraId="220D56E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2827</w:t>
            </w:r>
          </w:p>
        </w:tc>
        <w:tc>
          <w:tcPr>
            <w:tcW w:w="983" w:type="dxa"/>
            <w:tcBorders>
              <w:top w:val="nil"/>
              <w:left w:val="nil"/>
              <w:bottom w:val="single" w:sz="4" w:space="0" w:color="auto"/>
              <w:right w:val="single" w:sz="4" w:space="0" w:color="auto"/>
            </w:tcBorders>
            <w:shd w:val="clear" w:color="auto" w:fill="auto"/>
            <w:noWrap/>
            <w:vAlign w:val="bottom"/>
            <w:hideMark/>
          </w:tcPr>
          <w:p w14:paraId="74CBD97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-3212</w:t>
            </w:r>
          </w:p>
        </w:tc>
        <w:tc>
          <w:tcPr>
            <w:tcW w:w="983" w:type="dxa"/>
            <w:tcBorders>
              <w:top w:val="nil"/>
              <w:left w:val="nil"/>
              <w:bottom w:val="single" w:sz="4" w:space="0" w:color="auto"/>
              <w:right w:val="single" w:sz="4" w:space="0" w:color="auto"/>
            </w:tcBorders>
            <w:shd w:val="clear" w:color="auto" w:fill="auto"/>
            <w:noWrap/>
            <w:vAlign w:val="bottom"/>
            <w:hideMark/>
          </w:tcPr>
          <w:p w14:paraId="4B63C77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-12797</w:t>
            </w:r>
          </w:p>
        </w:tc>
        <w:tc>
          <w:tcPr>
            <w:tcW w:w="983" w:type="dxa"/>
            <w:tcBorders>
              <w:top w:val="nil"/>
              <w:left w:val="nil"/>
              <w:bottom w:val="single" w:sz="4" w:space="0" w:color="auto"/>
              <w:right w:val="single" w:sz="4" w:space="0" w:color="auto"/>
            </w:tcBorders>
            <w:shd w:val="clear" w:color="auto" w:fill="auto"/>
            <w:noWrap/>
            <w:vAlign w:val="bottom"/>
            <w:hideMark/>
          </w:tcPr>
          <w:p w14:paraId="4DE7CA1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-13615</w:t>
            </w:r>
          </w:p>
        </w:tc>
      </w:tr>
      <w:tr w:rsidR="00F76157" w:rsidRPr="004E2FAA" w14:paraId="40BC5346"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01FC74FD"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„Grigiškės“</w:t>
            </w:r>
          </w:p>
        </w:tc>
        <w:tc>
          <w:tcPr>
            <w:tcW w:w="983" w:type="dxa"/>
            <w:tcBorders>
              <w:top w:val="nil"/>
              <w:left w:val="nil"/>
              <w:bottom w:val="single" w:sz="4" w:space="0" w:color="auto"/>
              <w:right w:val="single" w:sz="4" w:space="0" w:color="auto"/>
            </w:tcBorders>
            <w:shd w:val="clear" w:color="auto" w:fill="auto"/>
            <w:noWrap/>
            <w:vAlign w:val="bottom"/>
            <w:hideMark/>
          </w:tcPr>
          <w:p w14:paraId="4D20AC2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-4855</w:t>
            </w:r>
          </w:p>
        </w:tc>
        <w:tc>
          <w:tcPr>
            <w:tcW w:w="983" w:type="dxa"/>
            <w:tcBorders>
              <w:top w:val="nil"/>
              <w:left w:val="nil"/>
              <w:bottom w:val="single" w:sz="4" w:space="0" w:color="auto"/>
              <w:right w:val="single" w:sz="4" w:space="0" w:color="auto"/>
            </w:tcBorders>
            <w:shd w:val="clear" w:color="auto" w:fill="auto"/>
            <w:noWrap/>
            <w:vAlign w:val="bottom"/>
            <w:hideMark/>
          </w:tcPr>
          <w:p w14:paraId="797A493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2837</w:t>
            </w:r>
          </w:p>
        </w:tc>
        <w:tc>
          <w:tcPr>
            <w:tcW w:w="983" w:type="dxa"/>
            <w:tcBorders>
              <w:top w:val="nil"/>
              <w:left w:val="nil"/>
              <w:bottom w:val="single" w:sz="4" w:space="0" w:color="auto"/>
              <w:right w:val="single" w:sz="4" w:space="0" w:color="auto"/>
            </w:tcBorders>
            <w:shd w:val="clear" w:color="auto" w:fill="auto"/>
            <w:noWrap/>
            <w:vAlign w:val="bottom"/>
            <w:hideMark/>
          </w:tcPr>
          <w:p w14:paraId="6358828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-11527</w:t>
            </w:r>
          </w:p>
        </w:tc>
        <w:tc>
          <w:tcPr>
            <w:tcW w:w="983" w:type="dxa"/>
            <w:tcBorders>
              <w:top w:val="nil"/>
              <w:left w:val="nil"/>
              <w:bottom w:val="single" w:sz="4" w:space="0" w:color="auto"/>
              <w:right w:val="single" w:sz="4" w:space="0" w:color="auto"/>
            </w:tcBorders>
            <w:shd w:val="clear" w:color="auto" w:fill="auto"/>
            <w:noWrap/>
            <w:vAlign w:val="bottom"/>
            <w:hideMark/>
          </w:tcPr>
          <w:p w14:paraId="5595298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-9250</w:t>
            </w:r>
          </w:p>
        </w:tc>
        <w:tc>
          <w:tcPr>
            <w:tcW w:w="983" w:type="dxa"/>
            <w:tcBorders>
              <w:top w:val="nil"/>
              <w:left w:val="nil"/>
              <w:bottom w:val="single" w:sz="4" w:space="0" w:color="auto"/>
              <w:right w:val="single" w:sz="4" w:space="0" w:color="auto"/>
            </w:tcBorders>
            <w:shd w:val="clear" w:color="auto" w:fill="auto"/>
            <w:noWrap/>
            <w:vAlign w:val="bottom"/>
            <w:hideMark/>
          </w:tcPr>
          <w:p w14:paraId="5666CC6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-12008</w:t>
            </w:r>
          </w:p>
        </w:tc>
      </w:tr>
      <w:tr w:rsidR="00F76157" w:rsidRPr="004E2FAA" w14:paraId="20F1BC47"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13D385B1"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„Gubernija“</w:t>
            </w:r>
          </w:p>
        </w:tc>
        <w:tc>
          <w:tcPr>
            <w:tcW w:w="983" w:type="dxa"/>
            <w:tcBorders>
              <w:top w:val="nil"/>
              <w:left w:val="nil"/>
              <w:bottom w:val="single" w:sz="4" w:space="0" w:color="auto"/>
              <w:right w:val="single" w:sz="4" w:space="0" w:color="auto"/>
            </w:tcBorders>
            <w:shd w:val="clear" w:color="auto" w:fill="auto"/>
            <w:noWrap/>
            <w:vAlign w:val="bottom"/>
            <w:hideMark/>
          </w:tcPr>
          <w:p w14:paraId="34BC81F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-11349</w:t>
            </w:r>
          </w:p>
        </w:tc>
        <w:tc>
          <w:tcPr>
            <w:tcW w:w="983" w:type="dxa"/>
            <w:tcBorders>
              <w:top w:val="nil"/>
              <w:left w:val="nil"/>
              <w:bottom w:val="single" w:sz="4" w:space="0" w:color="auto"/>
              <w:right w:val="single" w:sz="4" w:space="0" w:color="auto"/>
            </w:tcBorders>
            <w:shd w:val="clear" w:color="auto" w:fill="auto"/>
            <w:noWrap/>
            <w:vAlign w:val="bottom"/>
            <w:hideMark/>
          </w:tcPr>
          <w:p w14:paraId="3ED1953A"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-22804</w:t>
            </w:r>
          </w:p>
        </w:tc>
        <w:tc>
          <w:tcPr>
            <w:tcW w:w="983" w:type="dxa"/>
            <w:tcBorders>
              <w:top w:val="nil"/>
              <w:left w:val="nil"/>
              <w:bottom w:val="single" w:sz="4" w:space="0" w:color="auto"/>
              <w:right w:val="single" w:sz="4" w:space="0" w:color="auto"/>
            </w:tcBorders>
            <w:shd w:val="clear" w:color="auto" w:fill="auto"/>
            <w:noWrap/>
            <w:vAlign w:val="bottom"/>
            <w:hideMark/>
          </w:tcPr>
          <w:p w14:paraId="09569F0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-20831</w:t>
            </w:r>
          </w:p>
        </w:tc>
        <w:tc>
          <w:tcPr>
            <w:tcW w:w="983" w:type="dxa"/>
            <w:tcBorders>
              <w:top w:val="nil"/>
              <w:left w:val="nil"/>
              <w:bottom w:val="single" w:sz="4" w:space="0" w:color="auto"/>
              <w:right w:val="single" w:sz="4" w:space="0" w:color="auto"/>
            </w:tcBorders>
            <w:shd w:val="clear" w:color="auto" w:fill="auto"/>
            <w:noWrap/>
            <w:vAlign w:val="bottom"/>
            <w:hideMark/>
          </w:tcPr>
          <w:p w14:paraId="5B1F718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-16580</w:t>
            </w:r>
          </w:p>
        </w:tc>
        <w:tc>
          <w:tcPr>
            <w:tcW w:w="983" w:type="dxa"/>
            <w:tcBorders>
              <w:top w:val="nil"/>
              <w:left w:val="nil"/>
              <w:bottom w:val="single" w:sz="4" w:space="0" w:color="auto"/>
              <w:right w:val="single" w:sz="4" w:space="0" w:color="auto"/>
            </w:tcBorders>
            <w:shd w:val="clear" w:color="auto" w:fill="auto"/>
            <w:noWrap/>
            <w:vAlign w:val="bottom"/>
            <w:hideMark/>
          </w:tcPr>
          <w:p w14:paraId="6054669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-17459</w:t>
            </w:r>
          </w:p>
        </w:tc>
      </w:tr>
      <w:tr w:rsidR="00F76157" w:rsidRPr="004E2FAA" w14:paraId="4E77DA16"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74D0B373"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Įmonių grupė „Alita“, AB</w:t>
            </w:r>
          </w:p>
        </w:tc>
        <w:tc>
          <w:tcPr>
            <w:tcW w:w="983" w:type="dxa"/>
            <w:tcBorders>
              <w:top w:val="nil"/>
              <w:left w:val="nil"/>
              <w:bottom w:val="single" w:sz="4" w:space="0" w:color="auto"/>
              <w:right w:val="single" w:sz="4" w:space="0" w:color="auto"/>
            </w:tcBorders>
            <w:shd w:val="clear" w:color="auto" w:fill="auto"/>
            <w:noWrap/>
            <w:vAlign w:val="bottom"/>
            <w:hideMark/>
          </w:tcPr>
          <w:p w14:paraId="058143CF"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4B13079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-37129</w:t>
            </w:r>
          </w:p>
        </w:tc>
        <w:tc>
          <w:tcPr>
            <w:tcW w:w="983" w:type="dxa"/>
            <w:tcBorders>
              <w:top w:val="nil"/>
              <w:left w:val="nil"/>
              <w:bottom w:val="single" w:sz="4" w:space="0" w:color="auto"/>
              <w:right w:val="single" w:sz="4" w:space="0" w:color="auto"/>
            </w:tcBorders>
            <w:shd w:val="clear" w:color="auto" w:fill="auto"/>
            <w:noWrap/>
            <w:vAlign w:val="bottom"/>
            <w:hideMark/>
          </w:tcPr>
          <w:p w14:paraId="3416BF7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-137021</w:t>
            </w:r>
          </w:p>
        </w:tc>
        <w:tc>
          <w:tcPr>
            <w:tcW w:w="983" w:type="dxa"/>
            <w:tcBorders>
              <w:top w:val="nil"/>
              <w:left w:val="nil"/>
              <w:bottom w:val="single" w:sz="4" w:space="0" w:color="auto"/>
              <w:right w:val="single" w:sz="4" w:space="0" w:color="auto"/>
            </w:tcBorders>
            <w:shd w:val="clear" w:color="auto" w:fill="auto"/>
            <w:noWrap/>
            <w:vAlign w:val="bottom"/>
            <w:hideMark/>
          </w:tcPr>
          <w:p w14:paraId="67BCE883"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-3784</w:t>
            </w:r>
          </w:p>
        </w:tc>
        <w:tc>
          <w:tcPr>
            <w:tcW w:w="983" w:type="dxa"/>
            <w:tcBorders>
              <w:top w:val="nil"/>
              <w:left w:val="nil"/>
              <w:bottom w:val="single" w:sz="4" w:space="0" w:color="auto"/>
              <w:right w:val="single" w:sz="4" w:space="0" w:color="auto"/>
            </w:tcBorders>
            <w:shd w:val="clear" w:color="auto" w:fill="auto"/>
            <w:noWrap/>
            <w:vAlign w:val="bottom"/>
            <w:hideMark/>
          </w:tcPr>
          <w:p w14:paraId="5530DC14"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-1759</w:t>
            </w:r>
          </w:p>
        </w:tc>
      </w:tr>
      <w:tr w:rsidR="00F76157" w:rsidRPr="004E2FAA" w14:paraId="393BD02A"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66F64A44"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„Invalda“</w:t>
            </w:r>
          </w:p>
        </w:tc>
        <w:tc>
          <w:tcPr>
            <w:tcW w:w="983" w:type="dxa"/>
            <w:tcBorders>
              <w:top w:val="nil"/>
              <w:left w:val="nil"/>
              <w:bottom w:val="single" w:sz="4" w:space="0" w:color="auto"/>
              <w:right w:val="single" w:sz="4" w:space="0" w:color="auto"/>
            </w:tcBorders>
            <w:shd w:val="clear" w:color="auto" w:fill="auto"/>
            <w:noWrap/>
            <w:vAlign w:val="bottom"/>
            <w:hideMark/>
          </w:tcPr>
          <w:p w14:paraId="118C0F7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-155898</w:t>
            </w:r>
          </w:p>
        </w:tc>
        <w:tc>
          <w:tcPr>
            <w:tcW w:w="983" w:type="dxa"/>
            <w:tcBorders>
              <w:top w:val="nil"/>
              <w:left w:val="nil"/>
              <w:bottom w:val="single" w:sz="4" w:space="0" w:color="auto"/>
              <w:right w:val="single" w:sz="4" w:space="0" w:color="auto"/>
            </w:tcBorders>
            <w:shd w:val="clear" w:color="auto" w:fill="auto"/>
            <w:noWrap/>
            <w:vAlign w:val="bottom"/>
            <w:hideMark/>
          </w:tcPr>
          <w:p w14:paraId="4539E5E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-174630</w:t>
            </w:r>
          </w:p>
        </w:tc>
        <w:tc>
          <w:tcPr>
            <w:tcW w:w="983" w:type="dxa"/>
            <w:tcBorders>
              <w:top w:val="nil"/>
              <w:left w:val="nil"/>
              <w:bottom w:val="single" w:sz="4" w:space="0" w:color="auto"/>
              <w:right w:val="single" w:sz="4" w:space="0" w:color="auto"/>
            </w:tcBorders>
            <w:shd w:val="clear" w:color="auto" w:fill="auto"/>
            <w:noWrap/>
            <w:vAlign w:val="bottom"/>
            <w:hideMark/>
          </w:tcPr>
          <w:p w14:paraId="5935A60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-18257</w:t>
            </w:r>
          </w:p>
        </w:tc>
        <w:tc>
          <w:tcPr>
            <w:tcW w:w="983" w:type="dxa"/>
            <w:tcBorders>
              <w:top w:val="nil"/>
              <w:left w:val="nil"/>
              <w:bottom w:val="single" w:sz="4" w:space="0" w:color="auto"/>
              <w:right w:val="single" w:sz="4" w:space="0" w:color="auto"/>
            </w:tcBorders>
            <w:shd w:val="clear" w:color="auto" w:fill="auto"/>
            <w:noWrap/>
            <w:vAlign w:val="bottom"/>
            <w:hideMark/>
          </w:tcPr>
          <w:p w14:paraId="7A3070C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230567</w:t>
            </w:r>
          </w:p>
        </w:tc>
        <w:tc>
          <w:tcPr>
            <w:tcW w:w="983" w:type="dxa"/>
            <w:tcBorders>
              <w:top w:val="nil"/>
              <w:left w:val="nil"/>
              <w:bottom w:val="single" w:sz="4" w:space="0" w:color="auto"/>
              <w:right w:val="single" w:sz="4" w:space="0" w:color="auto"/>
            </w:tcBorders>
            <w:shd w:val="clear" w:color="auto" w:fill="auto"/>
            <w:noWrap/>
            <w:vAlign w:val="bottom"/>
            <w:hideMark/>
          </w:tcPr>
          <w:p w14:paraId="2F646322"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242241</w:t>
            </w:r>
          </w:p>
        </w:tc>
      </w:tr>
      <w:tr w:rsidR="00F76157" w:rsidRPr="004E2FAA" w14:paraId="7A233AFF"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46ADB9AB"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„Kauno energija“</w:t>
            </w:r>
          </w:p>
        </w:tc>
        <w:tc>
          <w:tcPr>
            <w:tcW w:w="983" w:type="dxa"/>
            <w:tcBorders>
              <w:top w:val="nil"/>
              <w:left w:val="nil"/>
              <w:bottom w:val="single" w:sz="4" w:space="0" w:color="auto"/>
              <w:right w:val="single" w:sz="4" w:space="0" w:color="auto"/>
            </w:tcBorders>
            <w:shd w:val="clear" w:color="auto" w:fill="auto"/>
            <w:noWrap/>
            <w:vAlign w:val="bottom"/>
            <w:hideMark/>
          </w:tcPr>
          <w:p w14:paraId="11B8A9D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-7409</w:t>
            </w:r>
          </w:p>
        </w:tc>
        <w:tc>
          <w:tcPr>
            <w:tcW w:w="983" w:type="dxa"/>
            <w:tcBorders>
              <w:top w:val="nil"/>
              <w:left w:val="nil"/>
              <w:bottom w:val="single" w:sz="4" w:space="0" w:color="auto"/>
              <w:right w:val="single" w:sz="4" w:space="0" w:color="auto"/>
            </w:tcBorders>
            <w:shd w:val="clear" w:color="auto" w:fill="auto"/>
            <w:noWrap/>
            <w:vAlign w:val="bottom"/>
            <w:hideMark/>
          </w:tcPr>
          <w:p w14:paraId="74596DD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3273</w:t>
            </w:r>
          </w:p>
        </w:tc>
        <w:tc>
          <w:tcPr>
            <w:tcW w:w="983" w:type="dxa"/>
            <w:tcBorders>
              <w:top w:val="nil"/>
              <w:left w:val="nil"/>
              <w:bottom w:val="single" w:sz="4" w:space="0" w:color="auto"/>
              <w:right w:val="single" w:sz="4" w:space="0" w:color="auto"/>
            </w:tcBorders>
            <w:shd w:val="clear" w:color="auto" w:fill="auto"/>
            <w:noWrap/>
            <w:vAlign w:val="bottom"/>
            <w:hideMark/>
          </w:tcPr>
          <w:p w14:paraId="25D7697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-6105</w:t>
            </w:r>
          </w:p>
        </w:tc>
        <w:tc>
          <w:tcPr>
            <w:tcW w:w="983" w:type="dxa"/>
            <w:tcBorders>
              <w:top w:val="nil"/>
              <w:left w:val="nil"/>
              <w:bottom w:val="single" w:sz="4" w:space="0" w:color="auto"/>
              <w:right w:val="single" w:sz="4" w:space="0" w:color="auto"/>
            </w:tcBorders>
            <w:shd w:val="clear" w:color="auto" w:fill="auto"/>
            <w:noWrap/>
            <w:vAlign w:val="bottom"/>
            <w:hideMark/>
          </w:tcPr>
          <w:p w14:paraId="53F588B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-2716</w:t>
            </w:r>
          </w:p>
        </w:tc>
        <w:tc>
          <w:tcPr>
            <w:tcW w:w="983" w:type="dxa"/>
            <w:tcBorders>
              <w:top w:val="nil"/>
              <w:left w:val="nil"/>
              <w:bottom w:val="single" w:sz="4" w:space="0" w:color="auto"/>
              <w:right w:val="single" w:sz="4" w:space="0" w:color="auto"/>
            </w:tcBorders>
            <w:shd w:val="clear" w:color="auto" w:fill="auto"/>
            <w:noWrap/>
            <w:vAlign w:val="bottom"/>
            <w:hideMark/>
          </w:tcPr>
          <w:p w14:paraId="0D89CA5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-16019</w:t>
            </w:r>
          </w:p>
        </w:tc>
      </w:tr>
      <w:tr w:rsidR="00F76157" w:rsidRPr="004E2FAA" w14:paraId="76669103"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349B43F8"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„Klaipėdos baldai“</w:t>
            </w:r>
          </w:p>
        </w:tc>
        <w:tc>
          <w:tcPr>
            <w:tcW w:w="983" w:type="dxa"/>
            <w:tcBorders>
              <w:top w:val="nil"/>
              <w:left w:val="nil"/>
              <w:bottom w:val="single" w:sz="4" w:space="0" w:color="auto"/>
              <w:right w:val="single" w:sz="4" w:space="0" w:color="auto"/>
            </w:tcBorders>
            <w:shd w:val="clear" w:color="auto" w:fill="auto"/>
            <w:noWrap/>
            <w:vAlign w:val="bottom"/>
            <w:hideMark/>
          </w:tcPr>
          <w:p w14:paraId="438B5A5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24334</w:t>
            </w:r>
          </w:p>
        </w:tc>
        <w:tc>
          <w:tcPr>
            <w:tcW w:w="983" w:type="dxa"/>
            <w:tcBorders>
              <w:top w:val="nil"/>
              <w:left w:val="nil"/>
              <w:bottom w:val="single" w:sz="4" w:space="0" w:color="auto"/>
              <w:right w:val="single" w:sz="4" w:space="0" w:color="auto"/>
            </w:tcBorders>
            <w:shd w:val="clear" w:color="auto" w:fill="auto"/>
            <w:noWrap/>
            <w:vAlign w:val="bottom"/>
            <w:hideMark/>
          </w:tcPr>
          <w:p w14:paraId="5415558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29461</w:t>
            </w:r>
          </w:p>
        </w:tc>
        <w:tc>
          <w:tcPr>
            <w:tcW w:w="983" w:type="dxa"/>
            <w:tcBorders>
              <w:top w:val="nil"/>
              <w:left w:val="nil"/>
              <w:bottom w:val="single" w:sz="4" w:space="0" w:color="auto"/>
              <w:right w:val="single" w:sz="4" w:space="0" w:color="auto"/>
            </w:tcBorders>
            <w:shd w:val="clear" w:color="auto" w:fill="auto"/>
            <w:noWrap/>
            <w:vAlign w:val="bottom"/>
            <w:hideMark/>
          </w:tcPr>
          <w:p w14:paraId="517F166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52477</w:t>
            </w:r>
          </w:p>
        </w:tc>
        <w:tc>
          <w:tcPr>
            <w:tcW w:w="983" w:type="dxa"/>
            <w:tcBorders>
              <w:top w:val="nil"/>
              <w:left w:val="nil"/>
              <w:bottom w:val="single" w:sz="4" w:space="0" w:color="auto"/>
              <w:right w:val="single" w:sz="4" w:space="0" w:color="auto"/>
            </w:tcBorders>
            <w:shd w:val="clear" w:color="auto" w:fill="auto"/>
            <w:noWrap/>
            <w:vAlign w:val="bottom"/>
            <w:hideMark/>
          </w:tcPr>
          <w:p w14:paraId="138B38A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50067</w:t>
            </w:r>
          </w:p>
        </w:tc>
        <w:tc>
          <w:tcPr>
            <w:tcW w:w="983" w:type="dxa"/>
            <w:tcBorders>
              <w:top w:val="nil"/>
              <w:left w:val="nil"/>
              <w:bottom w:val="single" w:sz="4" w:space="0" w:color="auto"/>
              <w:right w:val="single" w:sz="4" w:space="0" w:color="auto"/>
            </w:tcBorders>
            <w:shd w:val="clear" w:color="auto" w:fill="auto"/>
            <w:noWrap/>
            <w:vAlign w:val="bottom"/>
            <w:hideMark/>
          </w:tcPr>
          <w:p w14:paraId="5F08F9D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44357</w:t>
            </w:r>
          </w:p>
        </w:tc>
      </w:tr>
      <w:tr w:rsidR="00F76157" w:rsidRPr="004E2FAA" w14:paraId="16BED22E"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57D61859"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„Klaipėdos nafta“</w:t>
            </w:r>
          </w:p>
        </w:tc>
        <w:tc>
          <w:tcPr>
            <w:tcW w:w="983" w:type="dxa"/>
            <w:tcBorders>
              <w:top w:val="nil"/>
              <w:left w:val="nil"/>
              <w:bottom w:val="single" w:sz="4" w:space="0" w:color="auto"/>
              <w:right w:val="single" w:sz="4" w:space="0" w:color="auto"/>
            </w:tcBorders>
            <w:shd w:val="clear" w:color="auto" w:fill="auto"/>
            <w:noWrap/>
            <w:vAlign w:val="bottom"/>
            <w:hideMark/>
          </w:tcPr>
          <w:p w14:paraId="4B70FCB3"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22390</w:t>
            </w:r>
          </w:p>
        </w:tc>
        <w:tc>
          <w:tcPr>
            <w:tcW w:w="983" w:type="dxa"/>
            <w:tcBorders>
              <w:top w:val="nil"/>
              <w:left w:val="nil"/>
              <w:bottom w:val="single" w:sz="4" w:space="0" w:color="auto"/>
              <w:right w:val="single" w:sz="4" w:space="0" w:color="auto"/>
            </w:tcBorders>
            <w:shd w:val="clear" w:color="auto" w:fill="auto"/>
            <w:noWrap/>
            <w:vAlign w:val="bottom"/>
            <w:hideMark/>
          </w:tcPr>
          <w:p w14:paraId="489B4E39"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45935</w:t>
            </w:r>
          </w:p>
        </w:tc>
        <w:tc>
          <w:tcPr>
            <w:tcW w:w="983" w:type="dxa"/>
            <w:tcBorders>
              <w:top w:val="nil"/>
              <w:left w:val="nil"/>
              <w:bottom w:val="single" w:sz="4" w:space="0" w:color="auto"/>
              <w:right w:val="single" w:sz="4" w:space="0" w:color="auto"/>
            </w:tcBorders>
            <w:shd w:val="clear" w:color="auto" w:fill="auto"/>
            <w:noWrap/>
            <w:vAlign w:val="bottom"/>
            <w:hideMark/>
          </w:tcPr>
          <w:p w14:paraId="0914A97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68126</w:t>
            </w:r>
          </w:p>
        </w:tc>
        <w:tc>
          <w:tcPr>
            <w:tcW w:w="983" w:type="dxa"/>
            <w:tcBorders>
              <w:top w:val="nil"/>
              <w:left w:val="nil"/>
              <w:bottom w:val="single" w:sz="4" w:space="0" w:color="auto"/>
              <w:right w:val="single" w:sz="4" w:space="0" w:color="auto"/>
            </w:tcBorders>
            <w:shd w:val="clear" w:color="auto" w:fill="auto"/>
            <w:noWrap/>
            <w:vAlign w:val="bottom"/>
            <w:hideMark/>
          </w:tcPr>
          <w:p w14:paraId="78B5FC04"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118612</w:t>
            </w:r>
          </w:p>
        </w:tc>
        <w:tc>
          <w:tcPr>
            <w:tcW w:w="983" w:type="dxa"/>
            <w:tcBorders>
              <w:top w:val="nil"/>
              <w:left w:val="nil"/>
              <w:bottom w:val="single" w:sz="4" w:space="0" w:color="auto"/>
              <w:right w:val="single" w:sz="4" w:space="0" w:color="auto"/>
            </w:tcBorders>
            <w:shd w:val="clear" w:color="auto" w:fill="auto"/>
            <w:noWrap/>
            <w:vAlign w:val="bottom"/>
            <w:hideMark/>
          </w:tcPr>
          <w:p w14:paraId="789211B9"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94255</w:t>
            </w:r>
          </w:p>
        </w:tc>
      </w:tr>
      <w:tr w:rsidR="00F76157" w:rsidRPr="004E2FAA" w14:paraId="76BFD9EF"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3191FECF"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„Lesto“</w:t>
            </w:r>
          </w:p>
        </w:tc>
        <w:tc>
          <w:tcPr>
            <w:tcW w:w="983" w:type="dxa"/>
            <w:tcBorders>
              <w:top w:val="nil"/>
              <w:left w:val="nil"/>
              <w:bottom w:val="single" w:sz="4" w:space="0" w:color="auto"/>
              <w:right w:val="single" w:sz="4" w:space="0" w:color="auto"/>
            </w:tcBorders>
            <w:shd w:val="clear" w:color="auto" w:fill="auto"/>
            <w:noWrap/>
            <w:vAlign w:val="bottom"/>
            <w:hideMark/>
          </w:tcPr>
          <w:p w14:paraId="48E92BB5"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343E96CC"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602BD3F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-353987</w:t>
            </w:r>
          </w:p>
        </w:tc>
        <w:tc>
          <w:tcPr>
            <w:tcW w:w="983" w:type="dxa"/>
            <w:tcBorders>
              <w:top w:val="nil"/>
              <w:left w:val="nil"/>
              <w:bottom w:val="single" w:sz="4" w:space="0" w:color="auto"/>
              <w:right w:val="single" w:sz="4" w:space="0" w:color="auto"/>
            </w:tcBorders>
            <w:shd w:val="clear" w:color="auto" w:fill="auto"/>
            <w:noWrap/>
            <w:vAlign w:val="bottom"/>
            <w:hideMark/>
          </w:tcPr>
          <w:p w14:paraId="0C70A6D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-275922</w:t>
            </w:r>
          </w:p>
        </w:tc>
        <w:tc>
          <w:tcPr>
            <w:tcW w:w="983" w:type="dxa"/>
            <w:tcBorders>
              <w:top w:val="nil"/>
              <w:left w:val="nil"/>
              <w:bottom w:val="single" w:sz="4" w:space="0" w:color="auto"/>
              <w:right w:val="single" w:sz="4" w:space="0" w:color="auto"/>
            </w:tcBorders>
            <w:shd w:val="clear" w:color="auto" w:fill="auto"/>
            <w:noWrap/>
            <w:vAlign w:val="bottom"/>
            <w:hideMark/>
          </w:tcPr>
          <w:p w14:paraId="58BD71B4"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-382396</w:t>
            </w:r>
          </w:p>
        </w:tc>
      </w:tr>
      <w:tr w:rsidR="00F76157" w:rsidRPr="004E2FAA" w14:paraId="54A02FEC"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391893F8"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„Lietuvos dujos“</w:t>
            </w:r>
          </w:p>
        </w:tc>
        <w:tc>
          <w:tcPr>
            <w:tcW w:w="983" w:type="dxa"/>
            <w:tcBorders>
              <w:top w:val="nil"/>
              <w:left w:val="nil"/>
              <w:bottom w:val="single" w:sz="4" w:space="0" w:color="auto"/>
              <w:right w:val="single" w:sz="4" w:space="0" w:color="auto"/>
            </w:tcBorders>
            <w:shd w:val="clear" w:color="auto" w:fill="auto"/>
            <w:noWrap/>
            <w:vAlign w:val="bottom"/>
            <w:hideMark/>
          </w:tcPr>
          <w:p w14:paraId="7EF16B8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44159</w:t>
            </w:r>
          </w:p>
        </w:tc>
        <w:tc>
          <w:tcPr>
            <w:tcW w:w="983" w:type="dxa"/>
            <w:tcBorders>
              <w:top w:val="nil"/>
              <w:left w:val="nil"/>
              <w:bottom w:val="single" w:sz="4" w:space="0" w:color="auto"/>
              <w:right w:val="single" w:sz="4" w:space="0" w:color="auto"/>
            </w:tcBorders>
            <w:shd w:val="clear" w:color="auto" w:fill="auto"/>
            <w:noWrap/>
            <w:vAlign w:val="bottom"/>
            <w:hideMark/>
          </w:tcPr>
          <w:p w14:paraId="0EB7237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56382</w:t>
            </w:r>
          </w:p>
        </w:tc>
        <w:tc>
          <w:tcPr>
            <w:tcW w:w="983" w:type="dxa"/>
            <w:tcBorders>
              <w:top w:val="nil"/>
              <w:left w:val="nil"/>
              <w:bottom w:val="single" w:sz="4" w:space="0" w:color="auto"/>
              <w:right w:val="single" w:sz="4" w:space="0" w:color="auto"/>
            </w:tcBorders>
            <w:shd w:val="clear" w:color="auto" w:fill="auto"/>
            <w:noWrap/>
            <w:vAlign w:val="bottom"/>
            <w:hideMark/>
          </w:tcPr>
          <w:p w14:paraId="22D844C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64986</w:t>
            </w:r>
          </w:p>
        </w:tc>
        <w:tc>
          <w:tcPr>
            <w:tcW w:w="983" w:type="dxa"/>
            <w:tcBorders>
              <w:top w:val="nil"/>
              <w:left w:val="nil"/>
              <w:bottom w:val="single" w:sz="4" w:space="0" w:color="auto"/>
              <w:right w:val="single" w:sz="4" w:space="0" w:color="auto"/>
            </w:tcBorders>
            <w:shd w:val="clear" w:color="auto" w:fill="auto"/>
            <w:noWrap/>
            <w:vAlign w:val="bottom"/>
            <w:hideMark/>
          </w:tcPr>
          <w:p w14:paraId="5DD44BA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93920</w:t>
            </w:r>
          </w:p>
        </w:tc>
        <w:tc>
          <w:tcPr>
            <w:tcW w:w="983" w:type="dxa"/>
            <w:tcBorders>
              <w:top w:val="nil"/>
              <w:left w:val="nil"/>
              <w:bottom w:val="single" w:sz="4" w:space="0" w:color="auto"/>
              <w:right w:val="single" w:sz="4" w:space="0" w:color="auto"/>
            </w:tcBorders>
            <w:shd w:val="clear" w:color="auto" w:fill="auto"/>
            <w:noWrap/>
            <w:vAlign w:val="bottom"/>
            <w:hideMark/>
          </w:tcPr>
          <w:p w14:paraId="3466538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260983</w:t>
            </w:r>
          </w:p>
        </w:tc>
      </w:tr>
      <w:tr w:rsidR="00F76157" w:rsidRPr="004E2FAA" w14:paraId="0F362FB3"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205B5990"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„Lietuvos energija“</w:t>
            </w:r>
          </w:p>
        </w:tc>
        <w:tc>
          <w:tcPr>
            <w:tcW w:w="983" w:type="dxa"/>
            <w:tcBorders>
              <w:top w:val="nil"/>
              <w:left w:val="nil"/>
              <w:bottom w:val="single" w:sz="4" w:space="0" w:color="auto"/>
              <w:right w:val="single" w:sz="4" w:space="0" w:color="auto"/>
            </w:tcBorders>
            <w:shd w:val="clear" w:color="auto" w:fill="auto"/>
            <w:noWrap/>
            <w:vAlign w:val="bottom"/>
            <w:hideMark/>
          </w:tcPr>
          <w:p w14:paraId="6B87A135"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4D405B6D"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3900311A"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5768776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-538586</w:t>
            </w:r>
          </w:p>
        </w:tc>
        <w:tc>
          <w:tcPr>
            <w:tcW w:w="983" w:type="dxa"/>
            <w:tcBorders>
              <w:top w:val="nil"/>
              <w:left w:val="nil"/>
              <w:bottom w:val="single" w:sz="4" w:space="0" w:color="auto"/>
              <w:right w:val="single" w:sz="4" w:space="0" w:color="auto"/>
            </w:tcBorders>
            <w:shd w:val="clear" w:color="auto" w:fill="auto"/>
            <w:noWrap/>
            <w:vAlign w:val="bottom"/>
            <w:hideMark/>
          </w:tcPr>
          <w:p w14:paraId="5DB8A24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40282</w:t>
            </w:r>
          </w:p>
        </w:tc>
      </w:tr>
      <w:tr w:rsidR="00F76157" w:rsidRPr="004E2FAA" w14:paraId="59CD53AE" w14:textId="77777777" w:rsidTr="007742F5">
        <w:trPr>
          <w:trHeight w:val="256"/>
          <w:jc w:val="center"/>
        </w:trPr>
        <w:tc>
          <w:tcPr>
            <w:tcW w:w="3760" w:type="dxa"/>
            <w:tcBorders>
              <w:top w:val="nil"/>
              <w:left w:val="single" w:sz="4" w:space="0" w:color="auto"/>
              <w:bottom w:val="single" w:sz="4" w:space="0" w:color="auto"/>
              <w:right w:val="single" w:sz="4" w:space="0" w:color="auto"/>
            </w:tcBorders>
            <w:shd w:val="clear" w:color="auto" w:fill="auto"/>
            <w:hideMark/>
          </w:tcPr>
          <w:p w14:paraId="2CD09875"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„Lietuvos jūrų laivininkystė“</w:t>
            </w:r>
          </w:p>
        </w:tc>
        <w:tc>
          <w:tcPr>
            <w:tcW w:w="983" w:type="dxa"/>
            <w:tcBorders>
              <w:top w:val="nil"/>
              <w:left w:val="nil"/>
              <w:bottom w:val="single" w:sz="4" w:space="0" w:color="auto"/>
              <w:right w:val="single" w:sz="4" w:space="0" w:color="auto"/>
            </w:tcBorders>
            <w:shd w:val="clear" w:color="auto" w:fill="auto"/>
            <w:noWrap/>
            <w:vAlign w:val="bottom"/>
            <w:hideMark/>
          </w:tcPr>
          <w:p w14:paraId="59757D5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-15302</w:t>
            </w:r>
          </w:p>
        </w:tc>
        <w:tc>
          <w:tcPr>
            <w:tcW w:w="983" w:type="dxa"/>
            <w:tcBorders>
              <w:top w:val="nil"/>
              <w:left w:val="nil"/>
              <w:bottom w:val="single" w:sz="4" w:space="0" w:color="auto"/>
              <w:right w:val="single" w:sz="4" w:space="0" w:color="auto"/>
            </w:tcBorders>
            <w:shd w:val="clear" w:color="auto" w:fill="auto"/>
            <w:noWrap/>
            <w:vAlign w:val="bottom"/>
            <w:hideMark/>
          </w:tcPr>
          <w:p w14:paraId="0B5685B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-19176</w:t>
            </w:r>
          </w:p>
        </w:tc>
        <w:tc>
          <w:tcPr>
            <w:tcW w:w="983" w:type="dxa"/>
            <w:tcBorders>
              <w:top w:val="nil"/>
              <w:left w:val="nil"/>
              <w:bottom w:val="single" w:sz="4" w:space="0" w:color="auto"/>
              <w:right w:val="single" w:sz="4" w:space="0" w:color="auto"/>
            </w:tcBorders>
            <w:shd w:val="clear" w:color="auto" w:fill="auto"/>
            <w:noWrap/>
            <w:vAlign w:val="bottom"/>
            <w:hideMark/>
          </w:tcPr>
          <w:p w14:paraId="1153A049"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-23084</w:t>
            </w:r>
          </w:p>
        </w:tc>
        <w:tc>
          <w:tcPr>
            <w:tcW w:w="983" w:type="dxa"/>
            <w:tcBorders>
              <w:top w:val="nil"/>
              <w:left w:val="nil"/>
              <w:bottom w:val="single" w:sz="4" w:space="0" w:color="auto"/>
              <w:right w:val="single" w:sz="4" w:space="0" w:color="auto"/>
            </w:tcBorders>
            <w:shd w:val="clear" w:color="auto" w:fill="auto"/>
            <w:noWrap/>
            <w:vAlign w:val="bottom"/>
            <w:hideMark/>
          </w:tcPr>
          <w:p w14:paraId="5038C0D9"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-41762</w:t>
            </w:r>
          </w:p>
        </w:tc>
        <w:tc>
          <w:tcPr>
            <w:tcW w:w="983" w:type="dxa"/>
            <w:tcBorders>
              <w:top w:val="nil"/>
              <w:left w:val="nil"/>
              <w:bottom w:val="single" w:sz="4" w:space="0" w:color="auto"/>
              <w:right w:val="single" w:sz="4" w:space="0" w:color="auto"/>
            </w:tcBorders>
            <w:shd w:val="clear" w:color="auto" w:fill="auto"/>
            <w:noWrap/>
            <w:vAlign w:val="bottom"/>
            <w:hideMark/>
          </w:tcPr>
          <w:p w14:paraId="2C4B24B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-35614</w:t>
            </w:r>
          </w:p>
        </w:tc>
      </w:tr>
      <w:tr w:rsidR="00F76157" w:rsidRPr="004E2FAA" w14:paraId="5E60A409" w14:textId="77777777" w:rsidTr="007742F5">
        <w:trPr>
          <w:trHeight w:val="273"/>
          <w:jc w:val="center"/>
        </w:trPr>
        <w:tc>
          <w:tcPr>
            <w:tcW w:w="3760" w:type="dxa"/>
            <w:tcBorders>
              <w:top w:val="nil"/>
              <w:left w:val="single" w:sz="4" w:space="0" w:color="auto"/>
              <w:bottom w:val="single" w:sz="4" w:space="0" w:color="auto"/>
              <w:right w:val="single" w:sz="4" w:space="0" w:color="auto"/>
            </w:tcBorders>
            <w:shd w:val="clear" w:color="auto" w:fill="auto"/>
            <w:hideMark/>
          </w:tcPr>
          <w:p w14:paraId="35101F11"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„Limarko laivininkystės kompanija“</w:t>
            </w:r>
          </w:p>
        </w:tc>
        <w:tc>
          <w:tcPr>
            <w:tcW w:w="983" w:type="dxa"/>
            <w:tcBorders>
              <w:top w:val="nil"/>
              <w:left w:val="nil"/>
              <w:bottom w:val="single" w:sz="4" w:space="0" w:color="auto"/>
              <w:right w:val="single" w:sz="4" w:space="0" w:color="auto"/>
            </w:tcBorders>
            <w:shd w:val="clear" w:color="auto" w:fill="auto"/>
            <w:noWrap/>
            <w:vAlign w:val="bottom"/>
            <w:hideMark/>
          </w:tcPr>
          <w:p w14:paraId="46849562"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-31794</w:t>
            </w:r>
          </w:p>
        </w:tc>
        <w:tc>
          <w:tcPr>
            <w:tcW w:w="983" w:type="dxa"/>
            <w:tcBorders>
              <w:top w:val="nil"/>
              <w:left w:val="nil"/>
              <w:bottom w:val="single" w:sz="4" w:space="0" w:color="auto"/>
              <w:right w:val="single" w:sz="4" w:space="0" w:color="auto"/>
            </w:tcBorders>
            <w:shd w:val="clear" w:color="auto" w:fill="auto"/>
            <w:noWrap/>
            <w:vAlign w:val="bottom"/>
            <w:hideMark/>
          </w:tcPr>
          <w:p w14:paraId="6763B202"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-40330</w:t>
            </w:r>
          </w:p>
        </w:tc>
        <w:tc>
          <w:tcPr>
            <w:tcW w:w="983" w:type="dxa"/>
            <w:tcBorders>
              <w:top w:val="nil"/>
              <w:left w:val="nil"/>
              <w:bottom w:val="single" w:sz="4" w:space="0" w:color="auto"/>
              <w:right w:val="single" w:sz="4" w:space="0" w:color="auto"/>
            </w:tcBorders>
            <w:shd w:val="clear" w:color="auto" w:fill="auto"/>
            <w:noWrap/>
            <w:vAlign w:val="bottom"/>
            <w:hideMark/>
          </w:tcPr>
          <w:p w14:paraId="76B0D5A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-33729</w:t>
            </w:r>
          </w:p>
        </w:tc>
        <w:tc>
          <w:tcPr>
            <w:tcW w:w="983" w:type="dxa"/>
            <w:tcBorders>
              <w:top w:val="nil"/>
              <w:left w:val="nil"/>
              <w:bottom w:val="single" w:sz="4" w:space="0" w:color="auto"/>
              <w:right w:val="single" w:sz="4" w:space="0" w:color="auto"/>
            </w:tcBorders>
            <w:shd w:val="clear" w:color="auto" w:fill="auto"/>
            <w:noWrap/>
            <w:vAlign w:val="bottom"/>
            <w:hideMark/>
          </w:tcPr>
          <w:p w14:paraId="7901938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-63967</w:t>
            </w:r>
          </w:p>
        </w:tc>
        <w:tc>
          <w:tcPr>
            <w:tcW w:w="983" w:type="dxa"/>
            <w:tcBorders>
              <w:top w:val="nil"/>
              <w:left w:val="nil"/>
              <w:bottom w:val="single" w:sz="4" w:space="0" w:color="auto"/>
              <w:right w:val="single" w:sz="4" w:space="0" w:color="auto"/>
            </w:tcBorders>
            <w:shd w:val="clear" w:color="auto" w:fill="auto"/>
            <w:noWrap/>
            <w:vAlign w:val="bottom"/>
            <w:hideMark/>
          </w:tcPr>
          <w:p w14:paraId="4C867C7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-96381</w:t>
            </w:r>
          </w:p>
        </w:tc>
      </w:tr>
      <w:tr w:rsidR="00F76157" w:rsidRPr="004E2FAA" w14:paraId="43A7963F" w14:textId="77777777" w:rsidTr="007742F5">
        <w:trPr>
          <w:trHeight w:val="264"/>
          <w:jc w:val="center"/>
        </w:trPr>
        <w:tc>
          <w:tcPr>
            <w:tcW w:w="3760" w:type="dxa"/>
            <w:tcBorders>
              <w:top w:val="nil"/>
              <w:left w:val="single" w:sz="4" w:space="0" w:color="auto"/>
              <w:bottom w:val="single" w:sz="4" w:space="0" w:color="auto"/>
              <w:right w:val="single" w:sz="4" w:space="0" w:color="auto"/>
            </w:tcBorders>
            <w:shd w:val="clear" w:color="auto" w:fill="auto"/>
            <w:hideMark/>
          </w:tcPr>
          <w:p w14:paraId="3C81D4D2"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„Linas“</w:t>
            </w:r>
          </w:p>
        </w:tc>
        <w:tc>
          <w:tcPr>
            <w:tcW w:w="983" w:type="dxa"/>
            <w:tcBorders>
              <w:top w:val="nil"/>
              <w:left w:val="nil"/>
              <w:bottom w:val="single" w:sz="4" w:space="0" w:color="auto"/>
              <w:right w:val="single" w:sz="4" w:space="0" w:color="auto"/>
            </w:tcBorders>
            <w:shd w:val="clear" w:color="auto" w:fill="auto"/>
            <w:noWrap/>
            <w:vAlign w:val="bottom"/>
            <w:hideMark/>
          </w:tcPr>
          <w:p w14:paraId="5BCE572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11329</w:t>
            </w:r>
          </w:p>
        </w:tc>
        <w:tc>
          <w:tcPr>
            <w:tcW w:w="983" w:type="dxa"/>
            <w:tcBorders>
              <w:top w:val="nil"/>
              <w:left w:val="nil"/>
              <w:bottom w:val="single" w:sz="4" w:space="0" w:color="auto"/>
              <w:right w:val="single" w:sz="4" w:space="0" w:color="auto"/>
            </w:tcBorders>
            <w:shd w:val="clear" w:color="auto" w:fill="auto"/>
            <w:noWrap/>
            <w:vAlign w:val="bottom"/>
            <w:hideMark/>
          </w:tcPr>
          <w:p w14:paraId="15F33FDA"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5070</w:t>
            </w:r>
          </w:p>
        </w:tc>
        <w:tc>
          <w:tcPr>
            <w:tcW w:w="983" w:type="dxa"/>
            <w:tcBorders>
              <w:top w:val="nil"/>
              <w:left w:val="nil"/>
              <w:bottom w:val="single" w:sz="4" w:space="0" w:color="auto"/>
              <w:right w:val="single" w:sz="4" w:space="0" w:color="auto"/>
            </w:tcBorders>
            <w:shd w:val="clear" w:color="auto" w:fill="auto"/>
            <w:noWrap/>
            <w:vAlign w:val="bottom"/>
            <w:hideMark/>
          </w:tcPr>
          <w:p w14:paraId="2FE5544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6242</w:t>
            </w:r>
          </w:p>
        </w:tc>
        <w:tc>
          <w:tcPr>
            <w:tcW w:w="983" w:type="dxa"/>
            <w:tcBorders>
              <w:top w:val="nil"/>
              <w:left w:val="nil"/>
              <w:bottom w:val="single" w:sz="4" w:space="0" w:color="auto"/>
              <w:right w:val="single" w:sz="4" w:space="0" w:color="auto"/>
            </w:tcBorders>
            <w:shd w:val="clear" w:color="auto" w:fill="auto"/>
            <w:noWrap/>
            <w:vAlign w:val="bottom"/>
            <w:hideMark/>
          </w:tcPr>
          <w:p w14:paraId="0BDE151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6128</w:t>
            </w:r>
          </w:p>
        </w:tc>
        <w:tc>
          <w:tcPr>
            <w:tcW w:w="983" w:type="dxa"/>
            <w:tcBorders>
              <w:top w:val="nil"/>
              <w:left w:val="nil"/>
              <w:bottom w:val="single" w:sz="4" w:space="0" w:color="auto"/>
              <w:right w:val="single" w:sz="4" w:space="0" w:color="auto"/>
            </w:tcBorders>
            <w:shd w:val="clear" w:color="auto" w:fill="auto"/>
            <w:noWrap/>
            <w:vAlign w:val="bottom"/>
            <w:hideMark/>
          </w:tcPr>
          <w:p w14:paraId="61DBADC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8244</w:t>
            </w:r>
          </w:p>
        </w:tc>
      </w:tr>
      <w:tr w:rsidR="00F76157" w:rsidRPr="004E2FAA" w14:paraId="3B88430D"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0F3BC3A2"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„Linas Agro Group“</w:t>
            </w:r>
          </w:p>
        </w:tc>
        <w:tc>
          <w:tcPr>
            <w:tcW w:w="983" w:type="dxa"/>
            <w:tcBorders>
              <w:top w:val="nil"/>
              <w:left w:val="nil"/>
              <w:bottom w:val="single" w:sz="4" w:space="0" w:color="auto"/>
              <w:right w:val="single" w:sz="4" w:space="0" w:color="auto"/>
            </w:tcBorders>
            <w:shd w:val="clear" w:color="auto" w:fill="auto"/>
            <w:noWrap/>
            <w:vAlign w:val="bottom"/>
            <w:hideMark/>
          </w:tcPr>
          <w:p w14:paraId="02CCE20A"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0908585A"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-470</w:t>
            </w:r>
          </w:p>
        </w:tc>
        <w:tc>
          <w:tcPr>
            <w:tcW w:w="983" w:type="dxa"/>
            <w:tcBorders>
              <w:top w:val="nil"/>
              <w:left w:val="nil"/>
              <w:bottom w:val="single" w:sz="4" w:space="0" w:color="auto"/>
              <w:right w:val="single" w:sz="4" w:space="0" w:color="auto"/>
            </w:tcBorders>
            <w:shd w:val="clear" w:color="auto" w:fill="auto"/>
            <w:noWrap/>
            <w:vAlign w:val="bottom"/>
            <w:hideMark/>
          </w:tcPr>
          <w:p w14:paraId="20322973"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34602</w:t>
            </w:r>
          </w:p>
        </w:tc>
        <w:tc>
          <w:tcPr>
            <w:tcW w:w="983" w:type="dxa"/>
            <w:tcBorders>
              <w:top w:val="nil"/>
              <w:left w:val="nil"/>
              <w:bottom w:val="single" w:sz="4" w:space="0" w:color="auto"/>
              <w:right w:val="single" w:sz="4" w:space="0" w:color="auto"/>
            </w:tcBorders>
            <w:shd w:val="clear" w:color="auto" w:fill="auto"/>
            <w:noWrap/>
            <w:vAlign w:val="bottom"/>
            <w:hideMark/>
          </w:tcPr>
          <w:p w14:paraId="3F6CE674"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34099</w:t>
            </w:r>
          </w:p>
        </w:tc>
        <w:tc>
          <w:tcPr>
            <w:tcW w:w="983" w:type="dxa"/>
            <w:tcBorders>
              <w:top w:val="nil"/>
              <w:left w:val="nil"/>
              <w:bottom w:val="single" w:sz="4" w:space="0" w:color="auto"/>
              <w:right w:val="single" w:sz="4" w:space="0" w:color="auto"/>
            </w:tcBorders>
            <w:shd w:val="clear" w:color="auto" w:fill="auto"/>
            <w:noWrap/>
            <w:vAlign w:val="bottom"/>
            <w:hideMark/>
          </w:tcPr>
          <w:p w14:paraId="4FD1B7E2"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102688</w:t>
            </w:r>
          </w:p>
        </w:tc>
      </w:tr>
      <w:tr w:rsidR="00F76157" w:rsidRPr="004E2FAA" w14:paraId="5111AEBC"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75811D6A"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„Litgrid“</w:t>
            </w:r>
          </w:p>
        </w:tc>
        <w:tc>
          <w:tcPr>
            <w:tcW w:w="983" w:type="dxa"/>
            <w:tcBorders>
              <w:top w:val="nil"/>
              <w:left w:val="nil"/>
              <w:bottom w:val="single" w:sz="4" w:space="0" w:color="auto"/>
              <w:right w:val="single" w:sz="4" w:space="0" w:color="auto"/>
            </w:tcBorders>
            <w:shd w:val="clear" w:color="auto" w:fill="auto"/>
            <w:noWrap/>
            <w:vAlign w:val="bottom"/>
            <w:hideMark/>
          </w:tcPr>
          <w:p w14:paraId="75526796"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755CDDE6" w14:textId="77777777" w:rsidR="00F76157" w:rsidRPr="004E2FAA" w:rsidRDefault="00F76157" w:rsidP="007742F5">
            <w:pPr>
              <w:spacing w:after="0" w:line="240" w:lineRule="auto"/>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06B9BCD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19690</w:t>
            </w:r>
          </w:p>
        </w:tc>
        <w:tc>
          <w:tcPr>
            <w:tcW w:w="983" w:type="dxa"/>
            <w:tcBorders>
              <w:top w:val="nil"/>
              <w:left w:val="nil"/>
              <w:bottom w:val="single" w:sz="4" w:space="0" w:color="auto"/>
              <w:right w:val="single" w:sz="4" w:space="0" w:color="auto"/>
            </w:tcBorders>
            <w:shd w:val="clear" w:color="auto" w:fill="auto"/>
            <w:noWrap/>
            <w:vAlign w:val="bottom"/>
            <w:hideMark/>
          </w:tcPr>
          <w:p w14:paraId="1E8F2AF3"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175788</w:t>
            </w:r>
          </w:p>
        </w:tc>
        <w:tc>
          <w:tcPr>
            <w:tcW w:w="983" w:type="dxa"/>
            <w:tcBorders>
              <w:top w:val="nil"/>
              <w:left w:val="nil"/>
              <w:bottom w:val="single" w:sz="4" w:space="0" w:color="auto"/>
              <w:right w:val="single" w:sz="4" w:space="0" w:color="auto"/>
            </w:tcBorders>
            <w:shd w:val="clear" w:color="auto" w:fill="auto"/>
            <w:noWrap/>
            <w:vAlign w:val="bottom"/>
            <w:hideMark/>
          </w:tcPr>
          <w:p w14:paraId="756F7CB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38101</w:t>
            </w:r>
          </w:p>
        </w:tc>
      </w:tr>
      <w:tr w:rsidR="00F76157" w:rsidRPr="004E2FAA" w14:paraId="3A80D897"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2E694C2C"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„Panevėžio statybos trestas“</w:t>
            </w:r>
          </w:p>
        </w:tc>
        <w:tc>
          <w:tcPr>
            <w:tcW w:w="983" w:type="dxa"/>
            <w:tcBorders>
              <w:top w:val="nil"/>
              <w:left w:val="nil"/>
              <w:bottom w:val="single" w:sz="4" w:space="0" w:color="auto"/>
              <w:right w:val="single" w:sz="4" w:space="0" w:color="auto"/>
            </w:tcBorders>
            <w:shd w:val="clear" w:color="auto" w:fill="auto"/>
            <w:noWrap/>
            <w:vAlign w:val="bottom"/>
            <w:hideMark/>
          </w:tcPr>
          <w:p w14:paraId="189C00B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70684</w:t>
            </w:r>
          </w:p>
        </w:tc>
        <w:tc>
          <w:tcPr>
            <w:tcW w:w="983" w:type="dxa"/>
            <w:tcBorders>
              <w:top w:val="nil"/>
              <w:left w:val="nil"/>
              <w:bottom w:val="single" w:sz="4" w:space="0" w:color="auto"/>
              <w:right w:val="single" w:sz="4" w:space="0" w:color="auto"/>
            </w:tcBorders>
            <w:shd w:val="clear" w:color="auto" w:fill="auto"/>
            <w:noWrap/>
            <w:vAlign w:val="bottom"/>
            <w:hideMark/>
          </w:tcPr>
          <w:p w14:paraId="33D41FF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58409</w:t>
            </w:r>
          </w:p>
        </w:tc>
        <w:tc>
          <w:tcPr>
            <w:tcW w:w="983" w:type="dxa"/>
            <w:tcBorders>
              <w:top w:val="nil"/>
              <w:left w:val="nil"/>
              <w:bottom w:val="single" w:sz="4" w:space="0" w:color="auto"/>
              <w:right w:val="single" w:sz="4" w:space="0" w:color="auto"/>
            </w:tcBorders>
            <w:shd w:val="clear" w:color="auto" w:fill="auto"/>
            <w:noWrap/>
            <w:vAlign w:val="bottom"/>
            <w:hideMark/>
          </w:tcPr>
          <w:p w14:paraId="6BDACBA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61777</w:t>
            </w:r>
          </w:p>
        </w:tc>
        <w:tc>
          <w:tcPr>
            <w:tcW w:w="983" w:type="dxa"/>
            <w:tcBorders>
              <w:top w:val="nil"/>
              <w:left w:val="nil"/>
              <w:bottom w:val="single" w:sz="4" w:space="0" w:color="auto"/>
              <w:right w:val="single" w:sz="4" w:space="0" w:color="auto"/>
            </w:tcBorders>
            <w:shd w:val="clear" w:color="auto" w:fill="auto"/>
            <w:noWrap/>
            <w:vAlign w:val="bottom"/>
            <w:hideMark/>
          </w:tcPr>
          <w:p w14:paraId="43C4853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61819</w:t>
            </w:r>
          </w:p>
        </w:tc>
        <w:tc>
          <w:tcPr>
            <w:tcW w:w="983" w:type="dxa"/>
            <w:tcBorders>
              <w:top w:val="nil"/>
              <w:left w:val="nil"/>
              <w:bottom w:val="single" w:sz="4" w:space="0" w:color="auto"/>
              <w:right w:val="single" w:sz="4" w:space="0" w:color="auto"/>
            </w:tcBorders>
            <w:shd w:val="clear" w:color="auto" w:fill="auto"/>
            <w:noWrap/>
            <w:vAlign w:val="bottom"/>
            <w:hideMark/>
          </w:tcPr>
          <w:p w14:paraId="6538437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71642</w:t>
            </w:r>
          </w:p>
        </w:tc>
      </w:tr>
      <w:tr w:rsidR="00F76157" w:rsidRPr="004E2FAA" w14:paraId="78C8357F" w14:textId="77777777" w:rsidTr="007742F5">
        <w:trPr>
          <w:trHeight w:val="207"/>
          <w:jc w:val="center"/>
        </w:trPr>
        <w:tc>
          <w:tcPr>
            <w:tcW w:w="3760" w:type="dxa"/>
            <w:tcBorders>
              <w:top w:val="nil"/>
              <w:left w:val="single" w:sz="4" w:space="0" w:color="auto"/>
              <w:bottom w:val="single" w:sz="4" w:space="0" w:color="auto"/>
              <w:right w:val="single" w:sz="4" w:space="0" w:color="auto"/>
            </w:tcBorders>
            <w:shd w:val="clear" w:color="auto" w:fill="auto"/>
            <w:hideMark/>
          </w:tcPr>
          <w:p w14:paraId="7C01E0B5"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„Pieno žvaigždės“</w:t>
            </w:r>
          </w:p>
        </w:tc>
        <w:tc>
          <w:tcPr>
            <w:tcW w:w="983" w:type="dxa"/>
            <w:tcBorders>
              <w:top w:val="nil"/>
              <w:left w:val="nil"/>
              <w:bottom w:val="single" w:sz="4" w:space="0" w:color="auto"/>
              <w:right w:val="single" w:sz="4" w:space="0" w:color="auto"/>
            </w:tcBorders>
            <w:shd w:val="clear" w:color="auto" w:fill="auto"/>
            <w:noWrap/>
            <w:vAlign w:val="bottom"/>
            <w:hideMark/>
          </w:tcPr>
          <w:p w14:paraId="6F16875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-16514</w:t>
            </w:r>
          </w:p>
        </w:tc>
        <w:tc>
          <w:tcPr>
            <w:tcW w:w="983" w:type="dxa"/>
            <w:tcBorders>
              <w:top w:val="nil"/>
              <w:left w:val="nil"/>
              <w:bottom w:val="single" w:sz="4" w:space="0" w:color="auto"/>
              <w:right w:val="single" w:sz="4" w:space="0" w:color="auto"/>
            </w:tcBorders>
            <w:shd w:val="clear" w:color="auto" w:fill="auto"/>
            <w:noWrap/>
            <w:vAlign w:val="bottom"/>
            <w:hideMark/>
          </w:tcPr>
          <w:p w14:paraId="4E543F0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-33831</w:t>
            </w:r>
          </w:p>
        </w:tc>
        <w:tc>
          <w:tcPr>
            <w:tcW w:w="983" w:type="dxa"/>
            <w:tcBorders>
              <w:top w:val="nil"/>
              <w:left w:val="nil"/>
              <w:bottom w:val="single" w:sz="4" w:space="0" w:color="auto"/>
              <w:right w:val="single" w:sz="4" w:space="0" w:color="auto"/>
            </w:tcBorders>
            <w:shd w:val="clear" w:color="auto" w:fill="auto"/>
            <w:noWrap/>
            <w:vAlign w:val="bottom"/>
            <w:hideMark/>
          </w:tcPr>
          <w:p w14:paraId="1102983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1179</w:t>
            </w:r>
          </w:p>
        </w:tc>
        <w:tc>
          <w:tcPr>
            <w:tcW w:w="983" w:type="dxa"/>
            <w:tcBorders>
              <w:top w:val="nil"/>
              <w:left w:val="nil"/>
              <w:bottom w:val="single" w:sz="4" w:space="0" w:color="auto"/>
              <w:right w:val="single" w:sz="4" w:space="0" w:color="auto"/>
            </w:tcBorders>
            <w:shd w:val="clear" w:color="auto" w:fill="auto"/>
            <w:noWrap/>
            <w:vAlign w:val="bottom"/>
            <w:hideMark/>
          </w:tcPr>
          <w:p w14:paraId="2B96DB1D"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63343</w:t>
            </w:r>
          </w:p>
        </w:tc>
        <w:tc>
          <w:tcPr>
            <w:tcW w:w="983" w:type="dxa"/>
            <w:tcBorders>
              <w:top w:val="nil"/>
              <w:left w:val="nil"/>
              <w:bottom w:val="single" w:sz="4" w:space="0" w:color="auto"/>
              <w:right w:val="single" w:sz="4" w:space="0" w:color="auto"/>
            </w:tcBorders>
            <w:shd w:val="clear" w:color="auto" w:fill="auto"/>
            <w:noWrap/>
            <w:vAlign w:val="bottom"/>
            <w:hideMark/>
          </w:tcPr>
          <w:p w14:paraId="5560AC8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15828</w:t>
            </w:r>
          </w:p>
        </w:tc>
      </w:tr>
      <w:tr w:rsidR="00F76157" w:rsidRPr="004E2FAA" w14:paraId="5F3882CC"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33B943A5"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„Rokiškio sūris“</w:t>
            </w:r>
          </w:p>
        </w:tc>
        <w:tc>
          <w:tcPr>
            <w:tcW w:w="983" w:type="dxa"/>
            <w:tcBorders>
              <w:top w:val="nil"/>
              <w:left w:val="nil"/>
              <w:bottom w:val="single" w:sz="4" w:space="0" w:color="auto"/>
              <w:right w:val="single" w:sz="4" w:space="0" w:color="auto"/>
            </w:tcBorders>
            <w:shd w:val="clear" w:color="auto" w:fill="auto"/>
            <w:noWrap/>
            <w:vAlign w:val="bottom"/>
            <w:hideMark/>
          </w:tcPr>
          <w:p w14:paraId="6564EA2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12881</w:t>
            </w:r>
          </w:p>
        </w:tc>
        <w:tc>
          <w:tcPr>
            <w:tcW w:w="983" w:type="dxa"/>
            <w:tcBorders>
              <w:top w:val="nil"/>
              <w:left w:val="nil"/>
              <w:bottom w:val="single" w:sz="4" w:space="0" w:color="auto"/>
              <w:right w:val="single" w:sz="4" w:space="0" w:color="auto"/>
            </w:tcBorders>
            <w:shd w:val="clear" w:color="auto" w:fill="auto"/>
            <w:noWrap/>
            <w:vAlign w:val="bottom"/>
            <w:hideMark/>
          </w:tcPr>
          <w:p w14:paraId="6B78CD5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52225</w:t>
            </w:r>
          </w:p>
        </w:tc>
        <w:tc>
          <w:tcPr>
            <w:tcW w:w="983" w:type="dxa"/>
            <w:tcBorders>
              <w:top w:val="nil"/>
              <w:left w:val="nil"/>
              <w:bottom w:val="single" w:sz="4" w:space="0" w:color="auto"/>
              <w:right w:val="single" w:sz="4" w:space="0" w:color="auto"/>
            </w:tcBorders>
            <w:shd w:val="clear" w:color="auto" w:fill="auto"/>
            <w:noWrap/>
            <w:vAlign w:val="bottom"/>
            <w:hideMark/>
          </w:tcPr>
          <w:p w14:paraId="146B3CC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72281</w:t>
            </w:r>
          </w:p>
        </w:tc>
        <w:tc>
          <w:tcPr>
            <w:tcW w:w="983" w:type="dxa"/>
            <w:tcBorders>
              <w:top w:val="nil"/>
              <w:left w:val="nil"/>
              <w:bottom w:val="single" w:sz="4" w:space="0" w:color="auto"/>
              <w:right w:val="single" w:sz="4" w:space="0" w:color="auto"/>
            </w:tcBorders>
            <w:shd w:val="clear" w:color="auto" w:fill="auto"/>
            <w:noWrap/>
            <w:vAlign w:val="bottom"/>
            <w:hideMark/>
          </w:tcPr>
          <w:p w14:paraId="71078FF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95363</w:t>
            </w:r>
          </w:p>
        </w:tc>
        <w:tc>
          <w:tcPr>
            <w:tcW w:w="983" w:type="dxa"/>
            <w:tcBorders>
              <w:top w:val="nil"/>
              <w:left w:val="nil"/>
              <w:bottom w:val="single" w:sz="4" w:space="0" w:color="auto"/>
              <w:right w:val="single" w:sz="4" w:space="0" w:color="auto"/>
            </w:tcBorders>
            <w:shd w:val="clear" w:color="auto" w:fill="auto"/>
            <w:noWrap/>
            <w:vAlign w:val="bottom"/>
            <w:hideMark/>
          </w:tcPr>
          <w:p w14:paraId="4A2A98E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162429</w:t>
            </w:r>
          </w:p>
        </w:tc>
      </w:tr>
      <w:tr w:rsidR="00F76157" w:rsidRPr="004E2FAA" w14:paraId="2E162C76"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15FEC4BF"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„Sanitas“</w:t>
            </w:r>
          </w:p>
        </w:tc>
        <w:tc>
          <w:tcPr>
            <w:tcW w:w="983" w:type="dxa"/>
            <w:tcBorders>
              <w:top w:val="nil"/>
              <w:left w:val="nil"/>
              <w:bottom w:val="single" w:sz="4" w:space="0" w:color="auto"/>
              <w:right w:val="single" w:sz="4" w:space="0" w:color="auto"/>
            </w:tcBorders>
            <w:shd w:val="clear" w:color="auto" w:fill="auto"/>
            <w:noWrap/>
            <w:vAlign w:val="bottom"/>
            <w:hideMark/>
          </w:tcPr>
          <w:p w14:paraId="69CE97C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-44828</w:t>
            </w:r>
          </w:p>
        </w:tc>
        <w:tc>
          <w:tcPr>
            <w:tcW w:w="983" w:type="dxa"/>
            <w:tcBorders>
              <w:top w:val="nil"/>
              <w:left w:val="nil"/>
              <w:bottom w:val="single" w:sz="4" w:space="0" w:color="auto"/>
              <w:right w:val="single" w:sz="4" w:space="0" w:color="auto"/>
            </w:tcBorders>
            <w:shd w:val="clear" w:color="auto" w:fill="auto"/>
            <w:noWrap/>
            <w:vAlign w:val="bottom"/>
            <w:hideMark/>
          </w:tcPr>
          <w:p w14:paraId="35A240B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-56496</w:t>
            </w:r>
          </w:p>
        </w:tc>
        <w:tc>
          <w:tcPr>
            <w:tcW w:w="983" w:type="dxa"/>
            <w:tcBorders>
              <w:top w:val="nil"/>
              <w:left w:val="nil"/>
              <w:bottom w:val="single" w:sz="4" w:space="0" w:color="auto"/>
              <w:right w:val="single" w:sz="4" w:space="0" w:color="auto"/>
            </w:tcBorders>
            <w:shd w:val="clear" w:color="auto" w:fill="auto"/>
            <w:noWrap/>
            <w:vAlign w:val="bottom"/>
            <w:hideMark/>
          </w:tcPr>
          <w:p w14:paraId="2C9A14A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-44513</w:t>
            </w:r>
          </w:p>
        </w:tc>
        <w:tc>
          <w:tcPr>
            <w:tcW w:w="983" w:type="dxa"/>
            <w:tcBorders>
              <w:top w:val="nil"/>
              <w:left w:val="nil"/>
              <w:bottom w:val="single" w:sz="4" w:space="0" w:color="auto"/>
              <w:right w:val="single" w:sz="4" w:space="0" w:color="auto"/>
            </w:tcBorders>
            <w:shd w:val="clear" w:color="auto" w:fill="auto"/>
            <w:noWrap/>
            <w:vAlign w:val="bottom"/>
            <w:hideMark/>
          </w:tcPr>
          <w:p w14:paraId="2E1853B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-15528</w:t>
            </w:r>
          </w:p>
        </w:tc>
        <w:tc>
          <w:tcPr>
            <w:tcW w:w="983" w:type="dxa"/>
            <w:tcBorders>
              <w:top w:val="nil"/>
              <w:left w:val="nil"/>
              <w:bottom w:val="single" w:sz="4" w:space="0" w:color="auto"/>
              <w:right w:val="single" w:sz="4" w:space="0" w:color="auto"/>
            </w:tcBorders>
            <w:shd w:val="clear" w:color="auto" w:fill="auto"/>
            <w:noWrap/>
            <w:vAlign w:val="bottom"/>
            <w:hideMark/>
          </w:tcPr>
          <w:p w14:paraId="76517583"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-59257</w:t>
            </w:r>
          </w:p>
        </w:tc>
      </w:tr>
      <w:tr w:rsidR="00F76157" w:rsidRPr="004E2FAA" w14:paraId="31E3D04A"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23B466BD"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„Snaigė“</w:t>
            </w:r>
          </w:p>
        </w:tc>
        <w:tc>
          <w:tcPr>
            <w:tcW w:w="983" w:type="dxa"/>
            <w:tcBorders>
              <w:top w:val="nil"/>
              <w:left w:val="nil"/>
              <w:bottom w:val="single" w:sz="4" w:space="0" w:color="auto"/>
              <w:right w:val="single" w:sz="4" w:space="0" w:color="auto"/>
            </w:tcBorders>
            <w:shd w:val="clear" w:color="auto" w:fill="auto"/>
            <w:noWrap/>
            <w:vAlign w:val="bottom"/>
            <w:hideMark/>
          </w:tcPr>
          <w:p w14:paraId="5AD6192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-16938</w:t>
            </w:r>
          </w:p>
        </w:tc>
        <w:tc>
          <w:tcPr>
            <w:tcW w:w="983" w:type="dxa"/>
            <w:tcBorders>
              <w:top w:val="nil"/>
              <w:left w:val="nil"/>
              <w:bottom w:val="single" w:sz="4" w:space="0" w:color="auto"/>
              <w:right w:val="single" w:sz="4" w:space="0" w:color="auto"/>
            </w:tcBorders>
            <w:shd w:val="clear" w:color="auto" w:fill="auto"/>
            <w:noWrap/>
            <w:vAlign w:val="bottom"/>
            <w:hideMark/>
          </w:tcPr>
          <w:p w14:paraId="628FEBB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-32829</w:t>
            </w:r>
          </w:p>
        </w:tc>
        <w:tc>
          <w:tcPr>
            <w:tcW w:w="983" w:type="dxa"/>
            <w:tcBorders>
              <w:top w:val="nil"/>
              <w:left w:val="nil"/>
              <w:bottom w:val="single" w:sz="4" w:space="0" w:color="auto"/>
              <w:right w:val="single" w:sz="4" w:space="0" w:color="auto"/>
            </w:tcBorders>
            <w:shd w:val="clear" w:color="auto" w:fill="auto"/>
            <w:noWrap/>
            <w:vAlign w:val="bottom"/>
            <w:hideMark/>
          </w:tcPr>
          <w:p w14:paraId="4652EA0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-17979</w:t>
            </w:r>
          </w:p>
        </w:tc>
        <w:tc>
          <w:tcPr>
            <w:tcW w:w="983" w:type="dxa"/>
            <w:tcBorders>
              <w:top w:val="nil"/>
              <w:left w:val="nil"/>
              <w:bottom w:val="single" w:sz="4" w:space="0" w:color="auto"/>
              <w:right w:val="single" w:sz="4" w:space="0" w:color="auto"/>
            </w:tcBorders>
            <w:shd w:val="clear" w:color="auto" w:fill="auto"/>
            <w:noWrap/>
            <w:vAlign w:val="bottom"/>
            <w:hideMark/>
          </w:tcPr>
          <w:p w14:paraId="75E8F5D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-6465</w:t>
            </w:r>
          </w:p>
        </w:tc>
        <w:tc>
          <w:tcPr>
            <w:tcW w:w="983" w:type="dxa"/>
            <w:tcBorders>
              <w:top w:val="nil"/>
              <w:left w:val="nil"/>
              <w:bottom w:val="single" w:sz="4" w:space="0" w:color="auto"/>
              <w:right w:val="single" w:sz="4" w:space="0" w:color="auto"/>
            </w:tcBorders>
            <w:shd w:val="clear" w:color="auto" w:fill="auto"/>
            <w:noWrap/>
            <w:vAlign w:val="bottom"/>
            <w:hideMark/>
          </w:tcPr>
          <w:p w14:paraId="052D320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7552</w:t>
            </w:r>
          </w:p>
        </w:tc>
      </w:tr>
      <w:tr w:rsidR="00F76157" w:rsidRPr="004E2FAA" w14:paraId="6F331BF2"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0BBA79C2"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„TEO LT“</w:t>
            </w:r>
          </w:p>
        </w:tc>
        <w:tc>
          <w:tcPr>
            <w:tcW w:w="983" w:type="dxa"/>
            <w:tcBorders>
              <w:top w:val="nil"/>
              <w:left w:val="nil"/>
              <w:bottom w:val="single" w:sz="4" w:space="0" w:color="auto"/>
              <w:right w:val="single" w:sz="4" w:space="0" w:color="auto"/>
            </w:tcBorders>
            <w:shd w:val="clear" w:color="auto" w:fill="auto"/>
            <w:noWrap/>
            <w:vAlign w:val="bottom"/>
            <w:hideMark/>
          </w:tcPr>
          <w:p w14:paraId="0BDDB6E9"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334545</w:t>
            </w:r>
          </w:p>
        </w:tc>
        <w:tc>
          <w:tcPr>
            <w:tcW w:w="983" w:type="dxa"/>
            <w:tcBorders>
              <w:top w:val="nil"/>
              <w:left w:val="nil"/>
              <w:bottom w:val="single" w:sz="4" w:space="0" w:color="auto"/>
              <w:right w:val="single" w:sz="4" w:space="0" w:color="auto"/>
            </w:tcBorders>
            <w:shd w:val="clear" w:color="auto" w:fill="auto"/>
            <w:noWrap/>
            <w:vAlign w:val="bottom"/>
            <w:hideMark/>
          </w:tcPr>
          <w:p w14:paraId="53BEBB4C"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327117</w:t>
            </w:r>
          </w:p>
        </w:tc>
        <w:tc>
          <w:tcPr>
            <w:tcW w:w="983" w:type="dxa"/>
            <w:tcBorders>
              <w:top w:val="nil"/>
              <w:left w:val="nil"/>
              <w:bottom w:val="single" w:sz="4" w:space="0" w:color="auto"/>
              <w:right w:val="single" w:sz="4" w:space="0" w:color="auto"/>
            </w:tcBorders>
            <w:shd w:val="clear" w:color="auto" w:fill="auto"/>
            <w:noWrap/>
            <w:vAlign w:val="bottom"/>
            <w:hideMark/>
          </w:tcPr>
          <w:p w14:paraId="5724245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272831</w:t>
            </w:r>
          </w:p>
        </w:tc>
        <w:tc>
          <w:tcPr>
            <w:tcW w:w="983" w:type="dxa"/>
            <w:tcBorders>
              <w:top w:val="nil"/>
              <w:left w:val="nil"/>
              <w:bottom w:val="single" w:sz="4" w:space="0" w:color="auto"/>
              <w:right w:val="single" w:sz="4" w:space="0" w:color="auto"/>
            </w:tcBorders>
            <w:shd w:val="clear" w:color="auto" w:fill="auto"/>
            <w:noWrap/>
            <w:vAlign w:val="bottom"/>
            <w:hideMark/>
          </w:tcPr>
          <w:p w14:paraId="2093976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253215</w:t>
            </w:r>
          </w:p>
        </w:tc>
        <w:tc>
          <w:tcPr>
            <w:tcW w:w="983" w:type="dxa"/>
            <w:tcBorders>
              <w:top w:val="nil"/>
              <w:left w:val="nil"/>
              <w:bottom w:val="single" w:sz="4" w:space="0" w:color="auto"/>
              <w:right w:val="single" w:sz="4" w:space="0" w:color="auto"/>
            </w:tcBorders>
            <w:shd w:val="clear" w:color="auto" w:fill="auto"/>
            <w:noWrap/>
            <w:vAlign w:val="bottom"/>
            <w:hideMark/>
          </w:tcPr>
          <w:p w14:paraId="5924ADF9"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258712</w:t>
            </w:r>
          </w:p>
        </w:tc>
      </w:tr>
      <w:tr w:rsidR="00F76157" w:rsidRPr="004E2FAA" w14:paraId="4F4805A7"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16C401BC"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„Utenos trikotažas“</w:t>
            </w:r>
          </w:p>
        </w:tc>
        <w:tc>
          <w:tcPr>
            <w:tcW w:w="983" w:type="dxa"/>
            <w:tcBorders>
              <w:top w:val="nil"/>
              <w:left w:val="nil"/>
              <w:bottom w:val="single" w:sz="4" w:space="0" w:color="auto"/>
              <w:right w:val="single" w:sz="4" w:space="0" w:color="auto"/>
            </w:tcBorders>
            <w:shd w:val="clear" w:color="auto" w:fill="auto"/>
            <w:noWrap/>
            <w:vAlign w:val="bottom"/>
            <w:hideMark/>
          </w:tcPr>
          <w:p w14:paraId="788355A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-14566</w:t>
            </w:r>
          </w:p>
        </w:tc>
        <w:tc>
          <w:tcPr>
            <w:tcW w:w="983" w:type="dxa"/>
            <w:tcBorders>
              <w:top w:val="nil"/>
              <w:left w:val="nil"/>
              <w:bottom w:val="single" w:sz="4" w:space="0" w:color="auto"/>
              <w:right w:val="single" w:sz="4" w:space="0" w:color="auto"/>
            </w:tcBorders>
            <w:shd w:val="clear" w:color="auto" w:fill="auto"/>
            <w:noWrap/>
            <w:vAlign w:val="bottom"/>
            <w:hideMark/>
          </w:tcPr>
          <w:p w14:paraId="61799EAA"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-13109</w:t>
            </w:r>
          </w:p>
        </w:tc>
        <w:tc>
          <w:tcPr>
            <w:tcW w:w="983" w:type="dxa"/>
            <w:tcBorders>
              <w:top w:val="nil"/>
              <w:left w:val="nil"/>
              <w:bottom w:val="single" w:sz="4" w:space="0" w:color="auto"/>
              <w:right w:val="single" w:sz="4" w:space="0" w:color="auto"/>
            </w:tcBorders>
            <w:shd w:val="clear" w:color="auto" w:fill="auto"/>
            <w:noWrap/>
            <w:vAlign w:val="bottom"/>
            <w:hideMark/>
          </w:tcPr>
          <w:p w14:paraId="11C8C63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7447</w:t>
            </w:r>
          </w:p>
        </w:tc>
        <w:tc>
          <w:tcPr>
            <w:tcW w:w="983" w:type="dxa"/>
            <w:tcBorders>
              <w:top w:val="nil"/>
              <w:left w:val="nil"/>
              <w:bottom w:val="single" w:sz="4" w:space="0" w:color="auto"/>
              <w:right w:val="single" w:sz="4" w:space="0" w:color="auto"/>
            </w:tcBorders>
            <w:shd w:val="clear" w:color="auto" w:fill="auto"/>
            <w:noWrap/>
            <w:vAlign w:val="bottom"/>
            <w:hideMark/>
          </w:tcPr>
          <w:p w14:paraId="5E67DE8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-1309</w:t>
            </w:r>
          </w:p>
        </w:tc>
        <w:tc>
          <w:tcPr>
            <w:tcW w:w="983" w:type="dxa"/>
            <w:tcBorders>
              <w:top w:val="nil"/>
              <w:left w:val="nil"/>
              <w:bottom w:val="single" w:sz="4" w:space="0" w:color="auto"/>
              <w:right w:val="single" w:sz="4" w:space="0" w:color="auto"/>
            </w:tcBorders>
            <w:shd w:val="clear" w:color="auto" w:fill="auto"/>
            <w:noWrap/>
            <w:vAlign w:val="bottom"/>
            <w:hideMark/>
          </w:tcPr>
          <w:p w14:paraId="51D0B8A2"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-568</w:t>
            </w:r>
          </w:p>
        </w:tc>
      </w:tr>
      <w:tr w:rsidR="00F76157" w:rsidRPr="004E2FAA" w14:paraId="7BAE0E9E"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190DB99A"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„Vilkyškių pieninė“</w:t>
            </w:r>
          </w:p>
        </w:tc>
        <w:tc>
          <w:tcPr>
            <w:tcW w:w="983" w:type="dxa"/>
            <w:tcBorders>
              <w:top w:val="nil"/>
              <w:left w:val="nil"/>
              <w:bottom w:val="single" w:sz="4" w:space="0" w:color="auto"/>
              <w:right w:val="single" w:sz="4" w:space="0" w:color="auto"/>
            </w:tcBorders>
            <w:shd w:val="clear" w:color="auto" w:fill="auto"/>
            <w:noWrap/>
            <w:vAlign w:val="bottom"/>
            <w:hideMark/>
          </w:tcPr>
          <w:p w14:paraId="3E960BE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-2597</w:t>
            </w:r>
          </w:p>
        </w:tc>
        <w:tc>
          <w:tcPr>
            <w:tcW w:w="983" w:type="dxa"/>
            <w:tcBorders>
              <w:top w:val="nil"/>
              <w:left w:val="nil"/>
              <w:bottom w:val="single" w:sz="4" w:space="0" w:color="auto"/>
              <w:right w:val="single" w:sz="4" w:space="0" w:color="auto"/>
            </w:tcBorders>
            <w:shd w:val="clear" w:color="auto" w:fill="auto"/>
            <w:noWrap/>
            <w:vAlign w:val="bottom"/>
            <w:hideMark/>
          </w:tcPr>
          <w:p w14:paraId="1D549223"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-4342</w:t>
            </w:r>
          </w:p>
        </w:tc>
        <w:tc>
          <w:tcPr>
            <w:tcW w:w="983" w:type="dxa"/>
            <w:tcBorders>
              <w:top w:val="nil"/>
              <w:left w:val="nil"/>
              <w:bottom w:val="single" w:sz="4" w:space="0" w:color="auto"/>
              <w:right w:val="single" w:sz="4" w:space="0" w:color="auto"/>
            </w:tcBorders>
            <w:shd w:val="clear" w:color="auto" w:fill="auto"/>
            <w:noWrap/>
            <w:vAlign w:val="bottom"/>
            <w:hideMark/>
          </w:tcPr>
          <w:p w14:paraId="5077190A"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-18185</w:t>
            </w:r>
          </w:p>
        </w:tc>
        <w:tc>
          <w:tcPr>
            <w:tcW w:w="983" w:type="dxa"/>
            <w:tcBorders>
              <w:top w:val="nil"/>
              <w:left w:val="nil"/>
              <w:bottom w:val="single" w:sz="4" w:space="0" w:color="auto"/>
              <w:right w:val="single" w:sz="4" w:space="0" w:color="auto"/>
            </w:tcBorders>
            <w:shd w:val="clear" w:color="auto" w:fill="auto"/>
            <w:noWrap/>
            <w:vAlign w:val="bottom"/>
            <w:hideMark/>
          </w:tcPr>
          <w:p w14:paraId="040863B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-11275</w:t>
            </w:r>
          </w:p>
        </w:tc>
        <w:tc>
          <w:tcPr>
            <w:tcW w:w="983" w:type="dxa"/>
            <w:tcBorders>
              <w:top w:val="nil"/>
              <w:left w:val="nil"/>
              <w:bottom w:val="single" w:sz="4" w:space="0" w:color="auto"/>
              <w:right w:val="single" w:sz="4" w:space="0" w:color="auto"/>
            </w:tcBorders>
            <w:shd w:val="clear" w:color="auto" w:fill="auto"/>
            <w:noWrap/>
            <w:vAlign w:val="bottom"/>
            <w:hideMark/>
          </w:tcPr>
          <w:p w14:paraId="50E4FC4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-7326</w:t>
            </w:r>
          </w:p>
        </w:tc>
      </w:tr>
      <w:tr w:rsidR="00F76157" w:rsidRPr="004E2FAA" w14:paraId="0DC27973"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5F73CEC3"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„Vilniaus Baldai“</w:t>
            </w:r>
          </w:p>
        </w:tc>
        <w:tc>
          <w:tcPr>
            <w:tcW w:w="983" w:type="dxa"/>
            <w:tcBorders>
              <w:top w:val="nil"/>
              <w:left w:val="nil"/>
              <w:bottom w:val="single" w:sz="4" w:space="0" w:color="auto"/>
              <w:right w:val="single" w:sz="4" w:space="0" w:color="auto"/>
            </w:tcBorders>
            <w:shd w:val="clear" w:color="auto" w:fill="auto"/>
            <w:noWrap/>
            <w:vAlign w:val="bottom"/>
            <w:hideMark/>
          </w:tcPr>
          <w:p w14:paraId="78D00958"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-2503</w:t>
            </w:r>
          </w:p>
        </w:tc>
        <w:tc>
          <w:tcPr>
            <w:tcW w:w="983" w:type="dxa"/>
            <w:tcBorders>
              <w:top w:val="nil"/>
              <w:left w:val="nil"/>
              <w:bottom w:val="single" w:sz="4" w:space="0" w:color="auto"/>
              <w:right w:val="single" w:sz="4" w:space="0" w:color="auto"/>
            </w:tcBorders>
            <w:shd w:val="clear" w:color="auto" w:fill="auto"/>
            <w:noWrap/>
            <w:vAlign w:val="bottom"/>
            <w:hideMark/>
          </w:tcPr>
          <w:p w14:paraId="6003747F"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14592</w:t>
            </w:r>
          </w:p>
        </w:tc>
        <w:tc>
          <w:tcPr>
            <w:tcW w:w="983" w:type="dxa"/>
            <w:tcBorders>
              <w:top w:val="nil"/>
              <w:left w:val="nil"/>
              <w:bottom w:val="single" w:sz="4" w:space="0" w:color="auto"/>
              <w:right w:val="single" w:sz="4" w:space="0" w:color="auto"/>
            </w:tcBorders>
            <w:shd w:val="clear" w:color="auto" w:fill="auto"/>
            <w:noWrap/>
            <w:vAlign w:val="bottom"/>
            <w:hideMark/>
          </w:tcPr>
          <w:p w14:paraId="7F990BF7"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46758</w:t>
            </w:r>
          </w:p>
        </w:tc>
        <w:tc>
          <w:tcPr>
            <w:tcW w:w="983" w:type="dxa"/>
            <w:tcBorders>
              <w:top w:val="nil"/>
              <w:left w:val="nil"/>
              <w:bottom w:val="single" w:sz="4" w:space="0" w:color="auto"/>
              <w:right w:val="single" w:sz="4" w:space="0" w:color="auto"/>
            </w:tcBorders>
            <w:shd w:val="clear" w:color="auto" w:fill="auto"/>
            <w:noWrap/>
            <w:vAlign w:val="bottom"/>
            <w:hideMark/>
          </w:tcPr>
          <w:p w14:paraId="2D6D0F26"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55418</w:t>
            </w:r>
          </w:p>
        </w:tc>
        <w:tc>
          <w:tcPr>
            <w:tcW w:w="983" w:type="dxa"/>
            <w:tcBorders>
              <w:top w:val="nil"/>
              <w:left w:val="nil"/>
              <w:bottom w:val="single" w:sz="4" w:space="0" w:color="auto"/>
              <w:right w:val="single" w:sz="4" w:space="0" w:color="auto"/>
            </w:tcBorders>
            <w:shd w:val="clear" w:color="auto" w:fill="auto"/>
            <w:noWrap/>
            <w:vAlign w:val="bottom"/>
            <w:hideMark/>
          </w:tcPr>
          <w:p w14:paraId="4BEAE79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35131</w:t>
            </w:r>
          </w:p>
        </w:tc>
      </w:tr>
      <w:tr w:rsidR="00F76157" w:rsidRPr="004E2FAA" w14:paraId="2648A877"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78B9E719"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„Vilniaus degtinė“</w:t>
            </w:r>
          </w:p>
        </w:tc>
        <w:tc>
          <w:tcPr>
            <w:tcW w:w="983" w:type="dxa"/>
            <w:tcBorders>
              <w:top w:val="nil"/>
              <w:left w:val="nil"/>
              <w:bottom w:val="single" w:sz="4" w:space="0" w:color="auto"/>
              <w:right w:val="single" w:sz="4" w:space="0" w:color="auto"/>
            </w:tcBorders>
            <w:shd w:val="clear" w:color="auto" w:fill="auto"/>
            <w:noWrap/>
            <w:vAlign w:val="bottom"/>
            <w:hideMark/>
          </w:tcPr>
          <w:p w14:paraId="0EE39E6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26547</w:t>
            </w:r>
          </w:p>
        </w:tc>
        <w:tc>
          <w:tcPr>
            <w:tcW w:w="983" w:type="dxa"/>
            <w:tcBorders>
              <w:top w:val="nil"/>
              <w:left w:val="nil"/>
              <w:bottom w:val="single" w:sz="4" w:space="0" w:color="auto"/>
              <w:right w:val="single" w:sz="4" w:space="0" w:color="auto"/>
            </w:tcBorders>
            <w:shd w:val="clear" w:color="auto" w:fill="auto"/>
            <w:noWrap/>
            <w:vAlign w:val="bottom"/>
            <w:hideMark/>
          </w:tcPr>
          <w:p w14:paraId="4D3F78C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11763</w:t>
            </w:r>
          </w:p>
        </w:tc>
        <w:tc>
          <w:tcPr>
            <w:tcW w:w="983" w:type="dxa"/>
            <w:tcBorders>
              <w:top w:val="nil"/>
              <w:left w:val="nil"/>
              <w:bottom w:val="single" w:sz="4" w:space="0" w:color="auto"/>
              <w:right w:val="single" w:sz="4" w:space="0" w:color="auto"/>
            </w:tcBorders>
            <w:shd w:val="clear" w:color="auto" w:fill="auto"/>
            <w:noWrap/>
            <w:vAlign w:val="bottom"/>
            <w:hideMark/>
          </w:tcPr>
          <w:p w14:paraId="17086094"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4820</w:t>
            </w:r>
          </w:p>
        </w:tc>
        <w:tc>
          <w:tcPr>
            <w:tcW w:w="983" w:type="dxa"/>
            <w:tcBorders>
              <w:top w:val="nil"/>
              <w:left w:val="nil"/>
              <w:bottom w:val="single" w:sz="4" w:space="0" w:color="auto"/>
              <w:right w:val="single" w:sz="4" w:space="0" w:color="auto"/>
            </w:tcBorders>
            <w:shd w:val="clear" w:color="auto" w:fill="auto"/>
            <w:noWrap/>
            <w:vAlign w:val="bottom"/>
            <w:hideMark/>
          </w:tcPr>
          <w:p w14:paraId="376DC6C9"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2852</w:t>
            </w:r>
          </w:p>
        </w:tc>
        <w:tc>
          <w:tcPr>
            <w:tcW w:w="983" w:type="dxa"/>
            <w:tcBorders>
              <w:top w:val="nil"/>
              <w:left w:val="nil"/>
              <w:bottom w:val="single" w:sz="4" w:space="0" w:color="auto"/>
              <w:right w:val="single" w:sz="4" w:space="0" w:color="auto"/>
            </w:tcBorders>
            <w:shd w:val="clear" w:color="auto" w:fill="auto"/>
            <w:noWrap/>
            <w:vAlign w:val="bottom"/>
            <w:hideMark/>
          </w:tcPr>
          <w:p w14:paraId="096FEFA1"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3648</w:t>
            </w:r>
          </w:p>
        </w:tc>
      </w:tr>
      <w:tr w:rsidR="00F76157" w:rsidRPr="004E2FAA" w14:paraId="51259B21" w14:textId="77777777" w:rsidTr="007742F5">
        <w:trPr>
          <w:trHeight w:val="255"/>
          <w:jc w:val="center"/>
        </w:trPr>
        <w:tc>
          <w:tcPr>
            <w:tcW w:w="3760" w:type="dxa"/>
            <w:tcBorders>
              <w:top w:val="nil"/>
              <w:left w:val="single" w:sz="4" w:space="0" w:color="auto"/>
              <w:bottom w:val="single" w:sz="4" w:space="0" w:color="auto"/>
              <w:right w:val="single" w:sz="4" w:space="0" w:color="auto"/>
            </w:tcBorders>
            <w:shd w:val="clear" w:color="auto" w:fill="auto"/>
            <w:hideMark/>
          </w:tcPr>
          <w:p w14:paraId="4C73A0D1" w14:textId="77777777" w:rsidR="00F76157" w:rsidRPr="004E2FAA" w:rsidRDefault="00F76157" w:rsidP="007742F5">
            <w:pPr>
              <w:spacing w:after="0" w:line="240" w:lineRule="auto"/>
              <w:rPr>
                <w:rFonts w:ascii="Times New Roman" w:eastAsia="Times New Roman" w:hAnsi="Times New Roman" w:cs="Times New Roman"/>
                <w:b/>
                <w:bCs/>
                <w:color w:val="000000"/>
                <w:sz w:val="20"/>
                <w:szCs w:val="20"/>
                <w:lang w:eastAsia="lt-LT"/>
              </w:rPr>
            </w:pPr>
            <w:r w:rsidRPr="004E2FAA">
              <w:rPr>
                <w:rFonts w:ascii="Times New Roman" w:eastAsia="Times New Roman" w:hAnsi="Times New Roman" w:cs="Times New Roman"/>
                <w:b/>
                <w:bCs/>
                <w:color w:val="000000"/>
                <w:sz w:val="20"/>
                <w:szCs w:val="20"/>
                <w:lang w:eastAsia="lt-LT"/>
              </w:rPr>
              <w:t>AB „Žemaitijos pienas“</w:t>
            </w:r>
          </w:p>
        </w:tc>
        <w:tc>
          <w:tcPr>
            <w:tcW w:w="983" w:type="dxa"/>
            <w:tcBorders>
              <w:top w:val="nil"/>
              <w:left w:val="nil"/>
              <w:bottom w:val="single" w:sz="4" w:space="0" w:color="auto"/>
              <w:right w:val="single" w:sz="4" w:space="0" w:color="auto"/>
            </w:tcBorders>
            <w:shd w:val="clear" w:color="auto" w:fill="auto"/>
            <w:noWrap/>
            <w:vAlign w:val="bottom"/>
            <w:hideMark/>
          </w:tcPr>
          <w:p w14:paraId="0AED45A0"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47726</w:t>
            </w:r>
          </w:p>
        </w:tc>
        <w:tc>
          <w:tcPr>
            <w:tcW w:w="983" w:type="dxa"/>
            <w:tcBorders>
              <w:top w:val="nil"/>
              <w:left w:val="nil"/>
              <w:bottom w:val="single" w:sz="4" w:space="0" w:color="auto"/>
              <w:right w:val="single" w:sz="4" w:space="0" w:color="auto"/>
            </w:tcBorders>
            <w:shd w:val="clear" w:color="auto" w:fill="auto"/>
            <w:noWrap/>
            <w:vAlign w:val="bottom"/>
            <w:hideMark/>
          </w:tcPr>
          <w:p w14:paraId="4B94BA7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65068</w:t>
            </w:r>
          </w:p>
        </w:tc>
        <w:tc>
          <w:tcPr>
            <w:tcW w:w="983" w:type="dxa"/>
            <w:tcBorders>
              <w:top w:val="nil"/>
              <w:left w:val="nil"/>
              <w:bottom w:val="single" w:sz="4" w:space="0" w:color="auto"/>
              <w:right w:val="single" w:sz="4" w:space="0" w:color="auto"/>
            </w:tcBorders>
            <w:shd w:val="clear" w:color="auto" w:fill="auto"/>
            <w:noWrap/>
            <w:vAlign w:val="bottom"/>
            <w:hideMark/>
          </w:tcPr>
          <w:p w14:paraId="23C2D2BB"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70573</w:t>
            </w:r>
          </w:p>
        </w:tc>
        <w:tc>
          <w:tcPr>
            <w:tcW w:w="983" w:type="dxa"/>
            <w:tcBorders>
              <w:top w:val="nil"/>
              <w:left w:val="nil"/>
              <w:bottom w:val="single" w:sz="4" w:space="0" w:color="auto"/>
              <w:right w:val="single" w:sz="4" w:space="0" w:color="auto"/>
            </w:tcBorders>
            <w:shd w:val="clear" w:color="auto" w:fill="auto"/>
            <w:noWrap/>
            <w:vAlign w:val="bottom"/>
            <w:hideMark/>
          </w:tcPr>
          <w:p w14:paraId="041B25CE"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58673</w:t>
            </w:r>
          </w:p>
        </w:tc>
        <w:tc>
          <w:tcPr>
            <w:tcW w:w="983" w:type="dxa"/>
            <w:tcBorders>
              <w:top w:val="nil"/>
              <w:left w:val="nil"/>
              <w:bottom w:val="single" w:sz="4" w:space="0" w:color="auto"/>
              <w:right w:val="single" w:sz="4" w:space="0" w:color="auto"/>
            </w:tcBorders>
            <w:shd w:val="clear" w:color="auto" w:fill="auto"/>
            <w:noWrap/>
            <w:vAlign w:val="bottom"/>
            <w:hideMark/>
          </w:tcPr>
          <w:p w14:paraId="20860975" w14:textId="77777777" w:rsidR="00F76157" w:rsidRPr="004E2FAA" w:rsidRDefault="00F76157" w:rsidP="007742F5">
            <w:pPr>
              <w:spacing w:after="0" w:line="240" w:lineRule="auto"/>
              <w:jc w:val="right"/>
              <w:rPr>
                <w:rFonts w:ascii="Times New Roman" w:eastAsia="Times New Roman" w:hAnsi="Times New Roman" w:cs="Times New Roman"/>
                <w:color w:val="000000"/>
                <w:sz w:val="20"/>
                <w:szCs w:val="20"/>
                <w:lang w:eastAsia="lt-LT"/>
              </w:rPr>
            </w:pPr>
            <w:r w:rsidRPr="004E2FAA">
              <w:rPr>
                <w:rFonts w:ascii="Times New Roman" w:eastAsia="Times New Roman" w:hAnsi="Times New Roman" w:cs="Times New Roman"/>
                <w:color w:val="000000"/>
                <w:sz w:val="20"/>
                <w:szCs w:val="20"/>
                <w:lang w:eastAsia="lt-LT"/>
              </w:rPr>
              <w:t>86144</w:t>
            </w:r>
          </w:p>
        </w:tc>
      </w:tr>
    </w:tbl>
    <w:p w14:paraId="2ABD21B9" w14:textId="77777777" w:rsidR="00F76157" w:rsidRDefault="00F76157" w:rsidP="000F7986">
      <w:pPr>
        <w:jc w:val="right"/>
        <w:rPr>
          <w:rFonts w:ascii="Times New Roman" w:hAnsi="Times New Roman" w:cs="Times New Roman"/>
          <w:b/>
          <w:sz w:val="24"/>
          <w:szCs w:val="24"/>
        </w:rPr>
      </w:pPr>
    </w:p>
    <w:p w14:paraId="34C37CCA" w14:textId="77777777" w:rsidR="00F76157" w:rsidRDefault="00F76157" w:rsidP="000F7986">
      <w:pPr>
        <w:jc w:val="right"/>
        <w:rPr>
          <w:rFonts w:ascii="Times New Roman" w:hAnsi="Times New Roman" w:cs="Times New Roman"/>
          <w:b/>
          <w:sz w:val="24"/>
          <w:szCs w:val="24"/>
        </w:rPr>
      </w:pPr>
    </w:p>
    <w:p w14:paraId="4A972F45" w14:textId="77777777" w:rsidR="00F76157" w:rsidRDefault="00F76157" w:rsidP="000F7986">
      <w:pPr>
        <w:jc w:val="right"/>
        <w:rPr>
          <w:rFonts w:ascii="Times New Roman" w:hAnsi="Times New Roman" w:cs="Times New Roman"/>
          <w:b/>
          <w:sz w:val="24"/>
          <w:szCs w:val="24"/>
        </w:rPr>
      </w:pPr>
    </w:p>
    <w:p w14:paraId="24FD3466" w14:textId="77777777" w:rsidR="00F76157" w:rsidRDefault="00F76157" w:rsidP="000F7986">
      <w:pPr>
        <w:jc w:val="right"/>
        <w:rPr>
          <w:rFonts w:ascii="Times New Roman" w:hAnsi="Times New Roman" w:cs="Times New Roman"/>
          <w:b/>
          <w:sz w:val="24"/>
          <w:szCs w:val="24"/>
        </w:rPr>
      </w:pPr>
    </w:p>
    <w:p w14:paraId="20CFE7BA" w14:textId="77777777" w:rsidR="00F76157" w:rsidRDefault="00F76157" w:rsidP="000F7986">
      <w:pPr>
        <w:jc w:val="right"/>
        <w:rPr>
          <w:rFonts w:ascii="Times New Roman" w:hAnsi="Times New Roman" w:cs="Times New Roman"/>
          <w:b/>
          <w:sz w:val="24"/>
          <w:szCs w:val="24"/>
        </w:rPr>
      </w:pPr>
    </w:p>
    <w:p w14:paraId="62F986A9" w14:textId="77777777" w:rsidR="00F76157" w:rsidRDefault="00F76157" w:rsidP="000F7986">
      <w:pPr>
        <w:jc w:val="right"/>
        <w:rPr>
          <w:rFonts w:ascii="Times New Roman" w:hAnsi="Times New Roman" w:cs="Times New Roman"/>
          <w:b/>
          <w:sz w:val="24"/>
          <w:szCs w:val="24"/>
        </w:rPr>
      </w:pPr>
    </w:p>
    <w:p w14:paraId="19AFF529" w14:textId="77777777" w:rsidR="00F76157" w:rsidRDefault="00F76157" w:rsidP="000F7986">
      <w:pPr>
        <w:jc w:val="right"/>
        <w:rPr>
          <w:rFonts w:ascii="Times New Roman" w:hAnsi="Times New Roman" w:cs="Times New Roman"/>
          <w:b/>
          <w:sz w:val="24"/>
          <w:szCs w:val="24"/>
        </w:rPr>
      </w:pPr>
    </w:p>
    <w:p w14:paraId="0E5CF1BA" w14:textId="77777777" w:rsidR="00F76157" w:rsidRDefault="00F76157" w:rsidP="000F7986">
      <w:pPr>
        <w:jc w:val="right"/>
        <w:rPr>
          <w:rFonts w:ascii="Times New Roman" w:hAnsi="Times New Roman" w:cs="Times New Roman"/>
          <w:b/>
          <w:sz w:val="24"/>
          <w:szCs w:val="24"/>
        </w:rPr>
      </w:pPr>
    </w:p>
    <w:p w14:paraId="1EB21928" w14:textId="77777777" w:rsidR="00F76157" w:rsidRDefault="00F76157" w:rsidP="000F7986">
      <w:pPr>
        <w:jc w:val="right"/>
        <w:rPr>
          <w:rFonts w:ascii="Times New Roman" w:hAnsi="Times New Roman" w:cs="Times New Roman"/>
          <w:b/>
          <w:sz w:val="24"/>
          <w:szCs w:val="24"/>
        </w:rPr>
      </w:pPr>
    </w:p>
    <w:p w14:paraId="317BC9EE" w14:textId="77777777" w:rsidR="000F7986" w:rsidRDefault="00F76157" w:rsidP="000F7986">
      <w:pPr>
        <w:jc w:val="right"/>
        <w:rPr>
          <w:rFonts w:ascii="Times New Roman" w:hAnsi="Times New Roman" w:cs="Times New Roman"/>
          <w:b/>
          <w:sz w:val="24"/>
          <w:szCs w:val="24"/>
        </w:rPr>
      </w:pPr>
      <w:r>
        <w:rPr>
          <w:rFonts w:ascii="Times New Roman" w:hAnsi="Times New Roman" w:cs="Times New Roman"/>
          <w:b/>
          <w:sz w:val="24"/>
          <w:szCs w:val="24"/>
        </w:rPr>
        <w:lastRenderedPageBreak/>
        <w:t>2</w:t>
      </w:r>
      <w:r w:rsidR="000F7986">
        <w:rPr>
          <w:rFonts w:ascii="Times New Roman" w:hAnsi="Times New Roman" w:cs="Times New Roman"/>
          <w:b/>
          <w:sz w:val="24"/>
          <w:szCs w:val="24"/>
        </w:rPr>
        <w:t xml:space="preserve"> PRIEDAS</w:t>
      </w:r>
    </w:p>
    <w:p w14:paraId="74FE845A" w14:textId="77777777" w:rsidR="00C20E27" w:rsidRDefault="00C20E27" w:rsidP="000F7986">
      <w:pPr>
        <w:jc w:val="right"/>
        <w:rPr>
          <w:rFonts w:ascii="Times New Roman" w:hAnsi="Times New Roman" w:cs="Times New Roman"/>
          <w:b/>
          <w:sz w:val="24"/>
          <w:szCs w:val="24"/>
        </w:rPr>
      </w:pPr>
    </w:p>
    <w:p w14:paraId="6328692E" w14:textId="77777777" w:rsidR="00C20E27" w:rsidRDefault="00C20E27" w:rsidP="000F7986">
      <w:pPr>
        <w:jc w:val="right"/>
        <w:rPr>
          <w:rFonts w:ascii="Times New Roman" w:hAnsi="Times New Roman" w:cs="Times New Roman"/>
          <w:b/>
          <w:sz w:val="24"/>
          <w:szCs w:val="24"/>
        </w:rPr>
      </w:pPr>
    </w:p>
    <w:p w14:paraId="2057E68D" w14:textId="77777777" w:rsidR="00C20E27" w:rsidRPr="00F76157" w:rsidRDefault="00C20E27" w:rsidP="00C20E27">
      <w:pPr>
        <w:jc w:val="center"/>
        <w:rPr>
          <w:rFonts w:ascii="Times New Roman" w:hAnsi="Times New Roman" w:cs="Times New Roman"/>
          <w:b/>
          <w:sz w:val="24"/>
          <w:szCs w:val="24"/>
        </w:rPr>
      </w:pPr>
      <w:r w:rsidRPr="00F76157">
        <w:rPr>
          <w:rFonts w:ascii="Times New Roman" w:hAnsi="Times New Roman"/>
          <w:b/>
          <w:sz w:val="24"/>
          <w:szCs w:val="24"/>
          <w:lang w:eastAsia="lt-LT"/>
        </w:rPr>
        <w:t>Ekspertų skaičiaus įtaka vertinimo patikimumui</w:t>
      </w:r>
    </w:p>
    <w:p w14:paraId="673464B8" w14:textId="77777777" w:rsidR="00C20E27" w:rsidRPr="00F76157" w:rsidRDefault="00C20E27" w:rsidP="00F76157">
      <w:pPr>
        <w:tabs>
          <w:tab w:val="left" w:pos="1134"/>
        </w:tabs>
        <w:ind w:firstLine="1134"/>
        <w:rPr>
          <w:rFonts w:ascii="Times New Roman" w:hAnsi="Times New Roman" w:cs="Times New Roman"/>
          <w:sz w:val="20"/>
          <w:szCs w:val="20"/>
        </w:rPr>
      </w:pPr>
      <w:r w:rsidRPr="00F76157">
        <w:rPr>
          <w:rFonts w:ascii="Times New Roman" w:hAnsi="Times New Roman" w:cs="Times New Roman"/>
          <w:sz w:val="20"/>
          <w:szCs w:val="20"/>
        </w:rPr>
        <w:t>Šaltinis: Rudzkienė ir kt., 2008</w:t>
      </w:r>
    </w:p>
    <w:p w14:paraId="6008DB35" w14:textId="77777777" w:rsidR="00C20E27" w:rsidRPr="000F7986" w:rsidRDefault="00C20E27" w:rsidP="00C20E27">
      <w:pPr>
        <w:jc w:val="center"/>
        <w:rPr>
          <w:rFonts w:ascii="Times New Roman" w:hAnsi="Times New Roman" w:cs="Times New Roman"/>
          <w:b/>
          <w:sz w:val="24"/>
          <w:szCs w:val="24"/>
        </w:rPr>
      </w:pPr>
      <w:r w:rsidRPr="00C20E27">
        <w:rPr>
          <w:rFonts w:ascii="Times New Roman" w:hAnsi="Times New Roman" w:cs="Times New Roman"/>
          <w:b/>
          <w:noProof/>
          <w:sz w:val="24"/>
          <w:szCs w:val="24"/>
          <w:lang w:val="en-US"/>
        </w:rPr>
        <w:drawing>
          <wp:inline distT="0" distB="0" distL="0" distR="0" wp14:anchorId="06041032" wp14:editId="64EDF44D">
            <wp:extent cx="4926965" cy="270002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srcRect/>
                    <a:stretch>
                      <a:fillRect/>
                    </a:stretch>
                  </pic:blipFill>
                  <pic:spPr bwMode="auto">
                    <a:xfrm>
                      <a:off x="0" y="0"/>
                      <a:ext cx="4926965" cy="2700020"/>
                    </a:xfrm>
                    <a:prstGeom prst="rect">
                      <a:avLst/>
                    </a:prstGeom>
                    <a:noFill/>
                    <a:ln w="9525">
                      <a:noFill/>
                      <a:miter lim="800000"/>
                      <a:headEnd/>
                      <a:tailEnd/>
                    </a:ln>
                  </pic:spPr>
                </pic:pic>
              </a:graphicData>
            </a:graphic>
          </wp:inline>
        </w:drawing>
      </w:r>
    </w:p>
    <w:sectPr w:rsidR="00C20E27" w:rsidRPr="000F7986" w:rsidSect="007F2B73">
      <w:headerReference w:type="default" r:id="rId9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56491" w14:textId="77777777" w:rsidR="004E51DB" w:rsidRDefault="004E51DB" w:rsidP="00433618">
      <w:pPr>
        <w:spacing w:after="0" w:line="240" w:lineRule="auto"/>
      </w:pPr>
      <w:r>
        <w:separator/>
      </w:r>
    </w:p>
  </w:endnote>
  <w:endnote w:type="continuationSeparator" w:id="0">
    <w:p w14:paraId="67581970" w14:textId="77777777" w:rsidR="004E51DB" w:rsidRDefault="004E51DB" w:rsidP="0043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KlavikaQX-Light">
    <w:altName w:val="Arial"/>
    <w:panose1 w:val="00000000000000000000"/>
    <w:charset w:val="EE"/>
    <w:family w:val="swiss"/>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5"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21946" w14:textId="77777777" w:rsidR="004E51DB" w:rsidRDefault="004E51DB" w:rsidP="00433618">
      <w:pPr>
        <w:spacing w:after="0" w:line="240" w:lineRule="auto"/>
      </w:pPr>
      <w:r>
        <w:separator/>
      </w:r>
    </w:p>
  </w:footnote>
  <w:footnote w:type="continuationSeparator" w:id="0">
    <w:p w14:paraId="7F379FB5" w14:textId="77777777" w:rsidR="004E51DB" w:rsidRDefault="004E51DB" w:rsidP="00433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566546"/>
      <w:docPartObj>
        <w:docPartGallery w:val="Page Numbers (Top of Page)"/>
        <w:docPartUnique/>
      </w:docPartObj>
    </w:sdtPr>
    <w:sdtEndPr>
      <w:rPr>
        <w:rFonts w:ascii="Times New Roman" w:hAnsi="Times New Roman" w:cs="Times New Roman"/>
        <w:noProof/>
        <w:sz w:val="20"/>
        <w:szCs w:val="20"/>
      </w:rPr>
    </w:sdtEndPr>
    <w:sdtContent>
      <w:p w14:paraId="31DEF8B7" w14:textId="77777777" w:rsidR="004E51DB" w:rsidRPr="00492F38" w:rsidRDefault="004E51DB">
        <w:pPr>
          <w:pStyle w:val="Header"/>
          <w:jc w:val="center"/>
          <w:rPr>
            <w:rFonts w:ascii="Times New Roman" w:hAnsi="Times New Roman" w:cs="Times New Roman"/>
            <w:sz w:val="20"/>
            <w:szCs w:val="20"/>
          </w:rPr>
        </w:pPr>
        <w:r w:rsidRPr="00492F38">
          <w:rPr>
            <w:rFonts w:ascii="Times New Roman" w:hAnsi="Times New Roman" w:cs="Times New Roman"/>
            <w:sz w:val="20"/>
            <w:szCs w:val="20"/>
          </w:rPr>
          <w:fldChar w:fldCharType="begin"/>
        </w:r>
        <w:r w:rsidRPr="00492F38">
          <w:rPr>
            <w:rFonts w:ascii="Times New Roman" w:hAnsi="Times New Roman" w:cs="Times New Roman"/>
            <w:sz w:val="20"/>
            <w:szCs w:val="20"/>
          </w:rPr>
          <w:instrText xml:space="preserve"> PAGE   \* MERGEFORMAT </w:instrText>
        </w:r>
        <w:r w:rsidRPr="00492F38">
          <w:rPr>
            <w:rFonts w:ascii="Times New Roman" w:hAnsi="Times New Roman" w:cs="Times New Roman"/>
            <w:sz w:val="20"/>
            <w:szCs w:val="20"/>
          </w:rPr>
          <w:fldChar w:fldCharType="separate"/>
        </w:r>
        <w:r w:rsidR="00E612B9">
          <w:rPr>
            <w:rFonts w:ascii="Times New Roman" w:hAnsi="Times New Roman" w:cs="Times New Roman"/>
            <w:noProof/>
            <w:sz w:val="20"/>
            <w:szCs w:val="20"/>
          </w:rPr>
          <w:t>55</w:t>
        </w:r>
        <w:r w:rsidRPr="00492F38">
          <w:rPr>
            <w:rFonts w:ascii="Times New Roman" w:hAnsi="Times New Roman" w:cs="Times New Roman"/>
            <w:noProof/>
            <w:sz w:val="20"/>
            <w:szCs w:val="20"/>
          </w:rPr>
          <w:fldChar w:fldCharType="end"/>
        </w:r>
      </w:p>
    </w:sdtContent>
  </w:sdt>
  <w:p w14:paraId="51F84C30" w14:textId="77777777" w:rsidR="004E51DB" w:rsidRDefault="004E5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F24"/>
    <w:multiLevelType w:val="hybridMultilevel"/>
    <w:tmpl w:val="D4C04B4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A2600C"/>
    <w:multiLevelType w:val="hybridMultilevel"/>
    <w:tmpl w:val="E5929462"/>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0BD23316"/>
    <w:multiLevelType w:val="hybridMultilevel"/>
    <w:tmpl w:val="31C018CA"/>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nsid w:val="142750A6"/>
    <w:multiLevelType w:val="multilevel"/>
    <w:tmpl w:val="2E420E68"/>
    <w:lvl w:ilvl="0">
      <w:start w:val="1"/>
      <w:numFmt w:val="decimal"/>
      <w:pStyle w:val="EVPGLHeading1"/>
      <w:lvlText w:val="%1."/>
      <w:lvlJc w:val="left"/>
      <w:pPr>
        <w:tabs>
          <w:tab w:val="num" w:pos="360"/>
        </w:tabs>
        <w:ind w:left="360" w:hanging="360"/>
      </w:pPr>
      <w:rPr>
        <w:rFonts w:hint="default"/>
      </w:rPr>
    </w:lvl>
    <w:lvl w:ilvl="1">
      <w:start w:val="1"/>
      <w:numFmt w:val="decimal"/>
      <w:pStyle w:val="EVPGLHeading2"/>
      <w:lvlText w:val="%1.%2."/>
      <w:lvlJc w:val="left"/>
      <w:pPr>
        <w:tabs>
          <w:tab w:val="num" w:pos="792"/>
        </w:tabs>
        <w:ind w:left="792" w:hanging="432"/>
      </w:pPr>
      <w:rPr>
        <w:rFonts w:hint="default"/>
      </w:rPr>
    </w:lvl>
    <w:lvl w:ilvl="2">
      <w:start w:val="1"/>
      <w:numFmt w:val="decimal"/>
      <w:pStyle w:val="EVPG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3811F5"/>
    <w:multiLevelType w:val="hybridMultilevel"/>
    <w:tmpl w:val="2AB02C1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25FD16BF"/>
    <w:multiLevelType w:val="multilevel"/>
    <w:tmpl w:val="8E247252"/>
    <w:lvl w:ilvl="0">
      <w:start w:val="1"/>
      <w:numFmt w:val="decimal"/>
      <w:lvlText w:val="%1."/>
      <w:lvlJc w:val="left"/>
      <w:pPr>
        <w:ind w:left="1287"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953"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3132" w:hanging="1440"/>
      </w:pPr>
      <w:rPr>
        <w:rFonts w:hint="default"/>
      </w:rPr>
    </w:lvl>
    <w:lvl w:ilvl="6">
      <w:start w:val="1"/>
      <w:numFmt w:val="decimal"/>
      <w:isLgl/>
      <w:lvlText w:val="%1.%2.%3.%4.%5.%6.%7."/>
      <w:lvlJc w:val="left"/>
      <w:pPr>
        <w:ind w:left="3645" w:hanging="1800"/>
      </w:pPr>
      <w:rPr>
        <w:rFonts w:hint="default"/>
      </w:rPr>
    </w:lvl>
    <w:lvl w:ilvl="7">
      <w:start w:val="1"/>
      <w:numFmt w:val="decimal"/>
      <w:isLgl/>
      <w:lvlText w:val="%1.%2.%3.%4.%5.%6.%7.%8."/>
      <w:lvlJc w:val="left"/>
      <w:pPr>
        <w:ind w:left="3798" w:hanging="1800"/>
      </w:pPr>
      <w:rPr>
        <w:rFonts w:hint="default"/>
      </w:rPr>
    </w:lvl>
    <w:lvl w:ilvl="8">
      <w:start w:val="1"/>
      <w:numFmt w:val="decimal"/>
      <w:isLgl/>
      <w:lvlText w:val="%1.%2.%3.%4.%5.%6.%7.%8.%9."/>
      <w:lvlJc w:val="left"/>
      <w:pPr>
        <w:ind w:left="4311" w:hanging="2160"/>
      </w:pPr>
      <w:rPr>
        <w:rFonts w:hint="default"/>
      </w:rPr>
    </w:lvl>
  </w:abstractNum>
  <w:abstractNum w:abstractNumId="6">
    <w:nsid w:val="2A56544C"/>
    <w:multiLevelType w:val="multilevel"/>
    <w:tmpl w:val="E9480954"/>
    <w:lvl w:ilvl="0">
      <w:start w:val="1"/>
      <w:numFmt w:val="decimal"/>
      <w:lvlText w:val="%1."/>
      <w:lvlJc w:val="left"/>
      <w:pPr>
        <w:ind w:left="720" w:hanging="360"/>
      </w:pPr>
      <w:rPr>
        <w:rFonts w:hint="default"/>
        <w:sz w:val="24"/>
        <w:szCs w:val="24"/>
      </w:rPr>
    </w:lvl>
    <w:lvl w:ilvl="1">
      <w:start w:val="1"/>
      <w:numFmt w:val="decimal"/>
      <w:isLgl/>
      <w:lvlText w:val="%1.%2."/>
      <w:lvlJc w:val="left"/>
      <w:pPr>
        <w:ind w:left="786" w:hanging="360"/>
      </w:pPr>
      <w:rPr>
        <w:rFonts w:ascii="Times New Roman" w:hAnsi="Times New Roman" w:cs="Times New Roman" w:hint="default"/>
        <w:b/>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nsid w:val="3300465E"/>
    <w:multiLevelType w:val="hybridMultilevel"/>
    <w:tmpl w:val="8CA8A0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33225B83"/>
    <w:multiLevelType w:val="hybridMultilevel"/>
    <w:tmpl w:val="2A76465C"/>
    <w:lvl w:ilvl="0" w:tplc="94F4D45C">
      <w:start w:val="1"/>
      <w:numFmt w:val="bullet"/>
      <w:lvlText w:val=""/>
      <w:lvlJc w:val="left"/>
      <w:pPr>
        <w:tabs>
          <w:tab w:val="num" w:pos="720"/>
        </w:tabs>
        <w:ind w:left="720" w:hanging="360"/>
      </w:pPr>
      <w:rPr>
        <w:rFonts w:ascii="Symbol" w:hAnsi="Symbol" w:hint="default"/>
        <w:sz w:val="24"/>
        <w:szCs w:val="24"/>
      </w:rPr>
    </w:lvl>
    <w:lvl w:ilvl="1" w:tplc="70AA8BD4">
      <w:start w:val="4"/>
      <w:numFmt w:val="decimal"/>
      <w:lvlText w:val="%2."/>
      <w:lvlJc w:val="left"/>
      <w:pPr>
        <w:tabs>
          <w:tab w:val="num" w:pos="1440"/>
        </w:tabs>
        <w:ind w:left="1440" w:hanging="360"/>
      </w:pPr>
      <w:rPr>
        <w:rFonts w:hint="default"/>
      </w:rPr>
    </w:lvl>
    <w:lvl w:ilvl="2" w:tplc="95C42258">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3D5107A8"/>
    <w:multiLevelType w:val="hybridMultilevel"/>
    <w:tmpl w:val="B15CB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13F4601"/>
    <w:multiLevelType w:val="hybridMultilevel"/>
    <w:tmpl w:val="00B099A2"/>
    <w:lvl w:ilvl="0" w:tplc="59BE61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43B838FC"/>
    <w:multiLevelType w:val="multilevel"/>
    <w:tmpl w:val="C3229D58"/>
    <w:lvl w:ilvl="0">
      <w:start w:val="1"/>
      <w:numFmt w:val="decimal"/>
      <w:lvlText w:val="%1."/>
      <w:lvlJc w:val="left"/>
      <w:pPr>
        <w:tabs>
          <w:tab w:val="num" w:pos="1440"/>
        </w:tabs>
        <w:ind w:left="1440" w:hanging="360"/>
      </w:pPr>
    </w:lvl>
    <w:lvl w:ilvl="1">
      <w:start w:val="5"/>
      <w:numFmt w:val="decimal"/>
      <w:isLgl/>
      <w:lvlText w:val="%1.%2."/>
      <w:lvlJc w:val="left"/>
      <w:pPr>
        <w:tabs>
          <w:tab w:val="num" w:pos="1575"/>
        </w:tabs>
        <w:ind w:left="1575" w:hanging="49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2">
    <w:nsid w:val="44AE0DF5"/>
    <w:multiLevelType w:val="hybridMultilevel"/>
    <w:tmpl w:val="29D4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FB1A2A"/>
    <w:multiLevelType w:val="hybridMultilevel"/>
    <w:tmpl w:val="D4C04B4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7F54750"/>
    <w:multiLevelType w:val="hybridMultilevel"/>
    <w:tmpl w:val="9302336C"/>
    <w:lvl w:ilvl="0" w:tplc="F9247EF2">
      <w:start w:val="1"/>
      <w:numFmt w:val="decimal"/>
      <w:lvlText w:val="%1."/>
      <w:lvlJc w:val="left"/>
      <w:pPr>
        <w:ind w:left="927" w:hanging="360"/>
      </w:pPr>
      <w:rPr>
        <w:rFonts w:ascii="Arial" w:hAnsi="Arial" w:cs="Arial" w:hint="default"/>
        <w:color w:val="333333"/>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48CD2F39"/>
    <w:multiLevelType w:val="hybridMultilevel"/>
    <w:tmpl w:val="FB0801D4"/>
    <w:lvl w:ilvl="0" w:tplc="76004B1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AC34F88"/>
    <w:multiLevelType w:val="hybridMultilevel"/>
    <w:tmpl w:val="D5C47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AC65CE4"/>
    <w:multiLevelType w:val="hybridMultilevel"/>
    <w:tmpl w:val="A5FC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3F4611"/>
    <w:multiLevelType w:val="hybridMultilevel"/>
    <w:tmpl w:val="6B260E4C"/>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9">
    <w:nsid w:val="4C4D6337"/>
    <w:multiLevelType w:val="hybridMultilevel"/>
    <w:tmpl w:val="1F045072"/>
    <w:lvl w:ilvl="0" w:tplc="2BE8E0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513F3508"/>
    <w:multiLevelType w:val="hybridMultilevel"/>
    <w:tmpl w:val="C8027A90"/>
    <w:lvl w:ilvl="0" w:tplc="559E033E">
      <w:start w:val="1"/>
      <w:numFmt w:val="decimal"/>
      <w:lvlText w:val="%1)"/>
      <w:lvlJc w:val="left"/>
      <w:pPr>
        <w:tabs>
          <w:tab w:val="num" w:pos="927"/>
        </w:tabs>
        <w:ind w:left="927" w:hanging="360"/>
      </w:pPr>
      <w:rPr>
        <w:rFonts w:ascii="Times New Roman" w:eastAsia="Calibri" w:hAnsi="Times New Roman" w:cs="Times New Roman"/>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5505792D"/>
    <w:multiLevelType w:val="hybridMultilevel"/>
    <w:tmpl w:val="524CA726"/>
    <w:lvl w:ilvl="0" w:tplc="E6000D22">
      <w:start w:val="1"/>
      <w:numFmt w:val="decimal"/>
      <w:lvlText w:val="%1."/>
      <w:lvlJc w:val="left"/>
      <w:pPr>
        <w:tabs>
          <w:tab w:val="num" w:pos="360"/>
        </w:tabs>
        <w:ind w:left="360" w:hanging="360"/>
      </w:pPr>
      <w:rPr>
        <w:b w:val="0"/>
        <w:color w:val="auto"/>
        <w:sz w:val="24"/>
        <w:szCs w:val="24"/>
      </w:rPr>
    </w:lvl>
    <w:lvl w:ilvl="1" w:tplc="04270001">
      <w:start w:val="1"/>
      <w:numFmt w:val="bullet"/>
      <w:lvlText w:val=""/>
      <w:lvlJc w:val="left"/>
      <w:pPr>
        <w:tabs>
          <w:tab w:val="num" w:pos="1080"/>
        </w:tabs>
        <w:ind w:left="1080" w:hanging="360"/>
      </w:pPr>
      <w:rPr>
        <w:rFonts w:ascii="Symbol" w:hAnsi="Symbol" w:hint="default"/>
        <w:b w:val="0"/>
        <w:sz w:val="24"/>
        <w:szCs w:val="24"/>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22">
    <w:nsid w:val="5A0C53F9"/>
    <w:multiLevelType w:val="hybridMultilevel"/>
    <w:tmpl w:val="61EAED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nsid w:val="621A5B63"/>
    <w:multiLevelType w:val="multilevel"/>
    <w:tmpl w:val="C4928754"/>
    <w:lvl w:ilvl="0">
      <w:start w:val="1"/>
      <w:numFmt w:val="decimal"/>
      <w:lvlText w:val="%1."/>
      <w:lvlJc w:val="left"/>
      <w:pPr>
        <w:ind w:left="720" w:hanging="360"/>
      </w:pPr>
      <w:rPr>
        <w:rFonts w:ascii="Times New Roman" w:hAnsi="Times New Roman" w:cs="Times New Roman" w:hint="default"/>
        <w:b/>
        <w:color w:val="000000" w:themeColor="text1"/>
      </w:rPr>
    </w:lvl>
    <w:lvl w:ilvl="1">
      <w:start w:val="1"/>
      <w:numFmt w:val="decimal"/>
      <w:isLgl/>
      <w:lvlText w:val="%1.%2."/>
      <w:lvlJc w:val="left"/>
      <w:pPr>
        <w:ind w:left="786" w:hanging="360"/>
      </w:pPr>
      <w:rPr>
        <w:rFonts w:ascii="Times New Roman" w:hAnsi="Times New Roman" w:cs="Times New Roman" w:hint="default"/>
        <w:b/>
        <w:sz w:val="24"/>
      </w:rPr>
    </w:lvl>
    <w:lvl w:ilvl="2">
      <w:start w:val="1"/>
      <w:numFmt w:val="decimal"/>
      <w:isLgl/>
      <w:lvlText w:val="%1.%2.%3."/>
      <w:lvlJc w:val="left"/>
      <w:pPr>
        <w:ind w:left="1212" w:hanging="720"/>
      </w:pPr>
      <w:rPr>
        <w:rFonts w:ascii="Times New Roman" w:hAnsi="Times New Roman" w:cs="Times New Roman" w:hint="default"/>
        <w:b/>
        <w:sz w:val="24"/>
      </w:rPr>
    </w:lvl>
    <w:lvl w:ilvl="3">
      <w:start w:val="1"/>
      <w:numFmt w:val="decimal"/>
      <w:isLgl/>
      <w:lvlText w:val="%1.%2.%3.%4."/>
      <w:lvlJc w:val="left"/>
      <w:pPr>
        <w:ind w:left="1278" w:hanging="720"/>
      </w:pPr>
      <w:rPr>
        <w:rFonts w:ascii="Times New Roman" w:hAnsi="Times New Roman" w:cs="Times New Roman" w:hint="default"/>
        <w:b/>
        <w:sz w:val="24"/>
      </w:rPr>
    </w:lvl>
    <w:lvl w:ilvl="4">
      <w:start w:val="1"/>
      <w:numFmt w:val="decimal"/>
      <w:isLgl/>
      <w:lvlText w:val="%1.%2.%3.%4.%5."/>
      <w:lvlJc w:val="left"/>
      <w:pPr>
        <w:ind w:left="1704" w:hanging="1080"/>
      </w:pPr>
      <w:rPr>
        <w:rFonts w:ascii="Times New Roman" w:hAnsi="Times New Roman" w:cs="Times New Roman" w:hint="default"/>
        <w:b/>
        <w:sz w:val="24"/>
      </w:rPr>
    </w:lvl>
    <w:lvl w:ilvl="5">
      <w:start w:val="1"/>
      <w:numFmt w:val="decimal"/>
      <w:isLgl/>
      <w:lvlText w:val="%1.%2.%3.%4.%5.%6."/>
      <w:lvlJc w:val="left"/>
      <w:pPr>
        <w:ind w:left="1770" w:hanging="1080"/>
      </w:pPr>
      <w:rPr>
        <w:rFonts w:ascii="Times New Roman" w:hAnsi="Times New Roman" w:cs="Times New Roman" w:hint="default"/>
        <w:b/>
        <w:sz w:val="24"/>
      </w:rPr>
    </w:lvl>
    <w:lvl w:ilvl="6">
      <w:start w:val="1"/>
      <w:numFmt w:val="decimal"/>
      <w:isLgl/>
      <w:lvlText w:val="%1.%2.%3.%4.%5.%6.%7."/>
      <w:lvlJc w:val="left"/>
      <w:pPr>
        <w:ind w:left="2196" w:hanging="1440"/>
      </w:pPr>
      <w:rPr>
        <w:rFonts w:ascii="Times New Roman" w:hAnsi="Times New Roman" w:cs="Times New Roman" w:hint="default"/>
        <w:b/>
        <w:sz w:val="24"/>
      </w:rPr>
    </w:lvl>
    <w:lvl w:ilvl="7">
      <w:start w:val="1"/>
      <w:numFmt w:val="decimal"/>
      <w:isLgl/>
      <w:lvlText w:val="%1.%2.%3.%4.%5.%6.%7.%8."/>
      <w:lvlJc w:val="left"/>
      <w:pPr>
        <w:ind w:left="2262" w:hanging="1440"/>
      </w:pPr>
      <w:rPr>
        <w:rFonts w:ascii="Times New Roman" w:hAnsi="Times New Roman" w:cs="Times New Roman" w:hint="default"/>
        <w:b/>
        <w:sz w:val="24"/>
      </w:rPr>
    </w:lvl>
    <w:lvl w:ilvl="8">
      <w:start w:val="1"/>
      <w:numFmt w:val="decimal"/>
      <w:isLgl/>
      <w:lvlText w:val="%1.%2.%3.%4.%5.%6.%7.%8.%9."/>
      <w:lvlJc w:val="left"/>
      <w:pPr>
        <w:ind w:left="2688" w:hanging="1800"/>
      </w:pPr>
      <w:rPr>
        <w:rFonts w:ascii="Times New Roman" w:hAnsi="Times New Roman" w:cs="Times New Roman" w:hint="default"/>
        <w:b/>
        <w:sz w:val="24"/>
      </w:rPr>
    </w:lvl>
  </w:abstractNum>
  <w:abstractNum w:abstractNumId="24">
    <w:nsid w:val="62C86F9A"/>
    <w:multiLevelType w:val="hybridMultilevel"/>
    <w:tmpl w:val="F2206888"/>
    <w:lvl w:ilvl="0" w:tplc="247ADE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72A61333"/>
    <w:multiLevelType w:val="hybridMultilevel"/>
    <w:tmpl w:val="2CAE846C"/>
    <w:lvl w:ilvl="0" w:tplc="9BBC005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A850746"/>
    <w:multiLevelType w:val="hybridMultilevel"/>
    <w:tmpl w:val="5B3A4092"/>
    <w:lvl w:ilvl="0" w:tplc="9BBC0056">
      <w:start w:val="1"/>
      <w:numFmt w:val="decimal"/>
      <w:lvlText w:val="%1."/>
      <w:lvlJc w:val="left"/>
      <w:pPr>
        <w:ind w:left="1287" w:hanging="360"/>
      </w:pPr>
      <w:rPr>
        <w:rFonts w:ascii="Times New Roman" w:hAnsi="Times New Roman" w:cs="Times New Roman"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7D19705E"/>
    <w:multiLevelType w:val="hybridMultilevel"/>
    <w:tmpl w:val="37A88A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15"/>
  </w:num>
  <w:num w:numId="5">
    <w:abstractNumId w:val="5"/>
  </w:num>
  <w:num w:numId="6">
    <w:abstractNumId w:val="22"/>
  </w:num>
  <w:num w:numId="7">
    <w:abstractNumId w:val="10"/>
  </w:num>
  <w:num w:numId="8">
    <w:abstractNumId w:val="27"/>
  </w:num>
  <w:num w:numId="9">
    <w:abstractNumId w:val="13"/>
  </w:num>
  <w:num w:numId="10">
    <w:abstractNumId w:val="16"/>
  </w:num>
  <w:num w:numId="11">
    <w:abstractNumId w:val="9"/>
  </w:num>
  <w:num w:numId="12">
    <w:abstractNumId w:val="6"/>
  </w:num>
  <w:num w:numId="13">
    <w:abstractNumId w:val="18"/>
  </w:num>
  <w:num w:numId="1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20"/>
  </w:num>
  <w:num w:numId="18">
    <w:abstractNumId w:val="24"/>
  </w:num>
  <w:num w:numId="19">
    <w:abstractNumId w:val="19"/>
  </w:num>
  <w:num w:numId="20">
    <w:abstractNumId w:val="3"/>
  </w:num>
  <w:num w:numId="21">
    <w:abstractNumId w:val="1"/>
  </w:num>
  <w:num w:numId="22">
    <w:abstractNumId w:val="25"/>
  </w:num>
  <w:num w:numId="23">
    <w:abstractNumId w:val="26"/>
  </w:num>
  <w:num w:numId="24">
    <w:abstractNumId w:val="7"/>
  </w:num>
  <w:num w:numId="25">
    <w:abstractNumId w:val="14"/>
  </w:num>
  <w:num w:numId="26">
    <w:abstractNumId w:val="23"/>
  </w:num>
  <w:num w:numId="27">
    <w:abstractNumId w:val="12"/>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32E17"/>
    <w:rsid w:val="00001403"/>
    <w:rsid w:val="00010312"/>
    <w:rsid w:val="00014B34"/>
    <w:rsid w:val="00023878"/>
    <w:rsid w:val="00033652"/>
    <w:rsid w:val="00035EAD"/>
    <w:rsid w:val="00037C42"/>
    <w:rsid w:val="0004087B"/>
    <w:rsid w:val="00040957"/>
    <w:rsid w:val="000442CA"/>
    <w:rsid w:val="00044957"/>
    <w:rsid w:val="0006383A"/>
    <w:rsid w:val="00071490"/>
    <w:rsid w:val="0008141F"/>
    <w:rsid w:val="000866AD"/>
    <w:rsid w:val="000904EE"/>
    <w:rsid w:val="00090D2A"/>
    <w:rsid w:val="00092678"/>
    <w:rsid w:val="000A5370"/>
    <w:rsid w:val="000B20C3"/>
    <w:rsid w:val="000B543C"/>
    <w:rsid w:val="000B64C4"/>
    <w:rsid w:val="000B7227"/>
    <w:rsid w:val="000B78FA"/>
    <w:rsid w:val="000C192E"/>
    <w:rsid w:val="000C5714"/>
    <w:rsid w:val="000C657E"/>
    <w:rsid w:val="000C7201"/>
    <w:rsid w:val="000C7ED0"/>
    <w:rsid w:val="000D0BE9"/>
    <w:rsid w:val="000D1010"/>
    <w:rsid w:val="000D158F"/>
    <w:rsid w:val="000D2CED"/>
    <w:rsid w:val="000D41CC"/>
    <w:rsid w:val="000E1634"/>
    <w:rsid w:val="000E6E84"/>
    <w:rsid w:val="000E7C69"/>
    <w:rsid w:val="000F0B4E"/>
    <w:rsid w:val="000F3800"/>
    <w:rsid w:val="000F6A50"/>
    <w:rsid w:val="000F7163"/>
    <w:rsid w:val="000F7986"/>
    <w:rsid w:val="001055AF"/>
    <w:rsid w:val="0010740D"/>
    <w:rsid w:val="00113DDC"/>
    <w:rsid w:val="00114B68"/>
    <w:rsid w:val="00125F2C"/>
    <w:rsid w:val="00141A58"/>
    <w:rsid w:val="00145EF0"/>
    <w:rsid w:val="0014654B"/>
    <w:rsid w:val="00151EDE"/>
    <w:rsid w:val="00152C1F"/>
    <w:rsid w:val="0015462D"/>
    <w:rsid w:val="00154833"/>
    <w:rsid w:val="00160FE0"/>
    <w:rsid w:val="00163DF5"/>
    <w:rsid w:val="001659D0"/>
    <w:rsid w:val="001820F6"/>
    <w:rsid w:val="00185078"/>
    <w:rsid w:val="001910EA"/>
    <w:rsid w:val="001A651D"/>
    <w:rsid w:val="001B4A21"/>
    <w:rsid w:val="001B61C9"/>
    <w:rsid w:val="001C2806"/>
    <w:rsid w:val="001C7E72"/>
    <w:rsid w:val="001E2474"/>
    <w:rsid w:val="001E2672"/>
    <w:rsid w:val="001F5FF1"/>
    <w:rsid w:val="001F63F3"/>
    <w:rsid w:val="001F6C6E"/>
    <w:rsid w:val="001F7AA4"/>
    <w:rsid w:val="001F7BD2"/>
    <w:rsid w:val="00200C0A"/>
    <w:rsid w:val="002075A2"/>
    <w:rsid w:val="00210F34"/>
    <w:rsid w:val="002110C3"/>
    <w:rsid w:val="00213FC2"/>
    <w:rsid w:val="0021584B"/>
    <w:rsid w:val="00217E5E"/>
    <w:rsid w:val="0022543B"/>
    <w:rsid w:val="00236CE9"/>
    <w:rsid w:val="0024004C"/>
    <w:rsid w:val="0024097D"/>
    <w:rsid w:val="00240DF1"/>
    <w:rsid w:val="002525D5"/>
    <w:rsid w:val="0025483B"/>
    <w:rsid w:val="00254986"/>
    <w:rsid w:val="00262506"/>
    <w:rsid w:val="00264206"/>
    <w:rsid w:val="00265408"/>
    <w:rsid w:val="002666EA"/>
    <w:rsid w:val="00271E63"/>
    <w:rsid w:val="00280FE4"/>
    <w:rsid w:val="002825C9"/>
    <w:rsid w:val="002862A3"/>
    <w:rsid w:val="002862BC"/>
    <w:rsid w:val="00290BE4"/>
    <w:rsid w:val="00295394"/>
    <w:rsid w:val="002A6DB0"/>
    <w:rsid w:val="002B7FE8"/>
    <w:rsid w:val="002C2AC6"/>
    <w:rsid w:val="002C2BB6"/>
    <w:rsid w:val="002C319A"/>
    <w:rsid w:val="002D53A3"/>
    <w:rsid w:val="002D6BC0"/>
    <w:rsid w:val="002E24BB"/>
    <w:rsid w:val="002F46A7"/>
    <w:rsid w:val="003025AE"/>
    <w:rsid w:val="00302815"/>
    <w:rsid w:val="003140C4"/>
    <w:rsid w:val="0031493E"/>
    <w:rsid w:val="00322703"/>
    <w:rsid w:val="003260E4"/>
    <w:rsid w:val="0033620E"/>
    <w:rsid w:val="003427BA"/>
    <w:rsid w:val="00344AC2"/>
    <w:rsid w:val="00344DD5"/>
    <w:rsid w:val="00344FA4"/>
    <w:rsid w:val="00345833"/>
    <w:rsid w:val="003536BE"/>
    <w:rsid w:val="003541E8"/>
    <w:rsid w:val="00354FB2"/>
    <w:rsid w:val="00355CEF"/>
    <w:rsid w:val="0036168A"/>
    <w:rsid w:val="00373521"/>
    <w:rsid w:val="00392616"/>
    <w:rsid w:val="003A140E"/>
    <w:rsid w:val="003A31A3"/>
    <w:rsid w:val="003A3BC5"/>
    <w:rsid w:val="003A415C"/>
    <w:rsid w:val="003A452C"/>
    <w:rsid w:val="003B5FE8"/>
    <w:rsid w:val="003D33D8"/>
    <w:rsid w:val="003D564B"/>
    <w:rsid w:val="003D70BA"/>
    <w:rsid w:val="003E1B21"/>
    <w:rsid w:val="003E5890"/>
    <w:rsid w:val="003F2F73"/>
    <w:rsid w:val="003F76DC"/>
    <w:rsid w:val="00400282"/>
    <w:rsid w:val="0040385B"/>
    <w:rsid w:val="004072B2"/>
    <w:rsid w:val="00414499"/>
    <w:rsid w:val="00421265"/>
    <w:rsid w:val="004262CB"/>
    <w:rsid w:val="00427594"/>
    <w:rsid w:val="00427DDB"/>
    <w:rsid w:val="00433618"/>
    <w:rsid w:val="00435351"/>
    <w:rsid w:val="00437F15"/>
    <w:rsid w:val="00442891"/>
    <w:rsid w:val="00443DA4"/>
    <w:rsid w:val="004473FF"/>
    <w:rsid w:val="00447752"/>
    <w:rsid w:val="004610B9"/>
    <w:rsid w:val="004616FB"/>
    <w:rsid w:val="00462C6B"/>
    <w:rsid w:val="00463749"/>
    <w:rsid w:val="00464CDA"/>
    <w:rsid w:val="00465ADE"/>
    <w:rsid w:val="004735F5"/>
    <w:rsid w:val="004746D6"/>
    <w:rsid w:val="00476A31"/>
    <w:rsid w:val="00480B43"/>
    <w:rsid w:val="00490EDE"/>
    <w:rsid w:val="00492ACE"/>
    <w:rsid w:val="00492F38"/>
    <w:rsid w:val="004A34F4"/>
    <w:rsid w:val="004A4E90"/>
    <w:rsid w:val="004A5F2E"/>
    <w:rsid w:val="004B6A49"/>
    <w:rsid w:val="004B6DB7"/>
    <w:rsid w:val="004B7151"/>
    <w:rsid w:val="004B71DE"/>
    <w:rsid w:val="004C19BF"/>
    <w:rsid w:val="004C62DC"/>
    <w:rsid w:val="004D0A07"/>
    <w:rsid w:val="004D24E3"/>
    <w:rsid w:val="004D3D79"/>
    <w:rsid w:val="004D5401"/>
    <w:rsid w:val="004D7803"/>
    <w:rsid w:val="004E3880"/>
    <w:rsid w:val="004E3BC2"/>
    <w:rsid w:val="004E51DB"/>
    <w:rsid w:val="004E677E"/>
    <w:rsid w:val="004E747F"/>
    <w:rsid w:val="004F2D25"/>
    <w:rsid w:val="004F301C"/>
    <w:rsid w:val="00506561"/>
    <w:rsid w:val="00507F39"/>
    <w:rsid w:val="005125AE"/>
    <w:rsid w:val="00523A73"/>
    <w:rsid w:val="00525308"/>
    <w:rsid w:val="005318CE"/>
    <w:rsid w:val="00534B73"/>
    <w:rsid w:val="00543E99"/>
    <w:rsid w:val="00545F9B"/>
    <w:rsid w:val="00547FCB"/>
    <w:rsid w:val="00554BA3"/>
    <w:rsid w:val="005574A6"/>
    <w:rsid w:val="00560B2A"/>
    <w:rsid w:val="005655C1"/>
    <w:rsid w:val="005761E2"/>
    <w:rsid w:val="005857BC"/>
    <w:rsid w:val="00594433"/>
    <w:rsid w:val="005954B8"/>
    <w:rsid w:val="00596A53"/>
    <w:rsid w:val="005973F6"/>
    <w:rsid w:val="0059769B"/>
    <w:rsid w:val="005976B9"/>
    <w:rsid w:val="00597AC9"/>
    <w:rsid w:val="005A49BF"/>
    <w:rsid w:val="005A5931"/>
    <w:rsid w:val="005B02E4"/>
    <w:rsid w:val="005B2EAF"/>
    <w:rsid w:val="005C3628"/>
    <w:rsid w:val="005C5247"/>
    <w:rsid w:val="005C7E4F"/>
    <w:rsid w:val="005D00A6"/>
    <w:rsid w:val="005D0E13"/>
    <w:rsid w:val="005D0E48"/>
    <w:rsid w:val="005D7537"/>
    <w:rsid w:val="005E23BA"/>
    <w:rsid w:val="005F7A56"/>
    <w:rsid w:val="00603A81"/>
    <w:rsid w:val="0061159B"/>
    <w:rsid w:val="006115DD"/>
    <w:rsid w:val="006116FB"/>
    <w:rsid w:val="006149F9"/>
    <w:rsid w:val="00620CF6"/>
    <w:rsid w:val="006212E8"/>
    <w:rsid w:val="00625D44"/>
    <w:rsid w:val="00631B1F"/>
    <w:rsid w:val="006505E5"/>
    <w:rsid w:val="00651E86"/>
    <w:rsid w:val="0065724E"/>
    <w:rsid w:val="00657A8A"/>
    <w:rsid w:val="006621F7"/>
    <w:rsid w:val="006632BE"/>
    <w:rsid w:val="00671BDD"/>
    <w:rsid w:val="00675CFC"/>
    <w:rsid w:val="00681085"/>
    <w:rsid w:val="00694D02"/>
    <w:rsid w:val="00697A9A"/>
    <w:rsid w:val="006A374F"/>
    <w:rsid w:val="006A5B5E"/>
    <w:rsid w:val="006B4897"/>
    <w:rsid w:val="006C06C2"/>
    <w:rsid w:val="006C1D9D"/>
    <w:rsid w:val="006C2721"/>
    <w:rsid w:val="006C2DE9"/>
    <w:rsid w:val="006D1850"/>
    <w:rsid w:val="006D78B0"/>
    <w:rsid w:val="006E0185"/>
    <w:rsid w:val="006E2BA9"/>
    <w:rsid w:val="006F1227"/>
    <w:rsid w:val="0070433E"/>
    <w:rsid w:val="007056C0"/>
    <w:rsid w:val="00712CE3"/>
    <w:rsid w:val="007154F4"/>
    <w:rsid w:val="007206A2"/>
    <w:rsid w:val="007234CB"/>
    <w:rsid w:val="00724E78"/>
    <w:rsid w:val="00725FC7"/>
    <w:rsid w:val="0073169E"/>
    <w:rsid w:val="00750B30"/>
    <w:rsid w:val="00750BB7"/>
    <w:rsid w:val="00757D2D"/>
    <w:rsid w:val="00762317"/>
    <w:rsid w:val="00764100"/>
    <w:rsid w:val="0077057E"/>
    <w:rsid w:val="007742F5"/>
    <w:rsid w:val="007761B6"/>
    <w:rsid w:val="00776221"/>
    <w:rsid w:val="007772C2"/>
    <w:rsid w:val="00780392"/>
    <w:rsid w:val="00783DDE"/>
    <w:rsid w:val="00784262"/>
    <w:rsid w:val="00785542"/>
    <w:rsid w:val="00786C6F"/>
    <w:rsid w:val="00786DF8"/>
    <w:rsid w:val="00795716"/>
    <w:rsid w:val="007965D3"/>
    <w:rsid w:val="0079723C"/>
    <w:rsid w:val="007A2CC6"/>
    <w:rsid w:val="007A4FFD"/>
    <w:rsid w:val="007A6A13"/>
    <w:rsid w:val="007B7CAF"/>
    <w:rsid w:val="007C32DB"/>
    <w:rsid w:val="007C3F97"/>
    <w:rsid w:val="007C4976"/>
    <w:rsid w:val="007C660F"/>
    <w:rsid w:val="007C6C57"/>
    <w:rsid w:val="007D0DAF"/>
    <w:rsid w:val="007D336F"/>
    <w:rsid w:val="007D3BAB"/>
    <w:rsid w:val="007D4841"/>
    <w:rsid w:val="007E1AAB"/>
    <w:rsid w:val="007E3342"/>
    <w:rsid w:val="007F2B73"/>
    <w:rsid w:val="0080487D"/>
    <w:rsid w:val="0081059C"/>
    <w:rsid w:val="00812AF2"/>
    <w:rsid w:val="00812E8E"/>
    <w:rsid w:val="00813EB9"/>
    <w:rsid w:val="00814138"/>
    <w:rsid w:val="008143F9"/>
    <w:rsid w:val="0082183E"/>
    <w:rsid w:val="00822573"/>
    <w:rsid w:val="00824E1C"/>
    <w:rsid w:val="008261CF"/>
    <w:rsid w:val="008340D9"/>
    <w:rsid w:val="00846558"/>
    <w:rsid w:val="00846FBB"/>
    <w:rsid w:val="00853E99"/>
    <w:rsid w:val="0085545C"/>
    <w:rsid w:val="00856FC3"/>
    <w:rsid w:val="0085738D"/>
    <w:rsid w:val="008628F9"/>
    <w:rsid w:val="00865022"/>
    <w:rsid w:val="00870EE8"/>
    <w:rsid w:val="0088026E"/>
    <w:rsid w:val="00884805"/>
    <w:rsid w:val="00895405"/>
    <w:rsid w:val="008977D4"/>
    <w:rsid w:val="008A0499"/>
    <w:rsid w:val="008A0A54"/>
    <w:rsid w:val="008A18B3"/>
    <w:rsid w:val="008A4FC8"/>
    <w:rsid w:val="008B6C60"/>
    <w:rsid w:val="008C0C39"/>
    <w:rsid w:val="008C44C1"/>
    <w:rsid w:val="008C7ACA"/>
    <w:rsid w:val="008D39D0"/>
    <w:rsid w:val="008E0B65"/>
    <w:rsid w:val="008E5DD1"/>
    <w:rsid w:val="008F19B0"/>
    <w:rsid w:val="0090390B"/>
    <w:rsid w:val="00913F3F"/>
    <w:rsid w:val="00916DB9"/>
    <w:rsid w:val="00923A49"/>
    <w:rsid w:val="009255BA"/>
    <w:rsid w:val="00933008"/>
    <w:rsid w:val="00935778"/>
    <w:rsid w:val="00942B48"/>
    <w:rsid w:val="0094543C"/>
    <w:rsid w:val="00946B40"/>
    <w:rsid w:val="00953524"/>
    <w:rsid w:val="00953EF9"/>
    <w:rsid w:val="00983225"/>
    <w:rsid w:val="00987BDA"/>
    <w:rsid w:val="009900EC"/>
    <w:rsid w:val="00992746"/>
    <w:rsid w:val="009A121E"/>
    <w:rsid w:val="009B24A5"/>
    <w:rsid w:val="009B443C"/>
    <w:rsid w:val="009C3184"/>
    <w:rsid w:val="009C7F5B"/>
    <w:rsid w:val="009D1018"/>
    <w:rsid w:val="009D57FE"/>
    <w:rsid w:val="009E1406"/>
    <w:rsid w:val="009E38AB"/>
    <w:rsid w:val="009E52D6"/>
    <w:rsid w:val="009E7921"/>
    <w:rsid w:val="00A00EA6"/>
    <w:rsid w:val="00A02148"/>
    <w:rsid w:val="00A03027"/>
    <w:rsid w:val="00A0723A"/>
    <w:rsid w:val="00A07EEC"/>
    <w:rsid w:val="00A17EAF"/>
    <w:rsid w:val="00A20827"/>
    <w:rsid w:val="00A26C16"/>
    <w:rsid w:val="00A305E2"/>
    <w:rsid w:val="00A30E48"/>
    <w:rsid w:val="00A4041A"/>
    <w:rsid w:val="00A47E15"/>
    <w:rsid w:val="00A52484"/>
    <w:rsid w:val="00A5741D"/>
    <w:rsid w:val="00A6431B"/>
    <w:rsid w:val="00A749C5"/>
    <w:rsid w:val="00A814BC"/>
    <w:rsid w:val="00A8283C"/>
    <w:rsid w:val="00A87D7A"/>
    <w:rsid w:val="00A910DB"/>
    <w:rsid w:val="00A96EAC"/>
    <w:rsid w:val="00A97B1E"/>
    <w:rsid w:val="00AA272F"/>
    <w:rsid w:val="00AA3C8A"/>
    <w:rsid w:val="00AA63B7"/>
    <w:rsid w:val="00AA7DFF"/>
    <w:rsid w:val="00AB0430"/>
    <w:rsid w:val="00AC47E0"/>
    <w:rsid w:val="00AD0DE7"/>
    <w:rsid w:val="00AD3263"/>
    <w:rsid w:val="00AD3AE5"/>
    <w:rsid w:val="00AD3C20"/>
    <w:rsid w:val="00AD4037"/>
    <w:rsid w:val="00AD4826"/>
    <w:rsid w:val="00AD7B69"/>
    <w:rsid w:val="00AE2358"/>
    <w:rsid w:val="00AE3823"/>
    <w:rsid w:val="00AF04EF"/>
    <w:rsid w:val="00AF0D29"/>
    <w:rsid w:val="00AF7031"/>
    <w:rsid w:val="00B062DE"/>
    <w:rsid w:val="00B121C1"/>
    <w:rsid w:val="00B13BA6"/>
    <w:rsid w:val="00B14507"/>
    <w:rsid w:val="00B15E97"/>
    <w:rsid w:val="00B25D08"/>
    <w:rsid w:val="00B32397"/>
    <w:rsid w:val="00B32ABB"/>
    <w:rsid w:val="00B40411"/>
    <w:rsid w:val="00B82CA7"/>
    <w:rsid w:val="00B8314D"/>
    <w:rsid w:val="00B84A59"/>
    <w:rsid w:val="00B86CAD"/>
    <w:rsid w:val="00B8738F"/>
    <w:rsid w:val="00B95079"/>
    <w:rsid w:val="00B9597E"/>
    <w:rsid w:val="00B96B97"/>
    <w:rsid w:val="00BB4206"/>
    <w:rsid w:val="00BC01CF"/>
    <w:rsid w:val="00BC0425"/>
    <w:rsid w:val="00BC1606"/>
    <w:rsid w:val="00BC29D9"/>
    <w:rsid w:val="00BD38D1"/>
    <w:rsid w:val="00BD4F90"/>
    <w:rsid w:val="00BE4231"/>
    <w:rsid w:val="00BF073E"/>
    <w:rsid w:val="00BF37B9"/>
    <w:rsid w:val="00C01D92"/>
    <w:rsid w:val="00C04A9C"/>
    <w:rsid w:val="00C11DB9"/>
    <w:rsid w:val="00C15213"/>
    <w:rsid w:val="00C17639"/>
    <w:rsid w:val="00C20E27"/>
    <w:rsid w:val="00C23E1B"/>
    <w:rsid w:val="00C2798E"/>
    <w:rsid w:val="00C32E17"/>
    <w:rsid w:val="00C35B5D"/>
    <w:rsid w:val="00C42425"/>
    <w:rsid w:val="00C45AAD"/>
    <w:rsid w:val="00C521DB"/>
    <w:rsid w:val="00C700F3"/>
    <w:rsid w:val="00C7039C"/>
    <w:rsid w:val="00C704C1"/>
    <w:rsid w:val="00C72312"/>
    <w:rsid w:val="00C72B33"/>
    <w:rsid w:val="00C73E37"/>
    <w:rsid w:val="00C73E95"/>
    <w:rsid w:val="00C74B5B"/>
    <w:rsid w:val="00C80987"/>
    <w:rsid w:val="00C80ABF"/>
    <w:rsid w:val="00C84D16"/>
    <w:rsid w:val="00C85068"/>
    <w:rsid w:val="00C91C23"/>
    <w:rsid w:val="00C934E4"/>
    <w:rsid w:val="00C95F3E"/>
    <w:rsid w:val="00CA1A78"/>
    <w:rsid w:val="00CB2C9F"/>
    <w:rsid w:val="00CD7CDB"/>
    <w:rsid w:val="00CE2814"/>
    <w:rsid w:val="00CE2FF3"/>
    <w:rsid w:val="00CF371E"/>
    <w:rsid w:val="00CF4B8C"/>
    <w:rsid w:val="00CF6430"/>
    <w:rsid w:val="00D00859"/>
    <w:rsid w:val="00D03D67"/>
    <w:rsid w:val="00D11BCF"/>
    <w:rsid w:val="00D3260B"/>
    <w:rsid w:val="00D37868"/>
    <w:rsid w:val="00D42E6F"/>
    <w:rsid w:val="00D6208D"/>
    <w:rsid w:val="00D67182"/>
    <w:rsid w:val="00D80D2B"/>
    <w:rsid w:val="00D81A0D"/>
    <w:rsid w:val="00D877E0"/>
    <w:rsid w:val="00D90D45"/>
    <w:rsid w:val="00D93BCC"/>
    <w:rsid w:val="00D959FC"/>
    <w:rsid w:val="00D963D1"/>
    <w:rsid w:val="00D96DE7"/>
    <w:rsid w:val="00DA1A22"/>
    <w:rsid w:val="00DA278B"/>
    <w:rsid w:val="00DB3056"/>
    <w:rsid w:val="00DB4E77"/>
    <w:rsid w:val="00DB5F02"/>
    <w:rsid w:val="00DB6480"/>
    <w:rsid w:val="00DC3C6F"/>
    <w:rsid w:val="00DD32F3"/>
    <w:rsid w:val="00DD4E73"/>
    <w:rsid w:val="00DE08C2"/>
    <w:rsid w:val="00DE2B6A"/>
    <w:rsid w:val="00DE6A65"/>
    <w:rsid w:val="00DE7877"/>
    <w:rsid w:val="00DF36AE"/>
    <w:rsid w:val="00DF692B"/>
    <w:rsid w:val="00DF7D92"/>
    <w:rsid w:val="00E119B9"/>
    <w:rsid w:val="00E20503"/>
    <w:rsid w:val="00E2302E"/>
    <w:rsid w:val="00E24125"/>
    <w:rsid w:val="00E24DCA"/>
    <w:rsid w:val="00E24F0A"/>
    <w:rsid w:val="00E256CA"/>
    <w:rsid w:val="00E52404"/>
    <w:rsid w:val="00E53E75"/>
    <w:rsid w:val="00E571AC"/>
    <w:rsid w:val="00E612B9"/>
    <w:rsid w:val="00E63773"/>
    <w:rsid w:val="00E674FF"/>
    <w:rsid w:val="00E71C0B"/>
    <w:rsid w:val="00E756C1"/>
    <w:rsid w:val="00E81F93"/>
    <w:rsid w:val="00E86A24"/>
    <w:rsid w:val="00E9668A"/>
    <w:rsid w:val="00EA7C9D"/>
    <w:rsid w:val="00EB2DFA"/>
    <w:rsid w:val="00EB4204"/>
    <w:rsid w:val="00ED1539"/>
    <w:rsid w:val="00ED2731"/>
    <w:rsid w:val="00ED3BE8"/>
    <w:rsid w:val="00EE22FD"/>
    <w:rsid w:val="00EE7119"/>
    <w:rsid w:val="00EF0F26"/>
    <w:rsid w:val="00F02BBE"/>
    <w:rsid w:val="00F06422"/>
    <w:rsid w:val="00F10EB8"/>
    <w:rsid w:val="00F16917"/>
    <w:rsid w:val="00F16D52"/>
    <w:rsid w:val="00F22B05"/>
    <w:rsid w:val="00F31F9A"/>
    <w:rsid w:val="00F32226"/>
    <w:rsid w:val="00F41088"/>
    <w:rsid w:val="00F53335"/>
    <w:rsid w:val="00F53A5D"/>
    <w:rsid w:val="00F540D6"/>
    <w:rsid w:val="00F54EB6"/>
    <w:rsid w:val="00F553DC"/>
    <w:rsid w:val="00F76157"/>
    <w:rsid w:val="00F76E91"/>
    <w:rsid w:val="00F82AF4"/>
    <w:rsid w:val="00F95601"/>
    <w:rsid w:val="00FA0A52"/>
    <w:rsid w:val="00FA2BA6"/>
    <w:rsid w:val="00FA3E44"/>
    <w:rsid w:val="00FA5DBD"/>
    <w:rsid w:val="00FB248D"/>
    <w:rsid w:val="00FB256F"/>
    <w:rsid w:val="00FB5E2D"/>
    <w:rsid w:val="00FB6CF0"/>
    <w:rsid w:val="00FC05CC"/>
    <w:rsid w:val="00FC0F2D"/>
    <w:rsid w:val="00FC1884"/>
    <w:rsid w:val="00FC613A"/>
    <w:rsid w:val="00FC65D8"/>
    <w:rsid w:val="00FD03B1"/>
    <w:rsid w:val="00FE045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2"/>
    <o:shapelayout v:ext="edit">
      <o:idmap v:ext="edit" data="1"/>
    </o:shapelayout>
  </w:shapeDefaults>
  <w:decimalSymbol w:val=","/>
  <w:listSeparator w:val=";"/>
  <w14:docId w14:val="7FFC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BC"/>
  </w:style>
  <w:style w:type="paragraph" w:styleId="Heading1">
    <w:name w:val="heading 1"/>
    <w:basedOn w:val="Normal"/>
    <w:next w:val="Normal"/>
    <w:link w:val="Heading1Char"/>
    <w:uiPriority w:val="9"/>
    <w:qFormat/>
    <w:rsid w:val="00AE23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54833"/>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Heading3">
    <w:name w:val="heading 3"/>
    <w:basedOn w:val="Normal"/>
    <w:next w:val="Normal"/>
    <w:link w:val="Heading3Char"/>
    <w:uiPriority w:val="9"/>
    <w:unhideWhenUsed/>
    <w:qFormat/>
    <w:rsid w:val="00EA7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17"/>
    <w:pPr>
      <w:ind w:left="720"/>
      <w:contextualSpacing/>
    </w:pPr>
  </w:style>
  <w:style w:type="paragraph" w:customStyle="1" w:styleId="Default">
    <w:name w:val="Default"/>
    <w:link w:val="DefaultChar"/>
    <w:rsid w:val="001910E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aptionp">
    <w:name w:val="Caption p"/>
    <w:basedOn w:val="Default"/>
    <w:link w:val="CaptionpChar"/>
    <w:rsid w:val="001910EA"/>
    <w:pPr>
      <w:spacing w:line="360" w:lineRule="auto"/>
      <w:ind w:firstLine="540"/>
      <w:jc w:val="right"/>
    </w:pPr>
    <w:rPr>
      <w:b/>
      <w:sz w:val="22"/>
      <w:szCs w:val="22"/>
    </w:rPr>
  </w:style>
  <w:style w:type="character" w:customStyle="1" w:styleId="DefaultChar">
    <w:name w:val="Default Char"/>
    <w:basedOn w:val="DefaultParagraphFont"/>
    <w:link w:val="Default"/>
    <w:rsid w:val="001910EA"/>
    <w:rPr>
      <w:rFonts w:ascii="Times New Roman" w:eastAsia="Times New Roman" w:hAnsi="Times New Roman" w:cs="Times New Roman"/>
      <w:color w:val="000000"/>
      <w:sz w:val="24"/>
      <w:szCs w:val="24"/>
      <w:lang w:eastAsia="lt-LT"/>
    </w:rPr>
  </w:style>
  <w:style w:type="character" w:customStyle="1" w:styleId="CaptionpChar">
    <w:name w:val="Caption p Char"/>
    <w:basedOn w:val="DefaultChar"/>
    <w:link w:val="Captionp"/>
    <w:rsid w:val="001910EA"/>
    <w:rPr>
      <w:rFonts w:ascii="Times New Roman" w:eastAsia="Times New Roman" w:hAnsi="Times New Roman" w:cs="Times New Roman"/>
      <w:b/>
      <w:color w:val="000000"/>
      <w:sz w:val="24"/>
      <w:szCs w:val="24"/>
      <w:lang w:eastAsia="lt-LT"/>
    </w:rPr>
  </w:style>
  <w:style w:type="paragraph" w:styleId="BalloonText">
    <w:name w:val="Balloon Text"/>
    <w:basedOn w:val="Normal"/>
    <w:link w:val="BalloonTextChar"/>
    <w:uiPriority w:val="99"/>
    <w:semiHidden/>
    <w:unhideWhenUsed/>
    <w:rsid w:val="0019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0EA"/>
    <w:rPr>
      <w:rFonts w:ascii="Tahoma" w:hAnsi="Tahoma" w:cs="Tahoma"/>
      <w:sz w:val="16"/>
      <w:szCs w:val="16"/>
    </w:rPr>
  </w:style>
  <w:style w:type="table" w:styleId="TableGrid">
    <w:name w:val="Table Grid"/>
    <w:basedOn w:val="TableNormal"/>
    <w:uiPriority w:val="59"/>
    <w:rsid w:val="00F95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4833"/>
    <w:rPr>
      <w:rFonts w:ascii="Times New Roman" w:eastAsia="Times New Roman" w:hAnsi="Times New Roman" w:cs="Times New Roman"/>
      <w:b/>
      <w:bCs/>
      <w:sz w:val="36"/>
      <w:szCs w:val="36"/>
      <w:lang w:eastAsia="lt-LT"/>
    </w:rPr>
  </w:style>
  <w:style w:type="character" w:customStyle="1" w:styleId="Heading1Char">
    <w:name w:val="Heading 1 Char"/>
    <w:basedOn w:val="DefaultParagraphFont"/>
    <w:link w:val="Heading1"/>
    <w:rsid w:val="00AE2358"/>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E256CA"/>
    <w:rPr>
      <w:color w:val="808080"/>
    </w:rPr>
  </w:style>
  <w:style w:type="paragraph" w:styleId="Caption">
    <w:name w:val="caption"/>
    <w:aliases w:val="Caption E"/>
    <w:basedOn w:val="Normal"/>
    <w:next w:val="Normal"/>
    <w:qFormat/>
    <w:rsid w:val="007F2B73"/>
    <w:pPr>
      <w:spacing w:after="0" w:line="360" w:lineRule="auto"/>
      <w:jc w:val="center"/>
    </w:pPr>
    <w:rPr>
      <w:rFonts w:ascii="Times New Roman" w:eastAsia="Times New Roman" w:hAnsi="Times New Roman" w:cs="Times New Roman"/>
      <w:b/>
      <w:bCs/>
      <w:sz w:val="24"/>
      <w:szCs w:val="20"/>
    </w:rPr>
  </w:style>
  <w:style w:type="character" w:styleId="Hyperlink">
    <w:name w:val="Hyperlink"/>
    <w:basedOn w:val="DefaultParagraphFont"/>
    <w:uiPriority w:val="99"/>
    <w:rsid w:val="00757D2D"/>
    <w:rPr>
      <w:color w:val="0000FF"/>
      <w:u w:val="single"/>
    </w:rPr>
  </w:style>
  <w:style w:type="character" w:customStyle="1" w:styleId="statymonr">
    <w:name w:val="statymonr"/>
    <w:basedOn w:val="DefaultParagraphFont"/>
    <w:rsid w:val="00757D2D"/>
  </w:style>
  <w:style w:type="character" w:styleId="FollowedHyperlink">
    <w:name w:val="FollowedHyperlink"/>
    <w:basedOn w:val="DefaultParagraphFont"/>
    <w:uiPriority w:val="99"/>
    <w:semiHidden/>
    <w:unhideWhenUsed/>
    <w:rsid w:val="002C2AC6"/>
    <w:rPr>
      <w:color w:val="800080" w:themeColor="followedHyperlink"/>
      <w:u w:val="single"/>
    </w:rPr>
  </w:style>
  <w:style w:type="paragraph" w:customStyle="1" w:styleId="1ant">
    <w:name w:val="1 ant"/>
    <w:basedOn w:val="Normal"/>
    <w:link w:val="1antChar"/>
    <w:qFormat/>
    <w:rsid w:val="004E677E"/>
    <w:pPr>
      <w:spacing w:after="0" w:line="360" w:lineRule="auto"/>
      <w:jc w:val="center"/>
    </w:pPr>
    <w:rPr>
      <w:rFonts w:ascii="Times New Roman" w:eastAsia="Times New Roman" w:hAnsi="Times New Roman" w:cs="Times New Roman"/>
      <w:b/>
      <w:color w:val="000000"/>
      <w:sz w:val="28"/>
      <w:szCs w:val="28"/>
      <w:lang w:eastAsia="lt-LT"/>
    </w:rPr>
  </w:style>
  <w:style w:type="character" w:customStyle="1" w:styleId="1antChar">
    <w:name w:val="1 ant Char"/>
    <w:basedOn w:val="DefaultParagraphFont"/>
    <w:link w:val="1ant"/>
    <w:rsid w:val="004E677E"/>
    <w:rPr>
      <w:rFonts w:ascii="Times New Roman" w:eastAsia="Times New Roman" w:hAnsi="Times New Roman" w:cs="Times New Roman"/>
      <w:b/>
      <w:color w:val="000000"/>
      <w:sz w:val="28"/>
      <w:szCs w:val="28"/>
      <w:lang w:eastAsia="lt-LT"/>
    </w:rPr>
  </w:style>
  <w:style w:type="paragraph" w:styleId="Header">
    <w:name w:val="header"/>
    <w:basedOn w:val="Normal"/>
    <w:link w:val="HeaderChar"/>
    <w:uiPriority w:val="99"/>
    <w:unhideWhenUsed/>
    <w:rsid w:val="004336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33618"/>
  </w:style>
  <w:style w:type="paragraph" w:styleId="Footer">
    <w:name w:val="footer"/>
    <w:basedOn w:val="Normal"/>
    <w:link w:val="FooterChar"/>
    <w:uiPriority w:val="99"/>
    <w:unhideWhenUsed/>
    <w:rsid w:val="004336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33618"/>
  </w:style>
  <w:style w:type="paragraph" w:styleId="NormalWeb">
    <w:name w:val="Normal (Web)"/>
    <w:basedOn w:val="Normal"/>
    <w:uiPriority w:val="99"/>
    <w:semiHidden/>
    <w:unhideWhenUsed/>
    <w:rsid w:val="00AD7B6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autoRedefine/>
    <w:qFormat/>
    <w:rsid w:val="002525D5"/>
    <w:pPr>
      <w:spacing w:after="0" w:line="360" w:lineRule="auto"/>
      <w:jc w:val="center"/>
    </w:pPr>
    <w:rPr>
      <w:rFonts w:ascii="Times New Roman" w:eastAsia="Times New Roman" w:hAnsi="Times New Roman" w:cs="Times New Roman"/>
      <w:b/>
      <w:sz w:val="24"/>
      <w:szCs w:val="24"/>
    </w:rPr>
  </w:style>
  <w:style w:type="character" w:customStyle="1" w:styleId="BodyText2Char">
    <w:name w:val="Body Text 2 Char"/>
    <w:basedOn w:val="DefaultParagraphFont"/>
    <w:link w:val="BodyText2"/>
    <w:rsid w:val="002525D5"/>
    <w:rPr>
      <w:rFonts w:ascii="Times New Roman" w:eastAsia="Times New Roman" w:hAnsi="Times New Roman" w:cs="Times New Roman"/>
      <w:b/>
      <w:sz w:val="24"/>
      <w:szCs w:val="24"/>
    </w:rPr>
  </w:style>
  <w:style w:type="paragraph" w:customStyle="1" w:styleId="EVPGLHeading1">
    <w:name w:val="EVPGL_Heading1"/>
    <w:basedOn w:val="Heading1"/>
    <w:rsid w:val="00EA7C9D"/>
    <w:pPr>
      <w:keepLines w:val="0"/>
      <w:numPr>
        <w:numId w:val="20"/>
      </w:numPr>
      <w:spacing w:before="240" w:after="60" w:line="240" w:lineRule="auto"/>
    </w:pPr>
    <w:rPr>
      <w:rFonts w:ascii="Times New Roman" w:eastAsia="Times New Roman" w:hAnsi="Times New Roman" w:cs="Arial"/>
      <w:smallCaps/>
      <w:color w:val="auto"/>
      <w:kern w:val="32"/>
      <w:szCs w:val="24"/>
      <w:lang w:val="en-GB"/>
    </w:rPr>
  </w:style>
  <w:style w:type="paragraph" w:customStyle="1" w:styleId="EVPGLHeading2">
    <w:name w:val="EVPGL_Heading2"/>
    <w:basedOn w:val="Heading2"/>
    <w:rsid w:val="00EA7C9D"/>
    <w:pPr>
      <w:keepNext/>
      <w:numPr>
        <w:ilvl w:val="1"/>
        <w:numId w:val="20"/>
      </w:numPr>
      <w:spacing w:before="240" w:beforeAutospacing="0" w:after="60" w:afterAutospacing="0"/>
    </w:pPr>
    <w:rPr>
      <w:rFonts w:cs="Arial"/>
      <w:iCs/>
      <w:sz w:val="24"/>
      <w:szCs w:val="24"/>
      <w:lang w:val="en-GB" w:eastAsia="en-US"/>
    </w:rPr>
  </w:style>
  <w:style w:type="paragraph" w:customStyle="1" w:styleId="EVPGLHeading3">
    <w:name w:val="EVPGL_Heading3"/>
    <w:basedOn w:val="Heading3"/>
    <w:next w:val="BalloonText"/>
    <w:rsid w:val="00EA7C9D"/>
    <w:pPr>
      <w:keepLines w:val="0"/>
      <w:numPr>
        <w:ilvl w:val="2"/>
        <w:numId w:val="20"/>
      </w:numPr>
      <w:spacing w:before="240" w:after="60" w:line="240" w:lineRule="auto"/>
    </w:pPr>
    <w:rPr>
      <w:rFonts w:ascii="Times New Roman" w:eastAsia="Times New Roman" w:hAnsi="Times New Roman" w:cs="Arial"/>
      <w:i/>
      <w:color w:val="auto"/>
      <w:szCs w:val="26"/>
      <w:lang w:val="pt-BR"/>
    </w:rPr>
  </w:style>
  <w:style w:type="paragraph" w:customStyle="1" w:styleId="11Skyrius">
    <w:name w:val="1.1 Skyrius"/>
    <w:basedOn w:val="Normal"/>
    <w:rsid w:val="00EA7C9D"/>
    <w:pPr>
      <w:spacing w:after="0" w:line="360" w:lineRule="auto"/>
      <w:jc w:val="center"/>
    </w:pPr>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uiPriority w:val="9"/>
    <w:rsid w:val="00EA7C9D"/>
    <w:rPr>
      <w:rFonts w:asciiTheme="majorHAnsi" w:eastAsiaTheme="majorEastAsia" w:hAnsiTheme="majorHAnsi" w:cstheme="majorBidi"/>
      <w:b/>
      <w:bCs/>
      <w:color w:val="4F81BD" w:themeColor="accent1"/>
    </w:rPr>
  </w:style>
  <w:style w:type="character" w:customStyle="1" w:styleId="hps">
    <w:name w:val="hps"/>
    <w:basedOn w:val="DefaultParagraphFont"/>
    <w:rsid w:val="003F2F73"/>
  </w:style>
  <w:style w:type="paragraph" w:styleId="TOCHeading">
    <w:name w:val="TOC Heading"/>
    <w:basedOn w:val="Heading1"/>
    <w:next w:val="Normal"/>
    <w:uiPriority w:val="39"/>
    <w:semiHidden/>
    <w:unhideWhenUsed/>
    <w:qFormat/>
    <w:rsid w:val="00953524"/>
    <w:pPr>
      <w:outlineLvl w:val="9"/>
    </w:pPr>
    <w:rPr>
      <w:lang w:val="en-US" w:eastAsia="ja-JP"/>
    </w:rPr>
  </w:style>
  <w:style w:type="paragraph" w:styleId="TOC1">
    <w:name w:val="toc 1"/>
    <w:basedOn w:val="Normal"/>
    <w:next w:val="Normal"/>
    <w:autoRedefine/>
    <w:uiPriority w:val="39"/>
    <w:unhideWhenUsed/>
    <w:rsid w:val="00953524"/>
    <w:pPr>
      <w:spacing w:after="100"/>
    </w:pPr>
  </w:style>
  <w:style w:type="paragraph" w:styleId="TOC2">
    <w:name w:val="toc 2"/>
    <w:basedOn w:val="Normal"/>
    <w:next w:val="Normal"/>
    <w:autoRedefine/>
    <w:uiPriority w:val="39"/>
    <w:unhideWhenUsed/>
    <w:rsid w:val="009E1406"/>
    <w:pPr>
      <w:tabs>
        <w:tab w:val="left" w:pos="880"/>
        <w:tab w:val="right" w:leader="dot" w:pos="9911"/>
      </w:tabs>
      <w:spacing w:after="100"/>
      <w:ind w:left="220" w:firstLine="64"/>
    </w:pPr>
    <w:rPr>
      <w:rFonts w:ascii="Times New Roman" w:hAnsi="Times New Roman" w:cs="Times New Roman"/>
      <w:noProof/>
      <w:color w:val="000000" w:themeColor="text1"/>
      <w:sz w:val="24"/>
      <w:szCs w:val="24"/>
    </w:rPr>
  </w:style>
  <w:style w:type="character" w:styleId="Strong">
    <w:name w:val="Strong"/>
    <w:basedOn w:val="DefaultParagraphFont"/>
    <w:uiPriority w:val="22"/>
    <w:qFormat/>
    <w:rsid w:val="007F2B73"/>
    <w:rPr>
      <w:b/>
      <w:bCs/>
    </w:rPr>
  </w:style>
  <w:style w:type="paragraph" w:styleId="TableofFigures">
    <w:name w:val="table of figures"/>
    <w:basedOn w:val="Normal"/>
    <w:next w:val="Normal"/>
    <w:autoRedefine/>
    <w:uiPriority w:val="99"/>
    <w:unhideWhenUsed/>
    <w:qFormat/>
    <w:rsid w:val="009900EC"/>
    <w:pPr>
      <w:tabs>
        <w:tab w:val="right" w:leader="dot" w:pos="9911"/>
      </w:tabs>
      <w:spacing w:after="0"/>
    </w:pPr>
    <w:rPr>
      <w:rFonts w:ascii="Times" w:hAnsi="Time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38182">
      <w:bodyDiv w:val="1"/>
      <w:marLeft w:val="0"/>
      <w:marRight w:val="0"/>
      <w:marTop w:val="0"/>
      <w:marBottom w:val="0"/>
      <w:divBdr>
        <w:top w:val="none" w:sz="0" w:space="0" w:color="auto"/>
        <w:left w:val="none" w:sz="0" w:space="0" w:color="auto"/>
        <w:bottom w:val="none" w:sz="0" w:space="0" w:color="auto"/>
        <w:right w:val="none" w:sz="0" w:space="0" w:color="auto"/>
      </w:divBdr>
    </w:div>
    <w:div w:id="870726038">
      <w:bodyDiv w:val="1"/>
      <w:marLeft w:val="0"/>
      <w:marRight w:val="0"/>
      <w:marTop w:val="0"/>
      <w:marBottom w:val="0"/>
      <w:divBdr>
        <w:top w:val="none" w:sz="0" w:space="0" w:color="auto"/>
        <w:left w:val="none" w:sz="0" w:space="0" w:color="auto"/>
        <w:bottom w:val="none" w:sz="0" w:space="0" w:color="auto"/>
        <w:right w:val="none" w:sz="0" w:space="0" w:color="auto"/>
      </w:divBdr>
    </w:div>
    <w:div w:id="1183975223">
      <w:bodyDiv w:val="1"/>
      <w:marLeft w:val="0"/>
      <w:marRight w:val="0"/>
      <w:marTop w:val="0"/>
      <w:marBottom w:val="0"/>
      <w:divBdr>
        <w:top w:val="none" w:sz="0" w:space="0" w:color="auto"/>
        <w:left w:val="none" w:sz="0" w:space="0" w:color="auto"/>
        <w:bottom w:val="none" w:sz="0" w:space="0" w:color="auto"/>
        <w:right w:val="none" w:sz="0" w:space="0" w:color="auto"/>
      </w:divBdr>
      <w:divsChild>
        <w:div w:id="1965040501">
          <w:marLeft w:val="0"/>
          <w:marRight w:val="0"/>
          <w:marTop w:val="0"/>
          <w:marBottom w:val="0"/>
          <w:divBdr>
            <w:top w:val="none" w:sz="0" w:space="0" w:color="auto"/>
            <w:left w:val="none" w:sz="0" w:space="0" w:color="auto"/>
            <w:bottom w:val="none" w:sz="0" w:space="0" w:color="auto"/>
            <w:right w:val="none" w:sz="0" w:space="0" w:color="auto"/>
          </w:divBdr>
        </w:div>
        <w:div w:id="1255088511">
          <w:marLeft w:val="0"/>
          <w:marRight w:val="0"/>
          <w:marTop w:val="0"/>
          <w:marBottom w:val="0"/>
          <w:divBdr>
            <w:top w:val="none" w:sz="0" w:space="0" w:color="auto"/>
            <w:left w:val="none" w:sz="0" w:space="0" w:color="auto"/>
            <w:bottom w:val="none" w:sz="0" w:space="0" w:color="auto"/>
            <w:right w:val="none" w:sz="0" w:space="0" w:color="auto"/>
          </w:divBdr>
        </w:div>
        <w:div w:id="343243737">
          <w:marLeft w:val="0"/>
          <w:marRight w:val="0"/>
          <w:marTop w:val="0"/>
          <w:marBottom w:val="0"/>
          <w:divBdr>
            <w:top w:val="none" w:sz="0" w:space="0" w:color="auto"/>
            <w:left w:val="none" w:sz="0" w:space="0" w:color="auto"/>
            <w:bottom w:val="none" w:sz="0" w:space="0" w:color="auto"/>
            <w:right w:val="none" w:sz="0" w:space="0" w:color="auto"/>
          </w:divBdr>
        </w:div>
        <w:div w:id="1718357335">
          <w:marLeft w:val="0"/>
          <w:marRight w:val="0"/>
          <w:marTop w:val="0"/>
          <w:marBottom w:val="0"/>
          <w:divBdr>
            <w:top w:val="none" w:sz="0" w:space="0" w:color="auto"/>
            <w:left w:val="none" w:sz="0" w:space="0" w:color="auto"/>
            <w:bottom w:val="none" w:sz="0" w:space="0" w:color="auto"/>
            <w:right w:val="none" w:sz="0" w:space="0" w:color="auto"/>
          </w:divBdr>
        </w:div>
        <w:div w:id="1492988139">
          <w:marLeft w:val="0"/>
          <w:marRight w:val="0"/>
          <w:marTop w:val="0"/>
          <w:marBottom w:val="0"/>
          <w:divBdr>
            <w:top w:val="none" w:sz="0" w:space="0" w:color="auto"/>
            <w:left w:val="none" w:sz="0" w:space="0" w:color="auto"/>
            <w:bottom w:val="none" w:sz="0" w:space="0" w:color="auto"/>
            <w:right w:val="none" w:sz="0" w:space="0" w:color="auto"/>
          </w:divBdr>
        </w:div>
        <w:div w:id="769857558">
          <w:marLeft w:val="0"/>
          <w:marRight w:val="0"/>
          <w:marTop w:val="0"/>
          <w:marBottom w:val="0"/>
          <w:divBdr>
            <w:top w:val="none" w:sz="0" w:space="0" w:color="auto"/>
            <w:left w:val="none" w:sz="0" w:space="0" w:color="auto"/>
            <w:bottom w:val="none" w:sz="0" w:space="0" w:color="auto"/>
            <w:right w:val="none" w:sz="0" w:space="0" w:color="auto"/>
          </w:divBdr>
        </w:div>
        <w:div w:id="601181414">
          <w:marLeft w:val="0"/>
          <w:marRight w:val="0"/>
          <w:marTop w:val="0"/>
          <w:marBottom w:val="0"/>
          <w:divBdr>
            <w:top w:val="none" w:sz="0" w:space="0" w:color="auto"/>
            <w:left w:val="none" w:sz="0" w:space="0" w:color="auto"/>
            <w:bottom w:val="none" w:sz="0" w:space="0" w:color="auto"/>
            <w:right w:val="none" w:sz="0" w:space="0" w:color="auto"/>
          </w:divBdr>
        </w:div>
        <w:div w:id="763650362">
          <w:marLeft w:val="0"/>
          <w:marRight w:val="0"/>
          <w:marTop w:val="0"/>
          <w:marBottom w:val="0"/>
          <w:divBdr>
            <w:top w:val="none" w:sz="0" w:space="0" w:color="auto"/>
            <w:left w:val="none" w:sz="0" w:space="0" w:color="auto"/>
            <w:bottom w:val="none" w:sz="0" w:space="0" w:color="auto"/>
            <w:right w:val="none" w:sz="0" w:space="0" w:color="auto"/>
          </w:divBdr>
        </w:div>
        <w:div w:id="388461442">
          <w:marLeft w:val="0"/>
          <w:marRight w:val="0"/>
          <w:marTop w:val="0"/>
          <w:marBottom w:val="0"/>
          <w:divBdr>
            <w:top w:val="none" w:sz="0" w:space="0" w:color="auto"/>
            <w:left w:val="none" w:sz="0" w:space="0" w:color="auto"/>
            <w:bottom w:val="none" w:sz="0" w:space="0" w:color="auto"/>
            <w:right w:val="none" w:sz="0" w:space="0" w:color="auto"/>
          </w:divBdr>
        </w:div>
        <w:div w:id="2070034743">
          <w:marLeft w:val="0"/>
          <w:marRight w:val="0"/>
          <w:marTop w:val="0"/>
          <w:marBottom w:val="0"/>
          <w:divBdr>
            <w:top w:val="none" w:sz="0" w:space="0" w:color="auto"/>
            <w:left w:val="none" w:sz="0" w:space="0" w:color="auto"/>
            <w:bottom w:val="none" w:sz="0" w:space="0" w:color="auto"/>
            <w:right w:val="none" w:sz="0" w:space="0" w:color="auto"/>
          </w:divBdr>
        </w:div>
        <w:div w:id="159589621">
          <w:marLeft w:val="0"/>
          <w:marRight w:val="0"/>
          <w:marTop w:val="0"/>
          <w:marBottom w:val="0"/>
          <w:divBdr>
            <w:top w:val="none" w:sz="0" w:space="0" w:color="auto"/>
            <w:left w:val="none" w:sz="0" w:space="0" w:color="auto"/>
            <w:bottom w:val="none" w:sz="0" w:space="0" w:color="auto"/>
            <w:right w:val="none" w:sz="0" w:space="0" w:color="auto"/>
          </w:divBdr>
        </w:div>
        <w:div w:id="1712461221">
          <w:marLeft w:val="0"/>
          <w:marRight w:val="0"/>
          <w:marTop w:val="0"/>
          <w:marBottom w:val="0"/>
          <w:divBdr>
            <w:top w:val="none" w:sz="0" w:space="0" w:color="auto"/>
            <w:left w:val="none" w:sz="0" w:space="0" w:color="auto"/>
            <w:bottom w:val="none" w:sz="0" w:space="0" w:color="auto"/>
            <w:right w:val="none" w:sz="0" w:space="0" w:color="auto"/>
          </w:divBdr>
        </w:div>
        <w:div w:id="1881015261">
          <w:marLeft w:val="0"/>
          <w:marRight w:val="0"/>
          <w:marTop w:val="0"/>
          <w:marBottom w:val="0"/>
          <w:divBdr>
            <w:top w:val="none" w:sz="0" w:space="0" w:color="auto"/>
            <w:left w:val="none" w:sz="0" w:space="0" w:color="auto"/>
            <w:bottom w:val="none" w:sz="0" w:space="0" w:color="auto"/>
            <w:right w:val="none" w:sz="0" w:space="0" w:color="auto"/>
          </w:divBdr>
        </w:div>
        <w:div w:id="964389692">
          <w:marLeft w:val="0"/>
          <w:marRight w:val="0"/>
          <w:marTop w:val="0"/>
          <w:marBottom w:val="0"/>
          <w:divBdr>
            <w:top w:val="none" w:sz="0" w:space="0" w:color="auto"/>
            <w:left w:val="none" w:sz="0" w:space="0" w:color="auto"/>
            <w:bottom w:val="none" w:sz="0" w:space="0" w:color="auto"/>
            <w:right w:val="none" w:sz="0" w:space="0" w:color="auto"/>
          </w:divBdr>
        </w:div>
        <w:div w:id="126633727">
          <w:marLeft w:val="0"/>
          <w:marRight w:val="0"/>
          <w:marTop w:val="0"/>
          <w:marBottom w:val="0"/>
          <w:divBdr>
            <w:top w:val="none" w:sz="0" w:space="0" w:color="auto"/>
            <w:left w:val="none" w:sz="0" w:space="0" w:color="auto"/>
            <w:bottom w:val="none" w:sz="0" w:space="0" w:color="auto"/>
            <w:right w:val="none" w:sz="0" w:space="0" w:color="auto"/>
          </w:divBdr>
        </w:div>
        <w:div w:id="987705356">
          <w:marLeft w:val="0"/>
          <w:marRight w:val="0"/>
          <w:marTop w:val="0"/>
          <w:marBottom w:val="0"/>
          <w:divBdr>
            <w:top w:val="none" w:sz="0" w:space="0" w:color="auto"/>
            <w:left w:val="none" w:sz="0" w:space="0" w:color="auto"/>
            <w:bottom w:val="none" w:sz="0" w:space="0" w:color="auto"/>
            <w:right w:val="none" w:sz="0" w:space="0" w:color="auto"/>
          </w:divBdr>
        </w:div>
      </w:divsChild>
    </w:div>
    <w:div w:id="1772553517">
      <w:bodyDiv w:val="1"/>
      <w:marLeft w:val="0"/>
      <w:marRight w:val="0"/>
      <w:marTop w:val="0"/>
      <w:marBottom w:val="0"/>
      <w:divBdr>
        <w:top w:val="none" w:sz="0" w:space="0" w:color="auto"/>
        <w:left w:val="none" w:sz="0" w:space="0" w:color="auto"/>
        <w:bottom w:val="none" w:sz="0" w:space="0" w:color="auto"/>
        <w:right w:val="none" w:sz="0" w:space="0" w:color="auto"/>
      </w:divBdr>
    </w:div>
    <w:div w:id="19536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QuickStyle" Target="diagrams/quickStyle3.xml"/><Relationship Id="rId39" Type="http://schemas.openxmlformats.org/officeDocument/2006/relationships/chart" Target="charts/chart11.xml"/><Relationship Id="rId21" Type="http://schemas.openxmlformats.org/officeDocument/2006/relationships/oleObject" Target="embeddings/oleObject1.bin"/><Relationship Id="rId34" Type="http://schemas.openxmlformats.org/officeDocument/2006/relationships/chart" Target="charts/chart6.xml"/><Relationship Id="rId42" Type="http://schemas.openxmlformats.org/officeDocument/2006/relationships/chart" Target="charts/chart14.xml"/><Relationship Id="rId47" Type="http://schemas.openxmlformats.org/officeDocument/2006/relationships/chart" Target="charts/chart19.xml"/><Relationship Id="rId50" Type="http://schemas.openxmlformats.org/officeDocument/2006/relationships/chart" Target="charts/chart22.xml"/><Relationship Id="rId55" Type="http://schemas.openxmlformats.org/officeDocument/2006/relationships/image" Target="media/image5.wmf"/><Relationship Id="rId63" Type="http://schemas.openxmlformats.org/officeDocument/2006/relationships/image" Target="media/image9.wmf"/><Relationship Id="rId68" Type="http://schemas.openxmlformats.org/officeDocument/2006/relationships/oleObject" Target="embeddings/oleObject10.bin"/><Relationship Id="rId76" Type="http://schemas.openxmlformats.org/officeDocument/2006/relationships/oleObject" Target="embeddings/oleObject14.bin"/><Relationship Id="rId84" Type="http://schemas.openxmlformats.org/officeDocument/2006/relationships/image" Target="media/image19.wmf"/><Relationship Id="rId89" Type="http://schemas.openxmlformats.org/officeDocument/2006/relationships/oleObject" Target="embeddings/oleObject21.bin"/><Relationship Id="rId7" Type="http://schemas.openxmlformats.org/officeDocument/2006/relationships/footnotes" Target="footnotes.xml"/><Relationship Id="rId71" Type="http://schemas.openxmlformats.org/officeDocument/2006/relationships/image" Target="media/image13.w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chart" Target="charts/chart1.xml"/><Relationship Id="rId11" Type="http://schemas.openxmlformats.org/officeDocument/2006/relationships/diagramLayout" Target="diagrams/layout1.xml"/><Relationship Id="rId24" Type="http://schemas.openxmlformats.org/officeDocument/2006/relationships/diagramData" Target="diagrams/data3.xml"/><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chart" Target="charts/chart17.xml"/><Relationship Id="rId53" Type="http://schemas.openxmlformats.org/officeDocument/2006/relationships/image" Target="media/image4.wmf"/><Relationship Id="rId58" Type="http://schemas.openxmlformats.org/officeDocument/2006/relationships/oleObject" Target="embeddings/oleObject5.bin"/><Relationship Id="rId66" Type="http://schemas.openxmlformats.org/officeDocument/2006/relationships/oleObject" Target="embeddings/oleObject9.bin"/><Relationship Id="rId74" Type="http://schemas.openxmlformats.org/officeDocument/2006/relationships/oleObject" Target="embeddings/oleObject13.bin"/><Relationship Id="rId79" Type="http://schemas.openxmlformats.org/officeDocument/2006/relationships/image" Target="media/image17.wmf"/><Relationship Id="rId87" Type="http://schemas.openxmlformats.org/officeDocument/2006/relationships/oleObject" Target="embeddings/oleObject20.bin"/><Relationship Id="rId5" Type="http://schemas.openxmlformats.org/officeDocument/2006/relationships/settings" Target="settings.xml"/><Relationship Id="rId61" Type="http://schemas.openxmlformats.org/officeDocument/2006/relationships/image" Target="media/image8.wmf"/><Relationship Id="rId82" Type="http://schemas.openxmlformats.org/officeDocument/2006/relationships/oleObject" Target="embeddings/oleObject17.bin"/><Relationship Id="rId90" Type="http://schemas.openxmlformats.org/officeDocument/2006/relationships/image" Target="media/image22.emf"/><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image" Target="media/image3.wmf"/><Relationship Id="rId27" Type="http://schemas.openxmlformats.org/officeDocument/2006/relationships/diagramColors" Target="diagrams/colors3.xm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chart" Target="charts/chart15.xml"/><Relationship Id="rId48" Type="http://schemas.openxmlformats.org/officeDocument/2006/relationships/chart" Target="charts/chart20.xml"/><Relationship Id="rId56" Type="http://schemas.openxmlformats.org/officeDocument/2006/relationships/oleObject" Target="embeddings/oleObject4.bin"/><Relationship Id="rId64" Type="http://schemas.openxmlformats.org/officeDocument/2006/relationships/oleObject" Target="embeddings/oleObject8.bin"/><Relationship Id="rId69" Type="http://schemas.openxmlformats.org/officeDocument/2006/relationships/image" Target="media/image12.wmf"/><Relationship Id="rId77" Type="http://schemas.openxmlformats.org/officeDocument/2006/relationships/image" Target="media/image16.wmf"/><Relationship Id="rId8" Type="http://schemas.openxmlformats.org/officeDocument/2006/relationships/endnotes" Target="endnotes.xml"/><Relationship Id="rId51" Type="http://schemas.openxmlformats.org/officeDocument/2006/relationships/chart" Target="charts/chart23.xml"/><Relationship Id="rId72" Type="http://schemas.openxmlformats.org/officeDocument/2006/relationships/oleObject" Target="embeddings/oleObject12.bin"/><Relationship Id="rId80" Type="http://schemas.openxmlformats.org/officeDocument/2006/relationships/oleObject" Target="embeddings/oleObject16.bin"/><Relationship Id="rId85" Type="http://schemas.openxmlformats.org/officeDocument/2006/relationships/oleObject" Target="embeddings/oleObject19.bin"/><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Layout" Target="diagrams/layout3.xml"/><Relationship Id="rId33" Type="http://schemas.openxmlformats.org/officeDocument/2006/relationships/chart" Target="charts/chart5.xml"/><Relationship Id="rId38" Type="http://schemas.openxmlformats.org/officeDocument/2006/relationships/chart" Target="charts/chart10.xml"/><Relationship Id="rId46" Type="http://schemas.openxmlformats.org/officeDocument/2006/relationships/chart" Target="charts/chart18.xml"/><Relationship Id="rId59" Type="http://schemas.openxmlformats.org/officeDocument/2006/relationships/image" Target="media/image7.wmf"/><Relationship Id="rId67" Type="http://schemas.openxmlformats.org/officeDocument/2006/relationships/image" Target="media/image11.wmf"/><Relationship Id="rId20" Type="http://schemas.openxmlformats.org/officeDocument/2006/relationships/image" Target="media/image2.wmf"/><Relationship Id="rId41" Type="http://schemas.openxmlformats.org/officeDocument/2006/relationships/chart" Target="charts/chart13.xml"/><Relationship Id="rId54" Type="http://schemas.openxmlformats.org/officeDocument/2006/relationships/oleObject" Target="embeddings/oleObject3.bin"/><Relationship Id="rId62" Type="http://schemas.openxmlformats.org/officeDocument/2006/relationships/oleObject" Target="embeddings/oleObject7.bin"/><Relationship Id="rId70" Type="http://schemas.openxmlformats.org/officeDocument/2006/relationships/oleObject" Target="embeddings/oleObject11.bin"/><Relationship Id="rId75" Type="http://schemas.openxmlformats.org/officeDocument/2006/relationships/image" Target="media/image15.wmf"/><Relationship Id="rId83" Type="http://schemas.openxmlformats.org/officeDocument/2006/relationships/oleObject" Target="embeddings/oleObject18.bin"/><Relationship Id="rId88" Type="http://schemas.openxmlformats.org/officeDocument/2006/relationships/image" Target="media/image21.wmf"/><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oleObject" Target="embeddings/oleObject2.bin"/><Relationship Id="rId28" Type="http://schemas.microsoft.com/office/2007/relationships/diagramDrawing" Target="diagrams/drawing3.xml"/><Relationship Id="rId36" Type="http://schemas.openxmlformats.org/officeDocument/2006/relationships/chart" Target="charts/chart8.xml"/><Relationship Id="rId49" Type="http://schemas.openxmlformats.org/officeDocument/2006/relationships/chart" Target="charts/chart21.xml"/><Relationship Id="rId57" Type="http://schemas.openxmlformats.org/officeDocument/2006/relationships/image" Target="media/image6.wmf"/><Relationship Id="rId10" Type="http://schemas.openxmlformats.org/officeDocument/2006/relationships/diagramData" Target="diagrams/data1.xml"/><Relationship Id="rId31" Type="http://schemas.openxmlformats.org/officeDocument/2006/relationships/chart" Target="charts/chart3.xml"/><Relationship Id="rId44" Type="http://schemas.openxmlformats.org/officeDocument/2006/relationships/chart" Target="charts/chart16.xml"/><Relationship Id="rId52" Type="http://schemas.openxmlformats.org/officeDocument/2006/relationships/chart" Target="charts/chart24.xml"/><Relationship Id="rId60" Type="http://schemas.openxmlformats.org/officeDocument/2006/relationships/oleObject" Target="embeddings/oleObject6.bin"/><Relationship Id="rId65" Type="http://schemas.openxmlformats.org/officeDocument/2006/relationships/image" Target="media/image10.wmf"/><Relationship Id="rId73" Type="http://schemas.openxmlformats.org/officeDocument/2006/relationships/image" Target="media/image14.wmf"/><Relationship Id="rId78" Type="http://schemas.openxmlformats.org/officeDocument/2006/relationships/oleObject" Target="embeddings/oleObject15.bin"/><Relationship Id="rId81" Type="http://schemas.openxmlformats.org/officeDocument/2006/relationships/image" Target="media/image18.wmf"/><Relationship Id="rId86"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imantas\Desktop\magistro%20praktin&#279;%20dal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02187226597"/>
          <c:y val="0.20406277340332499"/>
          <c:w val="0.53260892388451497"/>
          <c:h val="0.75379593175854098"/>
        </c:manualLayout>
      </c:layout>
      <c:lineChart>
        <c:grouping val="standard"/>
        <c:varyColors val="0"/>
        <c:ser>
          <c:idx val="1"/>
          <c:order val="0"/>
          <c:tx>
            <c:strRef>
              <c:f>'Agrowill Group'!$A$8</c:f>
              <c:strCache>
                <c:ptCount val="1"/>
                <c:pt idx="0">
                  <c:v>Bendrasis likvidumas</c:v>
                </c:pt>
              </c:strCache>
            </c:strRef>
          </c:tx>
          <c:dLbls>
            <c:dLbl>
              <c:idx val="0"/>
              <c:layout>
                <c:manualLayout>
                  <c:x val="-4.7222222222222499E-2"/>
                  <c:y val="-5.55555555555554E-2"/>
                </c:manualLayout>
              </c:layout>
              <c:showLegendKey val="0"/>
              <c:showVal val="1"/>
              <c:showCatName val="0"/>
              <c:showSerName val="0"/>
              <c:showPercent val="0"/>
              <c:showBubbleSize val="0"/>
            </c:dLbl>
            <c:dLbl>
              <c:idx val="1"/>
              <c:layout>
                <c:manualLayout>
                  <c:x val="-5.00000000000001E-2"/>
                  <c:y val="-9.7222222222222196E-2"/>
                </c:manualLayout>
              </c:layout>
              <c:showLegendKey val="0"/>
              <c:showVal val="1"/>
              <c:showCatName val="0"/>
              <c:showSerName val="0"/>
              <c:showPercent val="0"/>
              <c:showBubbleSize val="0"/>
            </c:dLbl>
            <c:dLbl>
              <c:idx val="2"/>
              <c:layout>
                <c:manualLayout>
                  <c:x val="-5.8333333333334202E-2"/>
                  <c:y val="-6.0185185185185099E-2"/>
                </c:manualLayout>
              </c:layout>
              <c:showLegendKey val="0"/>
              <c:showVal val="1"/>
              <c:showCatName val="0"/>
              <c:showSerName val="0"/>
              <c:showPercent val="0"/>
              <c:showBubbleSize val="0"/>
            </c:dLbl>
            <c:dLbl>
              <c:idx val="3"/>
              <c:layout>
                <c:manualLayout>
                  <c:x val="-5.00000000000001E-2"/>
                  <c:y val="-5.55555555555554E-2"/>
                </c:manualLayout>
              </c:layout>
              <c:showLegendKey val="0"/>
              <c:showVal val="1"/>
              <c:showCatName val="0"/>
              <c:showSerName val="0"/>
              <c:showPercent val="0"/>
              <c:showBubbleSize val="0"/>
            </c:dLbl>
            <c:dLbl>
              <c:idx val="4"/>
              <c:layout>
                <c:manualLayout>
                  <c:x val="-5.2777777777777798E-2"/>
                  <c:y val="-6.481481481481600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'Agrowill Group'!$B$1:$F$1</c:f>
              <c:numCache>
                <c:formatCode>General</c:formatCode>
                <c:ptCount val="5"/>
                <c:pt idx="0">
                  <c:v>2008</c:v>
                </c:pt>
                <c:pt idx="1">
                  <c:v>2009</c:v>
                </c:pt>
                <c:pt idx="2">
                  <c:v>2010</c:v>
                </c:pt>
                <c:pt idx="3">
                  <c:v>2011</c:v>
                </c:pt>
                <c:pt idx="4">
                  <c:v>2012</c:v>
                </c:pt>
              </c:numCache>
            </c:numRef>
          </c:cat>
          <c:val>
            <c:numRef>
              <c:f>'Agrowill Group'!$B$8:$F$8</c:f>
              <c:numCache>
                <c:formatCode>0.00</c:formatCode>
                <c:ptCount val="5"/>
                <c:pt idx="0">
                  <c:v>0.37090475677100199</c:v>
                </c:pt>
                <c:pt idx="1">
                  <c:v>0.17797084022245599</c:v>
                </c:pt>
                <c:pt idx="2">
                  <c:v>0.42722599562038399</c:v>
                </c:pt>
                <c:pt idx="3">
                  <c:v>0.480901077375125</c:v>
                </c:pt>
                <c:pt idx="4">
                  <c:v>0.53968066105743295</c:v>
                </c:pt>
              </c:numCache>
            </c:numRef>
          </c:val>
          <c:smooth val="0"/>
        </c:ser>
        <c:ser>
          <c:idx val="0"/>
          <c:order val="1"/>
          <c:tx>
            <c:strRef>
              <c:f>'Agrowill Group'!$A$9</c:f>
              <c:strCache>
                <c:ptCount val="1"/>
                <c:pt idx="0">
                  <c:v>Greitasis likvidumas</c:v>
                </c:pt>
              </c:strCache>
            </c:strRef>
          </c:tx>
          <c:dLbls>
            <c:dLbl>
              <c:idx val="0"/>
              <c:layout>
                <c:manualLayout>
                  <c:x val="-4.1666666666666699E-2"/>
                  <c:y val="-3.2407407407407898E-2"/>
                </c:manualLayout>
              </c:layout>
              <c:showLegendKey val="0"/>
              <c:showVal val="1"/>
              <c:showCatName val="0"/>
              <c:showSerName val="0"/>
              <c:showPercent val="0"/>
              <c:showBubbleSize val="0"/>
            </c:dLbl>
            <c:dLbl>
              <c:idx val="1"/>
              <c:layout>
                <c:manualLayout>
                  <c:x val="-3.3333333333333402E-2"/>
                  <c:y val="-6.01851851851853E-2"/>
                </c:manualLayout>
              </c:layout>
              <c:showLegendKey val="0"/>
              <c:showVal val="1"/>
              <c:showCatName val="0"/>
              <c:showSerName val="0"/>
              <c:showPercent val="0"/>
              <c:showBubbleSize val="0"/>
            </c:dLbl>
            <c:dLbl>
              <c:idx val="2"/>
              <c:layout>
                <c:manualLayout>
                  <c:x val="-4.4444444444444897E-2"/>
                  <c:y val="-4.6296296296296897E-2"/>
                </c:manualLayout>
              </c:layout>
              <c:showLegendKey val="0"/>
              <c:showVal val="1"/>
              <c:showCatName val="0"/>
              <c:showSerName val="0"/>
              <c:showPercent val="0"/>
              <c:showBubbleSize val="0"/>
            </c:dLbl>
            <c:dLbl>
              <c:idx val="3"/>
              <c:layout>
                <c:manualLayout>
                  <c:x val="-3.6111111111111399E-2"/>
                  <c:y val="-6.0185185185185099E-2"/>
                </c:manualLayout>
              </c:layout>
              <c:showLegendKey val="0"/>
              <c:showVal val="1"/>
              <c:showCatName val="0"/>
              <c:showSerName val="0"/>
              <c:showPercent val="0"/>
              <c:showBubbleSize val="0"/>
            </c:dLbl>
            <c:dLbl>
              <c:idx val="4"/>
              <c:layout>
                <c:manualLayout>
                  <c:x val="-4.1666666666666699E-2"/>
                  <c:y val="-6.01851851851850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'Agrowill Group'!$B$1:$F$1</c:f>
              <c:numCache>
                <c:formatCode>General</c:formatCode>
                <c:ptCount val="5"/>
                <c:pt idx="0">
                  <c:v>2008</c:v>
                </c:pt>
                <c:pt idx="1">
                  <c:v>2009</c:v>
                </c:pt>
                <c:pt idx="2">
                  <c:v>2010</c:v>
                </c:pt>
                <c:pt idx="3">
                  <c:v>2011</c:v>
                </c:pt>
                <c:pt idx="4">
                  <c:v>2012</c:v>
                </c:pt>
              </c:numCache>
            </c:numRef>
          </c:cat>
          <c:val>
            <c:numRef>
              <c:f>'Agrowill Group'!$B$9:$F$9</c:f>
              <c:numCache>
                <c:formatCode>0.00</c:formatCode>
                <c:ptCount val="5"/>
                <c:pt idx="0">
                  <c:v>0.25364454187180302</c:v>
                </c:pt>
                <c:pt idx="1">
                  <c:v>0.134351420411844</c:v>
                </c:pt>
                <c:pt idx="2">
                  <c:v>0.31970270571206399</c:v>
                </c:pt>
                <c:pt idx="3">
                  <c:v>0.30652917936810498</c:v>
                </c:pt>
                <c:pt idx="4">
                  <c:v>0.34770071657592899</c:v>
                </c:pt>
              </c:numCache>
            </c:numRef>
          </c:val>
          <c:smooth val="0"/>
        </c:ser>
        <c:ser>
          <c:idx val="2"/>
          <c:order val="2"/>
          <c:tx>
            <c:strRef>
              <c:f>'Agrowill Group'!$A$10</c:f>
              <c:strCache>
                <c:ptCount val="1"/>
                <c:pt idx="0">
                  <c:v>Kritinis likvidumas</c:v>
                </c:pt>
              </c:strCache>
            </c:strRef>
          </c:tx>
          <c:dLbls>
            <c:dLbl>
              <c:idx val="0"/>
              <c:layout>
                <c:manualLayout>
                  <c:x val="-4.4444444444444897E-2"/>
                  <c:y val="-5.55555555555554E-2"/>
                </c:manualLayout>
              </c:layout>
              <c:showLegendKey val="0"/>
              <c:showVal val="1"/>
              <c:showCatName val="0"/>
              <c:showSerName val="0"/>
              <c:showPercent val="0"/>
              <c:showBubbleSize val="0"/>
            </c:dLbl>
            <c:dLbl>
              <c:idx val="1"/>
              <c:layout>
                <c:manualLayout>
                  <c:x val="-3.6111111111111399E-2"/>
                  <c:y val="-1.38888888888891E-2"/>
                </c:manualLayout>
              </c:layout>
              <c:showLegendKey val="0"/>
              <c:showVal val="1"/>
              <c:showCatName val="0"/>
              <c:showSerName val="0"/>
              <c:showPercent val="0"/>
              <c:showBubbleSize val="0"/>
            </c:dLbl>
            <c:dLbl>
              <c:idx val="2"/>
              <c:layout>
                <c:manualLayout>
                  <c:x val="-4.4444444444444897E-2"/>
                  <c:y val="-5.5555555555555601E-2"/>
                </c:manualLayout>
              </c:layout>
              <c:showLegendKey val="0"/>
              <c:showVal val="1"/>
              <c:showCatName val="0"/>
              <c:showSerName val="0"/>
              <c:showPercent val="0"/>
              <c:showBubbleSize val="0"/>
            </c:dLbl>
            <c:dLbl>
              <c:idx val="3"/>
              <c:layout>
                <c:manualLayout>
                  <c:x val="-4.44444444444448E-2"/>
                  <c:y val="-4.1666666666666699E-2"/>
                </c:manualLayout>
              </c:layout>
              <c:showLegendKey val="0"/>
              <c:showVal val="1"/>
              <c:showCatName val="0"/>
              <c:showSerName val="0"/>
              <c:showPercent val="0"/>
              <c:showBubbleSize val="0"/>
            </c:dLbl>
            <c:dLbl>
              <c:idx val="4"/>
              <c:layout>
                <c:manualLayout>
                  <c:x val="-4.7222222222222499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'Agrowill Group'!$B$1:$F$1</c:f>
              <c:numCache>
                <c:formatCode>General</c:formatCode>
                <c:ptCount val="5"/>
                <c:pt idx="0">
                  <c:v>2008</c:v>
                </c:pt>
                <c:pt idx="1">
                  <c:v>2009</c:v>
                </c:pt>
                <c:pt idx="2">
                  <c:v>2010</c:v>
                </c:pt>
                <c:pt idx="3">
                  <c:v>2011</c:v>
                </c:pt>
                <c:pt idx="4">
                  <c:v>2012</c:v>
                </c:pt>
              </c:numCache>
            </c:numRef>
          </c:cat>
          <c:val>
            <c:numRef>
              <c:f>'Agrowill Group'!$B$10:$F$10</c:f>
              <c:numCache>
                <c:formatCode>0.00</c:formatCode>
                <c:ptCount val="5"/>
                <c:pt idx="0">
                  <c:v>1.8034043674608601E-2</c:v>
                </c:pt>
                <c:pt idx="1">
                  <c:v>2.23959116188189E-2</c:v>
                </c:pt>
                <c:pt idx="2">
                  <c:v>1.22666369743532E-2</c:v>
                </c:pt>
                <c:pt idx="3">
                  <c:v>3.0329375254487201E-2</c:v>
                </c:pt>
                <c:pt idx="4">
                  <c:v>3.3547804006799999E-2</c:v>
                </c:pt>
              </c:numCache>
            </c:numRef>
          </c:val>
          <c:smooth val="0"/>
        </c:ser>
        <c:ser>
          <c:idx val="3"/>
          <c:order val="3"/>
          <c:tx>
            <c:strRef>
              <c:f>'Agrowill Group'!$A$12</c:f>
              <c:strCache>
                <c:ptCount val="1"/>
                <c:pt idx="0">
                  <c:v>Tr. Į. apmokėjimo pinigais koeficientas</c:v>
                </c:pt>
              </c:strCache>
            </c:strRef>
          </c:tx>
          <c:dLbls>
            <c:dLbl>
              <c:idx val="0"/>
              <c:layout>
                <c:manualLayout>
                  <c:x val="-5.2777777777777798E-2"/>
                  <c:y val="-1.38888888888891E-2"/>
                </c:manualLayout>
              </c:layout>
              <c:showLegendKey val="0"/>
              <c:showVal val="1"/>
              <c:showCatName val="0"/>
              <c:showSerName val="0"/>
              <c:showPercent val="0"/>
              <c:showBubbleSize val="0"/>
            </c:dLbl>
            <c:dLbl>
              <c:idx val="1"/>
              <c:layout>
                <c:manualLayout>
                  <c:x val="-4.7222222222222499E-2"/>
                  <c:y val="0"/>
                </c:manualLayout>
              </c:layout>
              <c:showLegendKey val="0"/>
              <c:showVal val="1"/>
              <c:showCatName val="0"/>
              <c:showSerName val="0"/>
              <c:showPercent val="0"/>
              <c:showBubbleSize val="0"/>
            </c:dLbl>
            <c:dLbl>
              <c:idx val="2"/>
              <c:layout>
                <c:manualLayout>
                  <c:x val="-5.00000000000001E-2"/>
                  <c:y val="2.3148148148148098E-2"/>
                </c:manualLayout>
              </c:layout>
              <c:showLegendKey val="0"/>
              <c:showVal val="1"/>
              <c:showCatName val="0"/>
              <c:showSerName val="0"/>
              <c:showPercent val="0"/>
              <c:showBubbleSize val="0"/>
            </c:dLbl>
            <c:dLbl>
              <c:idx val="3"/>
              <c:layout>
                <c:manualLayout>
                  <c:x val="-4.1666666666666602E-2"/>
                  <c:y val="-2.77777777777784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'Agrowill Group'!$B$1:$F$1</c:f>
              <c:numCache>
                <c:formatCode>General</c:formatCode>
                <c:ptCount val="5"/>
                <c:pt idx="0">
                  <c:v>2008</c:v>
                </c:pt>
                <c:pt idx="1">
                  <c:v>2009</c:v>
                </c:pt>
                <c:pt idx="2">
                  <c:v>2010</c:v>
                </c:pt>
                <c:pt idx="3">
                  <c:v>2011</c:v>
                </c:pt>
                <c:pt idx="4">
                  <c:v>2012</c:v>
                </c:pt>
              </c:numCache>
            </c:numRef>
          </c:cat>
          <c:val>
            <c:numRef>
              <c:f>'Agrowill Group'!$B$12:$F$12</c:f>
              <c:numCache>
                <c:formatCode>0.00</c:formatCode>
                <c:ptCount val="5"/>
                <c:pt idx="0">
                  <c:v>-1.65366969729639E-2</c:v>
                </c:pt>
                <c:pt idx="1">
                  <c:v>9.9461896888621698E-2</c:v>
                </c:pt>
                <c:pt idx="2">
                  <c:v>1.23408677578593E-3</c:v>
                </c:pt>
                <c:pt idx="3">
                  <c:v>-3.3564802077716303E-2</c:v>
                </c:pt>
                <c:pt idx="4">
                  <c:v>0.26335779303221701</c:v>
                </c:pt>
              </c:numCache>
            </c:numRef>
          </c:val>
          <c:smooth val="0"/>
        </c:ser>
        <c:dLbls>
          <c:showLegendKey val="0"/>
          <c:showVal val="1"/>
          <c:showCatName val="0"/>
          <c:showSerName val="0"/>
          <c:showPercent val="0"/>
          <c:showBubbleSize val="0"/>
        </c:dLbls>
        <c:marker val="1"/>
        <c:smooth val="0"/>
        <c:axId val="150829696"/>
        <c:axId val="150847872"/>
      </c:lineChart>
      <c:catAx>
        <c:axId val="150829696"/>
        <c:scaling>
          <c:orientation val="minMax"/>
        </c:scaling>
        <c:delete val="0"/>
        <c:axPos val="b"/>
        <c:numFmt formatCode="General" sourceLinked="1"/>
        <c:majorTickMark val="none"/>
        <c:minorTickMark val="none"/>
        <c:tickLblPos val="nextTo"/>
        <c:crossAx val="150847872"/>
        <c:crosses val="autoZero"/>
        <c:auto val="1"/>
        <c:lblAlgn val="ctr"/>
        <c:lblOffset val="100"/>
        <c:noMultiLvlLbl val="0"/>
      </c:catAx>
      <c:valAx>
        <c:axId val="150847872"/>
        <c:scaling>
          <c:orientation val="minMax"/>
        </c:scaling>
        <c:delete val="0"/>
        <c:axPos val="l"/>
        <c:majorGridlines/>
        <c:numFmt formatCode="0.00" sourceLinked="1"/>
        <c:majorTickMark val="none"/>
        <c:minorTickMark val="none"/>
        <c:tickLblPos val="nextTo"/>
        <c:crossAx val="150829696"/>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'Klaipėdos baldai'!$A$8</c:f>
              <c:strCache>
                <c:ptCount val="1"/>
                <c:pt idx="0">
                  <c:v>Bendrasis likvidumas</c:v>
                </c:pt>
              </c:strCache>
            </c:strRef>
          </c:tx>
          <c:dLbls>
            <c:dLbl>
              <c:idx val="0"/>
              <c:layout>
                <c:manualLayout>
                  <c:x val="-0.05"/>
                  <c:y val="-5.55555555555554E-2"/>
                </c:manualLayout>
              </c:layout>
              <c:showLegendKey val="0"/>
              <c:showVal val="1"/>
              <c:showCatName val="0"/>
              <c:showSerName val="0"/>
              <c:showPercent val="0"/>
              <c:showBubbleSize val="0"/>
            </c:dLbl>
            <c:dLbl>
              <c:idx val="1"/>
              <c:layout>
                <c:manualLayout>
                  <c:x val="-6.3888888888888898E-2"/>
                  <c:y val="-4.1666666666666699E-2"/>
                </c:manualLayout>
              </c:layout>
              <c:showLegendKey val="0"/>
              <c:showVal val="1"/>
              <c:showCatName val="0"/>
              <c:showSerName val="0"/>
              <c:showPercent val="0"/>
              <c:showBubbleSize val="0"/>
            </c:dLbl>
            <c:dLbl>
              <c:idx val="2"/>
              <c:layout>
                <c:manualLayout>
                  <c:x val="-1.38888888888891E-2"/>
                  <c:y val="-2.7777777777778401E-2"/>
                </c:manualLayout>
              </c:layout>
              <c:showLegendKey val="0"/>
              <c:showVal val="1"/>
              <c:showCatName val="0"/>
              <c:showSerName val="0"/>
              <c:showPercent val="0"/>
              <c:showBubbleSize val="0"/>
            </c:dLbl>
            <c:dLbl>
              <c:idx val="3"/>
              <c:layout>
                <c:manualLayout>
                  <c:x val="-2.5000000000000001E-2"/>
                  <c:y val="-6.0185185185185099E-2"/>
                </c:manualLayout>
              </c:layout>
              <c:showLegendKey val="0"/>
              <c:showVal val="1"/>
              <c:showCatName val="0"/>
              <c:showSerName val="0"/>
              <c:showPercent val="0"/>
              <c:showBubbleSize val="0"/>
            </c:dLbl>
            <c:dLbl>
              <c:idx val="4"/>
              <c:layout>
                <c:manualLayout>
                  <c:x val="-3.05555555555556E-2"/>
                  <c:y val="-6.01851851851850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'Klaipėdos baldai'!$B$1:$F$1</c:f>
              <c:numCache>
                <c:formatCode>General</c:formatCode>
                <c:ptCount val="5"/>
                <c:pt idx="0">
                  <c:v>2008</c:v>
                </c:pt>
                <c:pt idx="1">
                  <c:v>2009</c:v>
                </c:pt>
                <c:pt idx="2">
                  <c:v>2010</c:v>
                </c:pt>
                <c:pt idx="3">
                  <c:v>2011</c:v>
                </c:pt>
                <c:pt idx="4">
                  <c:v>2012</c:v>
                </c:pt>
              </c:numCache>
            </c:numRef>
          </c:cat>
          <c:val>
            <c:numRef>
              <c:f>'Klaipėdos baldai'!$B$8:$F$8</c:f>
              <c:numCache>
                <c:formatCode>0.00</c:formatCode>
                <c:ptCount val="5"/>
                <c:pt idx="0">
                  <c:v>2.0058697089947088</c:v>
                </c:pt>
                <c:pt idx="1">
                  <c:v>2.3788084429260068</c:v>
                </c:pt>
                <c:pt idx="2">
                  <c:v>8.5020729092208729</c:v>
                </c:pt>
                <c:pt idx="3">
                  <c:v>5.5970985217151776</c:v>
                </c:pt>
                <c:pt idx="4">
                  <c:v>3.3050979576989041</c:v>
                </c:pt>
              </c:numCache>
            </c:numRef>
          </c:val>
          <c:smooth val="0"/>
        </c:ser>
        <c:ser>
          <c:idx val="1"/>
          <c:order val="1"/>
          <c:tx>
            <c:strRef>
              <c:f>'Klaipėdos baldai'!$A$9</c:f>
              <c:strCache>
                <c:ptCount val="1"/>
                <c:pt idx="0">
                  <c:v>Greitasis likvidumas</c:v>
                </c:pt>
              </c:strCache>
            </c:strRef>
          </c:tx>
          <c:dLbls>
            <c:dLbl>
              <c:idx val="0"/>
              <c:layout>
                <c:manualLayout>
                  <c:x val="-6.1111111111111102E-2"/>
                  <c:y val="-2.7777777777778401E-2"/>
                </c:manualLayout>
              </c:layout>
              <c:showLegendKey val="0"/>
              <c:showVal val="1"/>
              <c:showCatName val="0"/>
              <c:showSerName val="0"/>
              <c:showPercent val="0"/>
              <c:showBubbleSize val="0"/>
            </c:dLbl>
            <c:dLbl>
              <c:idx val="1"/>
              <c:layout>
                <c:manualLayout>
                  <c:x val="-1.6666666666666701E-2"/>
                  <c:y val="-5.55555555555554E-2"/>
                </c:manualLayout>
              </c:layout>
              <c:showLegendKey val="0"/>
              <c:showVal val="1"/>
              <c:showCatName val="0"/>
              <c:showSerName val="0"/>
              <c:showPercent val="0"/>
              <c:showBubbleSize val="0"/>
            </c:dLbl>
            <c:dLbl>
              <c:idx val="2"/>
              <c:layout>
                <c:manualLayout>
                  <c:x val="-3.3333333333333298E-2"/>
                  <c:y val="-4.1666666666666602E-2"/>
                </c:manualLayout>
              </c:layout>
              <c:showLegendKey val="0"/>
              <c:showVal val="1"/>
              <c:showCatName val="0"/>
              <c:showSerName val="0"/>
              <c:showPercent val="0"/>
              <c:showBubbleSize val="0"/>
            </c:dLbl>
            <c:dLbl>
              <c:idx val="3"/>
              <c:layout>
                <c:manualLayout>
                  <c:x val="-4.1666666666666699E-2"/>
                  <c:y val="-4.1666666666666699E-2"/>
                </c:manualLayout>
              </c:layout>
              <c:showLegendKey val="0"/>
              <c:showVal val="1"/>
              <c:showCatName val="0"/>
              <c:showSerName val="0"/>
              <c:showPercent val="0"/>
              <c:showBubbleSize val="0"/>
            </c:dLbl>
            <c:dLbl>
              <c:idx val="4"/>
              <c:layout>
                <c:manualLayout>
                  <c:x val="-4.1666666666666699E-2"/>
                  <c:y val="-4.16666666666666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'Klaipėdos baldai'!$B$1:$F$1</c:f>
              <c:numCache>
                <c:formatCode>General</c:formatCode>
                <c:ptCount val="5"/>
                <c:pt idx="0">
                  <c:v>2008</c:v>
                </c:pt>
                <c:pt idx="1">
                  <c:v>2009</c:v>
                </c:pt>
                <c:pt idx="2">
                  <c:v>2010</c:v>
                </c:pt>
                <c:pt idx="3">
                  <c:v>2011</c:v>
                </c:pt>
                <c:pt idx="4">
                  <c:v>2012</c:v>
                </c:pt>
              </c:numCache>
            </c:numRef>
          </c:cat>
          <c:val>
            <c:numRef>
              <c:f>'Klaipėdos baldai'!$B$9:$F$9</c:f>
              <c:numCache>
                <c:formatCode>0.00</c:formatCode>
                <c:ptCount val="5"/>
                <c:pt idx="0">
                  <c:v>1.313946759259252</c:v>
                </c:pt>
                <c:pt idx="1">
                  <c:v>1.7151682501052881</c:v>
                </c:pt>
                <c:pt idx="2">
                  <c:v>6.2007147962830604</c:v>
                </c:pt>
                <c:pt idx="3">
                  <c:v>4.3614911394729576</c:v>
                </c:pt>
                <c:pt idx="4">
                  <c:v>2.2257963934937379</c:v>
                </c:pt>
              </c:numCache>
            </c:numRef>
          </c:val>
          <c:smooth val="0"/>
        </c:ser>
        <c:ser>
          <c:idx val="2"/>
          <c:order val="2"/>
          <c:tx>
            <c:strRef>
              <c:f>'Klaipėdos baldai'!$A$10</c:f>
              <c:strCache>
                <c:ptCount val="1"/>
                <c:pt idx="0">
                  <c:v>Kritinis likvidumas</c:v>
                </c:pt>
              </c:strCache>
            </c:strRef>
          </c:tx>
          <c:cat>
            <c:numRef>
              <c:f>'Klaipėdos baldai'!$B$1:$F$1</c:f>
              <c:numCache>
                <c:formatCode>General</c:formatCode>
                <c:ptCount val="5"/>
                <c:pt idx="0">
                  <c:v>2008</c:v>
                </c:pt>
                <c:pt idx="1">
                  <c:v>2009</c:v>
                </c:pt>
                <c:pt idx="2">
                  <c:v>2010</c:v>
                </c:pt>
                <c:pt idx="3">
                  <c:v>2011</c:v>
                </c:pt>
                <c:pt idx="4">
                  <c:v>2012</c:v>
                </c:pt>
              </c:numCache>
            </c:numRef>
          </c:cat>
          <c:val>
            <c:numRef>
              <c:f>'Klaipėdos baldai'!$B$10:$F$10</c:f>
              <c:numCache>
                <c:formatCode>0.00</c:formatCode>
                <c:ptCount val="5"/>
                <c:pt idx="0">
                  <c:v>1.24007936507936E-3</c:v>
                </c:pt>
                <c:pt idx="1">
                  <c:v>3.8844947816727301E-3</c:v>
                </c:pt>
                <c:pt idx="2">
                  <c:v>1.1007862759113699E-2</c:v>
                </c:pt>
                <c:pt idx="3">
                  <c:v>9.3655311725279796E-3</c:v>
                </c:pt>
                <c:pt idx="4">
                  <c:v>3.2739177882867101E-3</c:v>
                </c:pt>
              </c:numCache>
            </c:numRef>
          </c:val>
          <c:smooth val="0"/>
        </c:ser>
        <c:ser>
          <c:idx val="3"/>
          <c:order val="3"/>
          <c:tx>
            <c:strRef>
              <c:f>'Klaipėdos baldai'!$A$12</c:f>
              <c:strCache>
                <c:ptCount val="1"/>
                <c:pt idx="0">
                  <c:v>Tr. Į. apmokėjimo pinigais koeficientas</c:v>
                </c:pt>
              </c:strCache>
            </c:strRef>
          </c:tx>
          <c:dLbls>
            <c:dLbl>
              <c:idx val="0"/>
              <c:layout>
                <c:manualLayout>
                  <c:x val="-2.7777777777778401E-2"/>
                  <c:y val="-2.7777777777778401E-2"/>
                </c:manualLayout>
              </c:layout>
              <c:showLegendKey val="0"/>
              <c:showVal val="1"/>
              <c:showCatName val="0"/>
              <c:showSerName val="0"/>
              <c:showPercent val="0"/>
              <c:showBubbleSize val="0"/>
            </c:dLbl>
            <c:dLbl>
              <c:idx val="1"/>
              <c:layout>
                <c:manualLayout>
                  <c:x val="-3.3333333333333298E-2"/>
                  <c:y val="-4.1666666666666699E-2"/>
                </c:manualLayout>
              </c:layout>
              <c:showLegendKey val="0"/>
              <c:showVal val="1"/>
              <c:showCatName val="0"/>
              <c:showSerName val="0"/>
              <c:showPercent val="0"/>
              <c:showBubbleSize val="0"/>
            </c:dLbl>
            <c:dLbl>
              <c:idx val="2"/>
              <c:layout>
                <c:manualLayout>
                  <c:x val="-3.3333333333333298E-2"/>
                  <c:y val="-4.1666666666666699E-2"/>
                </c:manualLayout>
              </c:layout>
              <c:showLegendKey val="0"/>
              <c:showVal val="1"/>
              <c:showCatName val="0"/>
              <c:showSerName val="0"/>
              <c:showPercent val="0"/>
              <c:showBubbleSize val="0"/>
            </c:dLbl>
            <c:dLbl>
              <c:idx val="3"/>
              <c:layout>
                <c:manualLayout>
                  <c:x val="-4.4444444444444502E-2"/>
                  <c:y val="-3.7037037037037097E-2"/>
                </c:manualLayout>
              </c:layout>
              <c:showLegendKey val="0"/>
              <c:showVal val="1"/>
              <c:showCatName val="0"/>
              <c:showSerName val="0"/>
              <c:showPercent val="0"/>
              <c:showBubbleSize val="0"/>
            </c:dLbl>
            <c:dLbl>
              <c:idx val="4"/>
              <c:layout>
                <c:manualLayout>
                  <c:x val="-4.1666666666666699E-2"/>
                  <c:y val="-5.5555555555555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'Klaipėdos baldai'!$B$1:$F$1</c:f>
              <c:numCache>
                <c:formatCode>General</c:formatCode>
                <c:ptCount val="5"/>
                <c:pt idx="0">
                  <c:v>2008</c:v>
                </c:pt>
                <c:pt idx="1">
                  <c:v>2009</c:v>
                </c:pt>
                <c:pt idx="2">
                  <c:v>2010</c:v>
                </c:pt>
                <c:pt idx="3">
                  <c:v>2011</c:v>
                </c:pt>
                <c:pt idx="4">
                  <c:v>2012</c:v>
                </c:pt>
              </c:numCache>
            </c:numRef>
          </c:cat>
          <c:val>
            <c:numRef>
              <c:f>'Klaipėdos baldai'!$B$12:$F$12</c:f>
              <c:numCache>
                <c:formatCode>0.00</c:formatCode>
                <c:ptCount val="5"/>
                <c:pt idx="0">
                  <c:v>0.21420304232804199</c:v>
                </c:pt>
                <c:pt idx="1">
                  <c:v>0.268685355922687</c:v>
                </c:pt>
                <c:pt idx="2">
                  <c:v>0.55439599714082</c:v>
                </c:pt>
                <c:pt idx="3">
                  <c:v>0.64539528050684702</c:v>
                </c:pt>
                <c:pt idx="4">
                  <c:v>0.25661279426285299</c:v>
                </c:pt>
              </c:numCache>
            </c:numRef>
          </c:val>
          <c:smooth val="0"/>
        </c:ser>
        <c:dLbls>
          <c:showLegendKey val="0"/>
          <c:showVal val="1"/>
          <c:showCatName val="0"/>
          <c:showSerName val="0"/>
          <c:showPercent val="0"/>
          <c:showBubbleSize val="0"/>
        </c:dLbls>
        <c:marker val="1"/>
        <c:smooth val="0"/>
        <c:axId val="184246656"/>
        <c:axId val="184249344"/>
      </c:lineChart>
      <c:catAx>
        <c:axId val="184246656"/>
        <c:scaling>
          <c:orientation val="minMax"/>
        </c:scaling>
        <c:delete val="0"/>
        <c:axPos val="b"/>
        <c:numFmt formatCode="General" sourceLinked="1"/>
        <c:majorTickMark val="none"/>
        <c:minorTickMark val="none"/>
        <c:tickLblPos val="nextTo"/>
        <c:crossAx val="184249344"/>
        <c:crosses val="autoZero"/>
        <c:auto val="1"/>
        <c:lblAlgn val="ctr"/>
        <c:lblOffset val="100"/>
        <c:noMultiLvlLbl val="0"/>
      </c:catAx>
      <c:valAx>
        <c:axId val="184249344"/>
        <c:scaling>
          <c:orientation val="minMax"/>
        </c:scaling>
        <c:delete val="0"/>
        <c:axPos val="l"/>
        <c:majorGridlines/>
        <c:numFmt formatCode="0.00" sourceLinked="1"/>
        <c:majorTickMark val="none"/>
        <c:minorTickMark val="none"/>
        <c:tickLblPos val="nextTo"/>
        <c:crossAx val="184246656"/>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'Lietuvos dujos'!$A$8</c:f>
              <c:strCache>
                <c:ptCount val="1"/>
                <c:pt idx="0">
                  <c:v>Bendrasis likvidumas</c:v>
                </c:pt>
              </c:strCache>
            </c:strRef>
          </c:tx>
          <c:dLbls>
            <c:dLbl>
              <c:idx val="0"/>
              <c:layout>
                <c:manualLayout>
                  <c:x val="-4.4444444444444502E-2"/>
                  <c:y val="-4.4260027662517298E-2"/>
                </c:manualLayout>
              </c:layout>
              <c:showLegendKey val="0"/>
              <c:showVal val="1"/>
              <c:showCatName val="0"/>
              <c:showSerName val="0"/>
              <c:showPercent val="0"/>
              <c:showBubbleSize val="0"/>
            </c:dLbl>
            <c:dLbl>
              <c:idx val="1"/>
              <c:layout>
                <c:manualLayout>
                  <c:x val="-4.4444444444444398E-2"/>
                  <c:y val="-4.97925311203333E-2"/>
                </c:manualLayout>
              </c:layout>
              <c:showLegendKey val="0"/>
              <c:showVal val="1"/>
              <c:showCatName val="0"/>
              <c:showSerName val="0"/>
              <c:showPercent val="0"/>
              <c:showBubbleSize val="0"/>
            </c:dLbl>
            <c:dLbl>
              <c:idx val="2"/>
              <c:layout>
                <c:manualLayout>
                  <c:x val="-4.7222222222222297E-2"/>
                  <c:y val="-3.8727524204702601E-2"/>
                </c:manualLayout>
              </c:layout>
              <c:showLegendKey val="0"/>
              <c:showVal val="1"/>
              <c:showCatName val="0"/>
              <c:showSerName val="0"/>
              <c:showPercent val="0"/>
              <c:showBubbleSize val="0"/>
            </c:dLbl>
            <c:dLbl>
              <c:idx val="3"/>
              <c:layout>
                <c:manualLayout>
                  <c:x val="-5.2777777777777798E-2"/>
                  <c:y val="-4.97925311203333E-2"/>
                </c:manualLayout>
              </c:layout>
              <c:showLegendKey val="0"/>
              <c:showVal val="1"/>
              <c:showCatName val="0"/>
              <c:showSerName val="0"/>
              <c:showPercent val="0"/>
              <c:showBubbleSize val="0"/>
            </c:dLbl>
            <c:dLbl>
              <c:idx val="4"/>
              <c:layout>
                <c:manualLayout>
                  <c:x val="-4.4444444444444502E-2"/>
                  <c:y val="-4.42600276625172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dujos'!$B$1:$F$1</c:f>
              <c:numCache>
                <c:formatCode>General</c:formatCode>
                <c:ptCount val="5"/>
                <c:pt idx="0">
                  <c:v>2008</c:v>
                </c:pt>
                <c:pt idx="1">
                  <c:v>2009</c:v>
                </c:pt>
                <c:pt idx="2">
                  <c:v>2010</c:v>
                </c:pt>
                <c:pt idx="3">
                  <c:v>2011</c:v>
                </c:pt>
                <c:pt idx="4">
                  <c:v>2012</c:v>
                </c:pt>
              </c:numCache>
            </c:numRef>
          </c:cat>
          <c:val>
            <c:numRef>
              <c:f>'Lietuvos dujos'!$B$8:$F$8</c:f>
              <c:numCache>
                <c:formatCode>0.00</c:formatCode>
                <c:ptCount val="5"/>
                <c:pt idx="0">
                  <c:v>1.1906025958106199</c:v>
                </c:pt>
                <c:pt idx="1">
                  <c:v>1.2807183506016959</c:v>
                </c:pt>
                <c:pt idx="2">
                  <c:v>1.237386577828431</c:v>
                </c:pt>
                <c:pt idx="3">
                  <c:v>1.330931449410687</c:v>
                </c:pt>
                <c:pt idx="4">
                  <c:v>1.860574545118806</c:v>
                </c:pt>
              </c:numCache>
            </c:numRef>
          </c:val>
          <c:smooth val="0"/>
        </c:ser>
        <c:ser>
          <c:idx val="1"/>
          <c:order val="1"/>
          <c:tx>
            <c:strRef>
              <c:f>'Lietuvos dujos'!$A$9</c:f>
              <c:strCache>
                <c:ptCount val="1"/>
                <c:pt idx="0">
                  <c:v>Greitasis likvidumas</c:v>
                </c:pt>
              </c:strCache>
            </c:strRef>
          </c:tx>
          <c:dLbls>
            <c:dLbl>
              <c:idx val="0"/>
              <c:layout>
                <c:manualLayout>
                  <c:x val="-6.9444444444444503E-2"/>
                  <c:y val="1.10650069156293E-2"/>
                </c:manualLayout>
              </c:layout>
              <c:showLegendKey val="0"/>
              <c:showVal val="1"/>
              <c:showCatName val="0"/>
              <c:showSerName val="0"/>
              <c:showPercent val="0"/>
              <c:showBubbleSize val="0"/>
            </c:dLbl>
            <c:dLbl>
              <c:idx val="1"/>
              <c:layout>
                <c:manualLayout>
                  <c:x val="-3.3333333333333298E-2"/>
                  <c:y val="-2.7662517289073801E-2"/>
                </c:manualLayout>
              </c:layout>
              <c:showLegendKey val="0"/>
              <c:showVal val="1"/>
              <c:showCatName val="0"/>
              <c:showSerName val="0"/>
              <c:showPercent val="0"/>
              <c:showBubbleSize val="0"/>
            </c:dLbl>
            <c:dLbl>
              <c:idx val="2"/>
              <c:layout>
                <c:manualLayout>
                  <c:x val="-1.94444444444444E-2"/>
                  <c:y val="-1.65975103734439E-2"/>
                </c:manualLayout>
              </c:layout>
              <c:showLegendKey val="0"/>
              <c:showVal val="1"/>
              <c:showCatName val="0"/>
              <c:showSerName val="0"/>
              <c:showPercent val="0"/>
              <c:showBubbleSize val="0"/>
            </c:dLbl>
            <c:dLbl>
              <c:idx val="3"/>
              <c:layout>
                <c:manualLayout>
                  <c:x val="-8.3333333333333402E-3"/>
                  <c:y val="-2.7662517289073801E-2"/>
                </c:manualLayout>
              </c:layout>
              <c:showLegendKey val="0"/>
              <c:showVal val="1"/>
              <c:showCatName val="0"/>
              <c:showSerName val="0"/>
              <c:showPercent val="0"/>
              <c:showBubbleSize val="0"/>
            </c:dLbl>
            <c:dLbl>
              <c:idx val="4"/>
              <c:layout>
                <c:manualLayout>
                  <c:x val="-3.611111111111119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dujos'!$B$1:$F$1</c:f>
              <c:numCache>
                <c:formatCode>General</c:formatCode>
                <c:ptCount val="5"/>
                <c:pt idx="0">
                  <c:v>2008</c:v>
                </c:pt>
                <c:pt idx="1">
                  <c:v>2009</c:v>
                </c:pt>
                <c:pt idx="2">
                  <c:v>2010</c:v>
                </c:pt>
                <c:pt idx="3">
                  <c:v>2011</c:v>
                </c:pt>
                <c:pt idx="4">
                  <c:v>2012</c:v>
                </c:pt>
              </c:numCache>
            </c:numRef>
          </c:cat>
          <c:val>
            <c:numRef>
              <c:f>'Lietuvos dujos'!$B$9:$F$9</c:f>
              <c:numCache>
                <c:formatCode>0.00</c:formatCode>
                <c:ptCount val="5"/>
                <c:pt idx="0">
                  <c:v>0.93957208402933301</c:v>
                </c:pt>
                <c:pt idx="1">
                  <c:v>1.059701566848736</c:v>
                </c:pt>
                <c:pt idx="2">
                  <c:v>1.0646268940224051</c:v>
                </c:pt>
                <c:pt idx="3">
                  <c:v>1.0543189866281519</c:v>
                </c:pt>
                <c:pt idx="4">
                  <c:v>1.5964236017225799</c:v>
                </c:pt>
              </c:numCache>
            </c:numRef>
          </c:val>
          <c:smooth val="0"/>
        </c:ser>
        <c:ser>
          <c:idx val="2"/>
          <c:order val="2"/>
          <c:tx>
            <c:strRef>
              <c:f>'Lietuvos dujos'!$A$10</c:f>
              <c:strCache>
                <c:ptCount val="1"/>
                <c:pt idx="0">
                  <c:v>Kritinis likvidumas</c:v>
                </c:pt>
              </c:strCache>
            </c:strRef>
          </c:tx>
          <c:dLbls>
            <c:dLbl>
              <c:idx val="0"/>
              <c:layout>
                <c:manualLayout>
                  <c:x val="-1.94444444444444E-2"/>
                  <c:y val="4.97925311203333E-2"/>
                </c:manualLayout>
              </c:layout>
              <c:showLegendKey val="0"/>
              <c:showVal val="1"/>
              <c:showCatName val="0"/>
              <c:showSerName val="0"/>
              <c:showPercent val="0"/>
              <c:showBubbleSize val="0"/>
            </c:dLbl>
            <c:dLbl>
              <c:idx val="1"/>
              <c:layout>
                <c:manualLayout>
                  <c:x val="-1.94444444444444E-2"/>
                  <c:y val="5.5325034578146998E-2"/>
                </c:manualLayout>
              </c:layout>
              <c:showLegendKey val="0"/>
              <c:showVal val="1"/>
              <c:showCatName val="0"/>
              <c:showSerName val="0"/>
              <c:showPercent val="0"/>
              <c:showBubbleSize val="0"/>
            </c:dLbl>
            <c:dLbl>
              <c:idx val="2"/>
              <c:layout>
                <c:manualLayout>
                  <c:x val="-3.8888888888888903E-2"/>
                  <c:y val="4.4260027662517298E-2"/>
                </c:manualLayout>
              </c:layout>
              <c:showLegendKey val="0"/>
              <c:showVal val="1"/>
              <c:showCatName val="0"/>
              <c:showSerName val="0"/>
              <c:showPercent val="0"/>
              <c:showBubbleSize val="0"/>
            </c:dLbl>
            <c:dLbl>
              <c:idx val="3"/>
              <c:layout>
                <c:manualLayout>
                  <c:x val="-1.94444444444444E-2"/>
                  <c:y val="3.8727524204702601E-2"/>
                </c:manualLayout>
              </c:layout>
              <c:showLegendKey val="0"/>
              <c:showVal val="1"/>
              <c:showCatName val="0"/>
              <c:showSerName val="0"/>
              <c:showPercent val="0"/>
              <c:showBubbleSize val="0"/>
            </c:dLbl>
            <c:dLbl>
              <c:idx val="4"/>
              <c:layout>
                <c:manualLayout>
                  <c:x val="-2.5000000000000001E-2"/>
                  <c:y val="3.31950207468880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dujos'!$B$1:$F$1</c:f>
              <c:numCache>
                <c:formatCode>General</c:formatCode>
                <c:ptCount val="5"/>
                <c:pt idx="0">
                  <c:v>2008</c:v>
                </c:pt>
                <c:pt idx="1">
                  <c:v>2009</c:v>
                </c:pt>
                <c:pt idx="2">
                  <c:v>2010</c:v>
                </c:pt>
                <c:pt idx="3">
                  <c:v>2011</c:v>
                </c:pt>
                <c:pt idx="4">
                  <c:v>2012</c:v>
                </c:pt>
              </c:numCache>
            </c:numRef>
          </c:cat>
          <c:val>
            <c:numRef>
              <c:f>'Lietuvos dujos'!$B$10:$F$10</c:f>
              <c:numCache>
                <c:formatCode>0.00</c:formatCode>
                <c:ptCount val="5"/>
                <c:pt idx="0">
                  <c:v>0.36254591442543799</c:v>
                </c:pt>
                <c:pt idx="1">
                  <c:v>0.31942404492928</c:v>
                </c:pt>
                <c:pt idx="2">
                  <c:v>0.41782828504215902</c:v>
                </c:pt>
                <c:pt idx="3">
                  <c:v>0.33674177692430002</c:v>
                </c:pt>
                <c:pt idx="4">
                  <c:v>0.37068777904546402</c:v>
                </c:pt>
              </c:numCache>
            </c:numRef>
          </c:val>
          <c:smooth val="0"/>
        </c:ser>
        <c:ser>
          <c:idx val="3"/>
          <c:order val="3"/>
          <c:tx>
            <c:strRef>
              <c:f>'Lietuvos dujos'!$A$12</c:f>
              <c:strCache>
                <c:ptCount val="1"/>
                <c:pt idx="0">
                  <c:v>Tr. Į. apmokėjimo pinigais koeficientas</c:v>
                </c:pt>
              </c:strCache>
            </c:strRef>
          </c:tx>
          <c:dLbls>
            <c:dLbl>
              <c:idx val="0"/>
              <c:layout>
                <c:manualLayout>
                  <c:x val="-5.8333333333334098E-2"/>
                  <c:y val="-3.3195020746888002E-2"/>
                </c:manualLayout>
              </c:layout>
              <c:showLegendKey val="0"/>
              <c:showVal val="1"/>
              <c:showCatName val="0"/>
              <c:showSerName val="0"/>
              <c:showPercent val="0"/>
              <c:showBubbleSize val="0"/>
            </c:dLbl>
            <c:dLbl>
              <c:idx val="1"/>
              <c:layout>
                <c:manualLayout>
                  <c:x val="-4.1666666666666699E-2"/>
                  <c:y val="3.8727524204702601E-2"/>
                </c:manualLayout>
              </c:layout>
              <c:showLegendKey val="0"/>
              <c:showVal val="1"/>
              <c:showCatName val="0"/>
              <c:showSerName val="0"/>
              <c:showPercent val="0"/>
              <c:showBubbleSize val="0"/>
            </c:dLbl>
            <c:dLbl>
              <c:idx val="2"/>
              <c:layout>
                <c:manualLayout>
                  <c:x val="-4.1666666666666699E-2"/>
                  <c:y val="6.6390041493775906E-2"/>
                </c:manualLayout>
              </c:layout>
              <c:showLegendKey val="0"/>
              <c:showVal val="1"/>
              <c:showCatName val="0"/>
              <c:showSerName val="0"/>
              <c:showPercent val="0"/>
              <c:showBubbleSize val="0"/>
            </c:dLbl>
            <c:dLbl>
              <c:idx val="3"/>
              <c:layout>
                <c:manualLayout>
                  <c:x val="-4.7222222222222297E-2"/>
                  <c:y val="3.8727524204702601E-2"/>
                </c:manualLayout>
              </c:layout>
              <c:showLegendKey val="0"/>
              <c:showVal val="1"/>
              <c:showCatName val="0"/>
              <c:showSerName val="0"/>
              <c:showPercent val="0"/>
              <c:showBubbleSize val="0"/>
            </c:dLbl>
            <c:dLbl>
              <c:idx val="4"/>
              <c:layout>
                <c:manualLayout>
                  <c:x val="-4.1666666666666699E-2"/>
                  <c:y val="5.532503457814720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dujos'!$B$1:$F$1</c:f>
              <c:numCache>
                <c:formatCode>General</c:formatCode>
                <c:ptCount val="5"/>
                <c:pt idx="0">
                  <c:v>2008</c:v>
                </c:pt>
                <c:pt idx="1">
                  <c:v>2009</c:v>
                </c:pt>
                <c:pt idx="2">
                  <c:v>2010</c:v>
                </c:pt>
                <c:pt idx="3">
                  <c:v>2011</c:v>
                </c:pt>
                <c:pt idx="4">
                  <c:v>2012</c:v>
                </c:pt>
              </c:numCache>
            </c:numRef>
          </c:cat>
          <c:val>
            <c:numRef>
              <c:f>'Lietuvos dujos'!$B$12:$F$12</c:f>
              <c:numCache>
                <c:formatCode>0.00</c:formatCode>
                <c:ptCount val="5"/>
                <c:pt idx="0">
                  <c:v>0.98203132755815103</c:v>
                </c:pt>
                <c:pt idx="1">
                  <c:v>0.86725350885491104</c:v>
                </c:pt>
                <c:pt idx="2">
                  <c:v>0.971069127252005</c:v>
                </c:pt>
                <c:pt idx="3">
                  <c:v>0.75237927450186504</c:v>
                </c:pt>
                <c:pt idx="4">
                  <c:v>0.51353926915644499</c:v>
                </c:pt>
              </c:numCache>
            </c:numRef>
          </c:val>
          <c:smooth val="0"/>
        </c:ser>
        <c:dLbls>
          <c:showLegendKey val="0"/>
          <c:showVal val="1"/>
          <c:showCatName val="0"/>
          <c:showSerName val="0"/>
          <c:showPercent val="0"/>
          <c:showBubbleSize val="0"/>
        </c:dLbls>
        <c:marker val="1"/>
        <c:smooth val="0"/>
        <c:axId val="185047680"/>
        <c:axId val="205533568"/>
      </c:lineChart>
      <c:catAx>
        <c:axId val="185047680"/>
        <c:scaling>
          <c:orientation val="minMax"/>
        </c:scaling>
        <c:delete val="0"/>
        <c:axPos val="b"/>
        <c:numFmt formatCode="General" sourceLinked="1"/>
        <c:majorTickMark val="none"/>
        <c:minorTickMark val="none"/>
        <c:tickLblPos val="nextTo"/>
        <c:crossAx val="205533568"/>
        <c:crosses val="autoZero"/>
        <c:auto val="1"/>
        <c:lblAlgn val="ctr"/>
        <c:lblOffset val="100"/>
        <c:noMultiLvlLbl val="0"/>
      </c:catAx>
      <c:valAx>
        <c:axId val="205533568"/>
        <c:scaling>
          <c:orientation val="minMax"/>
        </c:scaling>
        <c:delete val="0"/>
        <c:axPos val="l"/>
        <c:majorGridlines/>
        <c:numFmt formatCode="0.00" sourceLinked="1"/>
        <c:majorTickMark val="none"/>
        <c:minorTickMark val="none"/>
        <c:tickLblPos val="nextTo"/>
        <c:crossAx val="185047680"/>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'Lietuvos jūrų laivininkystė'!$A$8</c:f>
              <c:strCache>
                <c:ptCount val="1"/>
                <c:pt idx="0">
                  <c:v>Bendrasis likvidumas</c:v>
                </c:pt>
              </c:strCache>
            </c:strRef>
          </c:tx>
          <c:dLbls>
            <c:dLbl>
              <c:idx val="0"/>
              <c:layout>
                <c:manualLayout>
                  <c:x val="-2.7777777777778299E-3"/>
                  <c:y val="-1.8518518518518601E-2"/>
                </c:manualLayout>
              </c:layout>
              <c:showLegendKey val="0"/>
              <c:showVal val="1"/>
              <c:showCatName val="0"/>
              <c:showSerName val="0"/>
              <c:showPercent val="0"/>
              <c:showBubbleSize val="0"/>
            </c:dLbl>
            <c:dLbl>
              <c:idx val="1"/>
              <c:layout>
                <c:manualLayout>
                  <c:x val="-2.5000000000000001E-2"/>
                  <c:y val="-5.55555555555554E-2"/>
                </c:manualLayout>
              </c:layout>
              <c:showLegendKey val="0"/>
              <c:showVal val="1"/>
              <c:showCatName val="0"/>
              <c:showSerName val="0"/>
              <c:showPercent val="0"/>
              <c:showBubbleSize val="0"/>
            </c:dLbl>
            <c:dLbl>
              <c:idx val="2"/>
              <c:layout>
                <c:manualLayout>
                  <c:x val="-8.3333333333333402E-3"/>
                  <c:y val="-1.8518518518518601E-2"/>
                </c:manualLayout>
              </c:layout>
              <c:showLegendKey val="0"/>
              <c:showVal val="1"/>
              <c:showCatName val="0"/>
              <c:showSerName val="0"/>
              <c:showPercent val="0"/>
              <c:showBubbleSize val="0"/>
            </c:dLbl>
            <c:dLbl>
              <c:idx val="3"/>
              <c:layout>
                <c:manualLayout>
                  <c:x val="-3.3333333333333298E-2"/>
                  <c:y val="-4.6296296296296502E-2"/>
                </c:manualLayout>
              </c:layout>
              <c:showLegendKey val="0"/>
              <c:showVal val="1"/>
              <c:showCatName val="0"/>
              <c:showSerName val="0"/>
              <c:showPercent val="0"/>
              <c:showBubbleSize val="0"/>
            </c:dLbl>
            <c:dLbl>
              <c:idx val="4"/>
              <c:layout>
                <c:manualLayout>
                  <c:x val="-2.77777777777783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jūrų laivininkystė'!$B$1:$F$1</c:f>
              <c:numCache>
                <c:formatCode>General</c:formatCode>
                <c:ptCount val="5"/>
                <c:pt idx="0">
                  <c:v>2008</c:v>
                </c:pt>
                <c:pt idx="1">
                  <c:v>2009</c:v>
                </c:pt>
                <c:pt idx="2">
                  <c:v>2010</c:v>
                </c:pt>
                <c:pt idx="3">
                  <c:v>2011</c:v>
                </c:pt>
                <c:pt idx="4">
                  <c:v>2012</c:v>
                </c:pt>
              </c:numCache>
            </c:numRef>
          </c:cat>
          <c:val>
            <c:numRef>
              <c:f>'Lietuvos jūrų laivininkystė'!$B$8:$F$8</c:f>
              <c:numCache>
                <c:formatCode>0.00</c:formatCode>
                <c:ptCount val="5"/>
                <c:pt idx="0">
                  <c:v>0.38583182821593398</c:v>
                </c:pt>
                <c:pt idx="1">
                  <c:v>0.22206896551724301</c:v>
                </c:pt>
                <c:pt idx="2">
                  <c:v>0.25624254921545297</c:v>
                </c:pt>
                <c:pt idx="3">
                  <c:v>0.13650649243238999</c:v>
                </c:pt>
                <c:pt idx="4">
                  <c:v>0.198081556371169</c:v>
                </c:pt>
              </c:numCache>
            </c:numRef>
          </c:val>
          <c:smooth val="0"/>
        </c:ser>
        <c:ser>
          <c:idx val="1"/>
          <c:order val="1"/>
          <c:tx>
            <c:strRef>
              <c:f>'Lietuvos jūrų laivininkystė'!$A$9</c:f>
              <c:strCache>
                <c:ptCount val="1"/>
                <c:pt idx="0">
                  <c:v>Greitasis likvidumas</c:v>
                </c:pt>
              </c:strCache>
            </c:strRef>
          </c:tx>
          <c:dLbls>
            <c:dLbl>
              <c:idx val="0"/>
              <c:layout>
                <c:manualLayout>
                  <c:x val="-7.4999999999999997E-2"/>
                  <c:y val="9.2592592592594097E-3"/>
                </c:manualLayout>
              </c:layout>
              <c:showLegendKey val="0"/>
              <c:showVal val="1"/>
              <c:showCatName val="0"/>
              <c:showSerName val="0"/>
              <c:showPercent val="0"/>
              <c:showBubbleSize val="0"/>
            </c:dLbl>
            <c:dLbl>
              <c:idx val="1"/>
              <c:layout>
                <c:manualLayout>
                  <c:x val="-4.4444444444444502E-2"/>
                  <c:y val="-4.6296296296296502E-2"/>
                </c:manualLayout>
              </c:layout>
              <c:showLegendKey val="0"/>
              <c:showVal val="1"/>
              <c:showCatName val="0"/>
              <c:showSerName val="0"/>
              <c:showPercent val="0"/>
              <c:showBubbleSize val="0"/>
            </c:dLbl>
            <c:dLbl>
              <c:idx val="2"/>
              <c:layout>
                <c:manualLayout>
                  <c:x val="-8.0555555555557004E-2"/>
                  <c:y val="-4.6296296296296797E-3"/>
                </c:manualLayout>
              </c:layout>
              <c:showLegendKey val="0"/>
              <c:showVal val="1"/>
              <c:showCatName val="0"/>
              <c:showSerName val="0"/>
              <c:showPercent val="0"/>
              <c:showBubbleSize val="0"/>
            </c:dLbl>
            <c:dLbl>
              <c:idx val="3"/>
              <c:layout>
                <c:manualLayout>
                  <c:x val="-3.6111111111111101E-2"/>
                  <c:y val="-4.1666666666666699E-2"/>
                </c:manualLayout>
              </c:layout>
              <c:showLegendKey val="0"/>
              <c:showVal val="1"/>
              <c:showCatName val="0"/>
              <c:showSerName val="0"/>
              <c:showPercent val="0"/>
              <c:showBubbleSize val="0"/>
            </c:dLbl>
            <c:dLbl>
              <c:idx val="4"/>
              <c:layout>
                <c:manualLayout>
                  <c:x val="-4.4444444444444502E-2"/>
                  <c:y val="-3.24074074074078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jūrų laivininkystė'!$B$1:$F$1</c:f>
              <c:numCache>
                <c:formatCode>General</c:formatCode>
                <c:ptCount val="5"/>
                <c:pt idx="0">
                  <c:v>2008</c:v>
                </c:pt>
                <c:pt idx="1">
                  <c:v>2009</c:v>
                </c:pt>
                <c:pt idx="2">
                  <c:v>2010</c:v>
                </c:pt>
                <c:pt idx="3">
                  <c:v>2011</c:v>
                </c:pt>
                <c:pt idx="4">
                  <c:v>2012</c:v>
                </c:pt>
              </c:numCache>
            </c:numRef>
          </c:cat>
          <c:val>
            <c:numRef>
              <c:f>'Lietuvos jūrų laivininkystė'!$B$9:$F$9</c:f>
              <c:numCache>
                <c:formatCode>0.00</c:formatCode>
                <c:ptCount val="5"/>
                <c:pt idx="0">
                  <c:v>0.34521372667068001</c:v>
                </c:pt>
                <c:pt idx="1">
                  <c:v>0.16361054766734301</c:v>
                </c:pt>
                <c:pt idx="2">
                  <c:v>0.21413152044334199</c:v>
                </c:pt>
                <c:pt idx="3">
                  <c:v>8.6117773550574803E-2</c:v>
                </c:pt>
                <c:pt idx="4">
                  <c:v>8.2457048929319501E-2</c:v>
                </c:pt>
              </c:numCache>
            </c:numRef>
          </c:val>
          <c:smooth val="0"/>
        </c:ser>
        <c:ser>
          <c:idx val="2"/>
          <c:order val="2"/>
          <c:tx>
            <c:strRef>
              <c:f>'Lietuvos jūrų laivininkystė'!$A$10</c:f>
              <c:strCache>
                <c:ptCount val="1"/>
                <c:pt idx="0">
                  <c:v>Kritinis likvidumas</c:v>
                </c:pt>
              </c:strCache>
            </c:strRef>
          </c:tx>
          <c:dLbls>
            <c:dLbl>
              <c:idx val="0"/>
              <c:layout>
                <c:manualLayout>
                  <c:x val="-3.6111111111111198E-2"/>
                  <c:y val="4.6296296296296502E-2"/>
                </c:manualLayout>
              </c:layout>
              <c:showLegendKey val="0"/>
              <c:showVal val="1"/>
              <c:showCatName val="0"/>
              <c:showSerName val="0"/>
              <c:showPercent val="0"/>
              <c:showBubbleSize val="0"/>
            </c:dLbl>
            <c:dLbl>
              <c:idx val="1"/>
              <c:layout>
                <c:manualLayout>
                  <c:x val="-4.1666666666666699E-2"/>
                  <c:y val="5.0925925925925902E-2"/>
                </c:manualLayout>
              </c:layout>
              <c:showLegendKey val="0"/>
              <c:showVal val="1"/>
              <c:showCatName val="0"/>
              <c:showSerName val="0"/>
              <c:showPercent val="0"/>
              <c:showBubbleSize val="0"/>
            </c:dLbl>
            <c:dLbl>
              <c:idx val="2"/>
              <c:layout>
                <c:manualLayout>
                  <c:x val="-5.8333333333334E-2"/>
                  <c:y val="-8.4875562720137302E-17"/>
                </c:manualLayout>
              </c:layout>
              <c:showLegendKey val="0"/>
              <c:showVal val="1"/>
              <c:showCatName val="0"/>
              <c:showSerName val="0"/>
              <c:showPercent val="0"/>
              <c:showBubbleSize val="0"/>
            </c:dLbl>
            <c:dLbl>
              <c:idx val="3"/>
              <c:layout>
                <c:manualLayout>
                  <c:x val="-4.72222222222222E-2"/>
                  <c:y val="-2.77777777777783E-2"/>
                </c:manualLayout>
              </c:layout>
              <c:showLegendKey val="0"/>
              <c:showVal val="1"/>
              <c:showCatName val="0"/>
              <c:showSerName val="0"/>
              <c:showPercent val="0"/>
              <c:showBubbleSize val="0"/>
            </c:dLbl>
            <c:dLbl>
              <c:idx val="4"/>
              <c:layout>
                <c:manualLayout>
                  <c:x val="-3.8888888888888903E-2"/>
                  <c:y val="-2.31481481481480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jūrų laivininkystė'!$B$1:$F$1</c:f>
              <c:numCache>
                <c:formatCode>General</c:formatCode>
                <c:ptCount val="5"/>
                <c:pt idx="0">
                  <c:v>2008</c:v>
                </c:pt>
                <c:pt idx="1">
                  <c:v>2009</c:v>
                </c:pt>
                <c:pt idx="2">
                  <c:v>2010</c:v>
                </c:pt>
                <c:pt idx="3">
                  <c:v>2011</c:v>
                </c:pt>
                <c:pt idx="4">
                  <c:v>2012</c:v>
                </c:pt>
              </c:numCache>
            </c:numRef>
          </c:cat>
          <c:val>
            <c:numRef>
              <c:f>'Lietuvos jūrų laivininkystė'!$B$10:$F$10</c:f>
              <c:numCache>
                <c:formatCode>0.00</c:formatCode>
                <c:ptCount val="5"/>
                <c:pt idx="0">
                  <c:v>4.9287577764399002E-2</c:v>
                </c:pt>
                <c:pt idx="1">
                  <c:v>5.0385395537525399E-2</c:v>
                </c:pt>
                <c:pt idx="2">
                  <c:v>6.6597931501112095E-2</c:v>
                </c:pt>
                <c:pt idx="3">
                  <c:v>3.7073029526094203E-2</c:v>
                </c:pt>
                <c:pt idx="4">
                  <c:v>8.3087523361329695E-3</c:v>
                </c:pt>
              </c:numCache>
            </c:numRef>
          </c:val>
          <c:smooth val="0"/>
        </c:ser>
        <c:ser>
          <c:idx val="3"/>
          <c:order val="3"/>
          <c:tx>
            <c:strRef>
              <c:f>'Lietuvos jūrų laivininkystė'!$A$12</c:f>
              <c:strCache>
                <c:ptCount val="1"/>
                <c:pt idx="0">
                  <c:v>Tr. Į. apmokėjimo pinigais koeficientas</c:v>
                </c:pt>
              </c:strCache>
            </c:strRef>
          </c:tx>
          <c:dLbls>
            <c:dLbl>
              <c:idx val="0"/>
              <c:layout>
                <c:manualLayout>
                  <c:x val="-6.9444444444444503E-2"/>
                  <c:y val="5.55555555555554E-2"/>
                </c:manualLayout>
              </c:layout>
              <c:showLegendKey val="0"/>
              <c:showVal val="1"/>
              <c:showCatName val="0"/>
              <c:showSerName val="0"/>
              <c:showPercent val="0"/>
              <c:showBubbleSize val="0"/>
            </c:dLbl>
            <c:dLbl>
              <c:idx val="1"/>
              <c:layout>
                <c:manualLayout>
                  <c:x val="-1.3888888888888999E-2"/>
                  <c:y val="4.6296296296296797E-3"/>
                </c:manualLayout>
              </c:layout>
              <c:showLegendKey val="0"/>
              <c:showVal val="1"/>
              <c:showCatName val="0"/>
              <c:showSerName val="0"/>
              <c:showPercent val="0"/>
              <c:showBubbleSize val="0"/>
            </c:dLbl>
            <c:dLbl>
              <c:idx val="2"/>
              <c:layout>
                <c:manualLayout>
                  <c:x val="-1.1111111111111099E-2"/>
                  <c:y val="-2.77777777777783E-2"/>
                </c:manualLayout>
              </c:layout>
              <c:showLegendKey val="0"/>
              <c:showVal val="1"/>
              <c:showCatName val="0"/>
              <c:showSerName val="0"/>
              <c:showPercent val="0"/>
              <c:showBubbleSize val="0"/>
            </c:dLbl>
            <c:dLbl>
              <c:idx val="3"/>
              <c:layout>
                <c:manualLayout>
                  <c:x val="-1.1111111111111099E-2"/>
                  <c:y val="1.3888888888888999E-2"/>
                </c:manualLayout>
              </c:layout>
              <c:showLegendKey val="0"/>
              <c:showVal val="1"/>
              <c:showCatName val="0"/>
              <c:showSerName val="0"/>
              <c:showPercent val="0"/>
              <c:showBubbleSize val="0"/>
            </c:dLbl>
            <c:dLbl>
              <c:idx val="4"/>
              <c:layout>
                <c:manualLayout>
                  <c:x val="-8.3333333333333402E-3"/>
                  <c:y val="1.38888888888889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'Lietuvos jūrų laivininkystė'!$B$1:$F$1</c:f>
              <c:numCache>
                <c:formatCode>General</c:formatCode>
                <c:ptCount val="5"/>
                <c:pt idx="0">
                  <c:v>2008</c:v>
                </c:pt>
                <c:pt idx="1">
                  <c:v>2009</c:v>
                </c:pt>
                <c:pt idx="2">
                  <c:v>2010</c:v>
                </c:pt>
                <c:pt idx="3">
                  <c:v>2011</c:v>
                </c:pt>
                <c:pt idx="4">
                  <c:v>2012</c:v>
                </c:pt>
              </c:numCache>
            </c:numRef>
          </c:cat>
          <c:val>
            <c:numRef>
              <c:f>'Lietuvos jūrų laivininkystė'!$B$12:$F$12</c:f>
              <c:numCache>
                <c:formatCode>0.00</c:formatCode>
                <c:ptCount val="5"/>
                <c:pt idx="0">
                  <c:v>0.27698173790889302</c:v>
                </c:pt>
                <c:pt idx="1">
                  <c:v>0.14073022312373201</c:v>
                </c:pt>
                <c:pt idx="2">
                  <c:v>-2.5324612559203701E-2</c:v>
                </c:pt>
                <c:pt idx="3">
                  <c:v>0.28568770159622903</c:v>
                </c:pt>
                <c:pt idx="4">
                  <c:v>0.40976334691855598</c:v>
                </c:pt>
              </c:numCache>
            </c:numRef>
          </c:val>
          <c:smooth val="0"/>
        </c:ser>
        <c:dLbls>
          <c:showLegendKey val="0"/>
          <c:showVal val="1"/>
          <c:showCatName val="0"/>
          <c:showSerName val="0"/>
          <c:showPercent val="0"/>
          <c:showBubbleSize val="0"/>
        </c:dLbls>
        <c:marker val="1"/>
        <c:smooth val="0"/>
        <c:axId val="205930496"/>
        <c:axId val="205932032"/>
      </c:lineChart>
      <c:catAx>
        <c:axId val="205930496"/>
        <c:scaling>
          <c:orientation val="minMax"/>
        </c:scaling>
        <c:delete val="0"/>
        <c:axPos val="b"/>
        <c:numFmt formatCode="General" sourceLinked="1"/>
        <c:majorTickMark val="none"/>
        <c:minorTickMark val="none"/>
        <c:tickLblPos val="nextTo"/>
        <c:crossAx val="205932032"/>
        <c:crosses val="autoZero"/>
        <c:auto val="1"/>
        <c:lblAlgn val="ctr"/>
        <c:lblOffset val="100"/>
        <c:noMultiLvlLbl val="0"/>
      </c:catAx>
      <c:valAx>
        <c:axId val="205932032"/>
        <c:scaling>
          <c:orientation val="minMax"/>
        </c:scaling>
        <c:delete val="0"/>
        <c:axPos val="l"/>
        <c:majorGridlines/>
        <c:numFmt formatCode="0.00" sourceLinked="1"/>
        <c:majorTickMark val="none"/>
        <c:minorTickMark val="none"/>
        <c:tickLblPos val="nextTo"/>
        <c:crossAx val="205930496"/>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'Limarko laivininkystės kompanij'!$A$8</c:f>
              <c:strCache>
                <c:ptCount val="1"/>
                <c:pt idx="0">
                  <c:v>Bendrasis likvidumas</c:v>
                </c:pt>
              </c:strCache>
            </c:strRef>
          </c:tx>
          <c:dLbls>
            <c:dLbl>
              <c:idx val="0"/>
              <c:layout>
                <c:manualLayout>
                  <c:x val="-4.7222222222222297E-2"/>
                  <c:y val="-3.6175710594315597E-2"/>
                </c:manualLayout>
              </c:layout>
              <c:showLegendKey val="0"/>
              <c:showVal val="1"/>
              <c:showCatName val="0"/>
              <c:showSerName val="0"/>
              <c:showPercent val="0"/>
              <c:showBubbleSize val="0"/>
            </c:dLbl>
            <c:dLbl>
              <c:idx val="1"/>
              <c:layout>
                <c:manualLayout>
                  <c:x val="-5.55555555555554E-2"/>
                  <c:y val="-4.13436692506466E-2"/>
                </c:manualLayout>
              </c:layout>
              <c:showLegendKey val="0"/>
              <c:showVal val="1"/>
              <c:showCatName val="0"/>
              <c:showSerName val="0"/>
              <c:showPercent val="0"/>
              <c:showBubbleSize val="0"/>
            </c:dLbl>
            <c:dLbl>
              <c:idx val="2"/>
              <c:layout>
                <c:manualLayout>
                  <c:x val="-4.1666666666666699E-2"/>
                  <c:y val="-5.1679586563306901E-2"/>
                </c:manualLayout>
              </c:layout>
              <c:showLegendKey val="0"/>
              <c:showVal val="1"/>
              <c:showCatName val="0"/>
              <c:showSerName val="0"/>
              <c:showPercent val="0"/>
              <c:showBubbleSize val="0"/>
            </c:dLbl>
            <c:dLbl>
              <c:idx val="3"/>
              <c:layout>
                <c:manualLayout>
                  <c:x val="-3.3333333333333298E-2"/>
                  <c:y val="-4.6511627906977097E-2"/>
                </c:manualLayout>
              </c:layout>
              <c:showLegendKey val="0"/>
              <c:showVal val="1"/>
              <c:showCatName val="0"/>
              <c:showSerName val="0"/>
              <c:showPercent val="0"/>
              <c:showBubbleSize val="0"/>
            </c:dLbl>
            <c:dLbl>
              <c:idx val="4"/>
              <c:layout>
                <c:manualLayout>
                  <c:x val="-1.1111111111111099E-2"/>
                  <c:y val="-3.61757105943154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'Limarko laivininkystės kompanij'!$B$1:$F$1</c:f>
              <c:numCache>
                <c:formatCode>General</c:formatCode>
                <c:ptCount val="5"/>
                <c:pt idx="0">
                  <c:v>2008</c:v>
                </c:pt>
                <c:pt idx="1">
                  <c:v>2009</c:v>
                </c:pt>
                <c:pt idx="2">
                  <c:v>2010</c:v>
                </c:pt>
                <c:pt idx="3">
                  <c:v>2011</c:v>
                </c:pt>
                <c:pt idx="4">
                  <c:v>2012</c:v>
                </c:pt>
              </c:numCache>
            </c:numRef>
          </c:cat>
          <c:val>
            <c:numRef>
              <c:f>'Limarko laivininkystės kompanij'!$B$8:$F$8</c:f>
              <c:numCache>
                <c:formatCode>0.00</c:formatCode>
                <c:ptCount val="5"/>
                <c:pt idx="0">
                  <c:v>0.33319351523667901</c:v>
                </c:pt>
                <c:pt idx="1">
                  <c:v>0.341389728096679</c:v>
                </c:pt>
                <c:pt idx="2">
                  <c:v>0.41209997908387602</c:v>
                </c:pt>
                <c:pt idx="3">
                  <c:v>0.153125124117935</c:v>
                </c:pt>
                <c:pt idx="4">
                  <c:v>7.5579555154851805E-2</c:v>
                </c:pt>
              </c:numCache>
            </c:numRef>
          </c:val>
          <c:smooth val="0"/>
        </c:ser>
        <c:ser>
          <c:idx val="1"/>
          <c:order val="1"/>
          <c:tx>
            <c:strRef>
              <c:f>'Limarko laivininkystės kompanij'!$A$9</c:f>
              <c:strCache>
                <c:ptCount val="1"/>
                <c:pt idx="0">
                  <c:v>Greitasis likvidumas</c:v>
                </c:pt>
              </c:strCache>
            </c:strRef>
          </c:tx>
          <c:dLbls>
            <c:dLbl>
              <c:idx val="0"/>
              <c:layout>
                <c:manualLayout>
                  <c:x val="-4.1666666666666699E-2"/>
                  <c:y val="-4.13436692506466E-2"/>
                </c:manualLayout>
              </c:layout>
              <c:showLegendKey val="0"/>
              <c:showVal val="1"/>
              <c:showCatName val="0"/>
              <c:showSerName val="0"/>
              <c:showPercent val="0"/>
              <c:showBubbleSize val="0"/>
            </c:dLbl>
            <c:dLbl>
              <c:idx val="1"/>
              <c:layout>
                <c:manualLayout>
                  <c:x val="-3.05555555555556E-2"/>
                  <c:y val="-3.6175710594315597E-2"/>
                </c:manualLayout>
              </c:layout>
              <c:showLegendKey val="0"/>
              <c:showVal val="1"/>
              <c:showCatName val="0"/>
              <c:showSerName val="0"/>
              <c:showPercent val="0"/>
              <c:showBubbleSize val="0"/>
            </c:dLbl>
            <c:dLbl>
              <c:idx val="2"/>
              <c:layout>
                <c:manualLayout>
                  <c:x val="-4.7222222222222297E-2"/>
                  <c:y val="-1.5503875968992401E-2"/>
                </c:manualLayout>
              </c:layout>
              <c:showLegendKey val="0"/>
              <c:showVal val="1"/>
              <c:showCatName val="0"/>
              <c:showSerName val="0"/>
              <c:showPercent val="0"/>
              <c:showBubbleSize val="0"/>
            </c:dLbl>
            <c:dLbl>
              <c:idx val="3"/>
              <c:layout>
                <c:manualLayout>
                  <c:x val="-4.1666666666666602E-2"/>
                  <c:y val="-2.5839793281654099E-2"/>
                </c:manualLayout>
              </c:layout>
              <c:showLegendKey val="0"/>
              <c:showVal val="1"/>
              <c:showCatName val="0"/>
              <c:showSerName val="0"/>
              <c:showPercent val="0"/>
              <c:showBubbleSize val="0"/>
            </c:dLbl>
            <c:dLbl>
              <c:idx val="4"/>
              <c:layout>
                <c:manualLayout>
                  <c:x val="-1.3888888888888999E-2"/>
                  <c:y val="5.1679586563307097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'Limarko laivininkystės kompanij'!$B$1:$F$1</c:f>
              <c:numCache>
                <c:formatCode>General</c:formatCode>
                <c:ptCount val="5"/>
                <c:pt idx="0">
                  <c:v>2008</c:v>
                </c:pt>
                <c:pt idx="1">
                  <c:v>2009</c:v>
                </c:pt>
                <c:pt idx="2">
                  <c:v>2010</c:v>
                </c:pt>
                <c:pt idx="3">
                  <c:v>2011</c:v>
                </c:pt>
                <c:pt idx="4">
                  <c:v>2012</c:v>
                </c:pt>
              </c:numCache>
            </c:numRef>
          </c:cat>
          <c:val>
            <c:numRef>
              <c:f>'Limarko laivininkystės kompanij'!$B$9:$F$9</c:f>
              <c:numCache>
                <c:formatCode>0.00</c:formatCode>
                <c:ptCount val="5"/>
                <c:pt idx="0">
                  <c:v>0.209139908978419</c:v>
                </c:pt>
                <c:pt idx="1">
                  <c:v>0.22581856781252599</c:v>
                </c:pt>
                <c:pt idx="2">
                  <c:v>0.33167747333194297</c:v>
                </c:pt>
                <c:pt idx="3">
                  <c:v>9.7507049898719805E-2</c:v>
                </c:pt>
                <c:pt idx="4">
                  <c:v>6.6304754414402298E-2</c:v>
                </c:pt>
              </c:numCache>
            </c:numRef>
          </c:val>
          <c:smooth val="0"/>
        </c:ser>
        <c:ser>
          <c:idx val="2"/>
          <c:order val="2"/>
          <c:tx>
            <c:strRef>
              <c:f>'Limarko laivininkystės kompanij'!$A$10</c:f>
              <c:strCache>
                <c:ptCount val="1"/>
                <c:pt idx="0">
                  <c:v>Kritinis likvidumas</c:v>
                </c:pt>
              </c:strCache>
            </c:strRef>
          </c:tx>
          <c:dLbls>
            <c:dLbl>
              <c:idx val="0"/>
              <c:layout>
                <c:manualLayout>
                  <c:x val="-3.6111111111111198E-2"/>
                  <c:y val="0"/>
                </c:manualLayout>
              </c:layout>
              <c:showLegendKey val="0"/>
              <c:showVal val="1"/>
              <c:showCatName val="0"/>
              <c:showSerName val="0"/>
              <c:showPercent val="0"/>
              <c:showBubbleSize val="0"/>
            </c:dLbl>
            <c:dLbl>
              <c:idx val="1"/>
              <c:layout>
                <c:manualLayout>
                  <c:x val="-2.77777777777783E-2"/>
                  <c:y val="-1.0335917312661499E-2"/>
                </c:manualLayout>
              </c:layout>
              <c:showLegendKey val="0"/>
              <c:showVal val="1"/>
              <c:showCatName val="0"/>
              <c:showSerName val="0"/>
              <c:showPercent val="0"/>
              <c:showBubbleSize val="0"/>
            </c:dLbl>
            <c:dLbl>
              <c:idx val="2"/>
              <c:layout>
                <c:manualLayout>
                  <c:x val="-1.6666666666666701E-2"/>
                  <c:y val="-1.55038759689923E-2"/>
                </c:manualLayout>
              </c:layout>
              <c:showLegendKey val="0"/>
              <c:showVal val="1"/>
              <c:showCatName val="0"/>
              <c:showSerName val="0"/>
              <c:showPercent val="0"/>
              <c:showBubbleSize val="0"/>
            </c:dLbl>
            <c:dLbl>
              <c:idx val="3"/>
              <c:layout>
                <c:manualLayout>
                  <c:x val="-1.3888888888888999E-2"/>
                  <c:y val="-1.5503875968992401E-2"/>
                </c:manualLayout>
              </c:layout>
              <c:showLegendKey val="0"/>
              <c:showVal val="1"/>
              <c:showCatName val="0"/>
              <c:showSerName val="0"/>
              <c:showPercent val="0"/>
              <c:showBubbleSize val="0"/>
            </c:dLbl>
            <c:dLbl>
              <c:idx val="4"/>
              <c:layout>
                <c:manualLayout>
                  <c:x val="-5.5555555555555497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'Limarko laivininkystės kompanij'!$B$1:$F$1</c:f>
              <c:numCache>
                <c:formatCode>General</c:formatCode>
                <c:ptCount val="5"/>
                <c:pt idx="0">
                  <c:v>2008</c:v>
                </c:pt>
                <c:pt idx="1">
                  <c:v>2009</c:v>
                </c:pt>
                <c:pt idx="2">
                  <c:v>2010</c:v>
                </c:pt>
                <c:pt idx="3">
                  <c:v>2011</c:v>
                </c:pt>
                <c:pt idx="4">
                  <c:v>2012</c:v>
                </c:pt>
              </c:numCache>
            </c:numRef>
          </c:cat>
          <c:val>
            <c:numRef>
              <c:f>'Limarko laivininkystės kompanij'!$B$10:$F$10</c:f>
              <c:numCache>
                <c:formatCode>0.00</c:formatCode>
                <c:ptCount val="5"/>
                <c:pt idx="0">
                  <c:v>7.8437952224156404E-3</c:v>
                </c:pt>
                <c:pt idx="1">
                  <c:v>8.6747774965297605E-2</c:v>
                </c:pt>
                <c:pt idx="2">
                  <c:v>9.1159450603081702E-3</c:v>
                </c:pt>
                <c:pt idx="3">
                  <c:v>2.43602134166524E-3</c:v>
                </c:pt>
                <c:pt idx="4">
                  <c:v>1.2449525709517699E-2</c:v>
                </c:pt>
              </c:numCache>
            </c:numRef>
          </c:val>
          <c:smooth val="0"/>
        </c:ser>
        <c:ser>
          <c:idx val="3"/>
          <c:order val="3"/>
          <c:tx>
            <c:strRef>
              <c:f>'Limarko laivininkystės kompanij'!$A$12</c:f>
              <c:strCache>
                <c:ptCount val="1"/>
                <c:pt idx="0">
                  <c:v>Tr. Į. apmokėjimo pinigais koeficientas</c:v>
                </c:pt>
              </c:strCache>
            </c:strRef>
          </c:tx>
          <c:dLbls>
            <c:dLbl>
              <c:idx val="0"/>
              <c:layout>
                <c:manualLayout>
                  <c:x val="-2.5000000000000001E-2"/>
                  <c:y val="-1.5503875968992401E-2"/>
                </c:manualLayout>
              </c:layout>
              <c:showLegendKey val="0"/>
              <c:showVal val="1"/>
              <c:showCatName val="0"/>
              <c:showSerName val="0"/>
              <c:showPercent val="0"/>
              <c:showBubbleSize val="0"/>
            </c:dLbl>
            <c:dLbl>
              <c:idx val="1"/>
              <c:layout>
                <c:manualLayout>
                  <c:x val="-2.5000000000000001E-2"/>
                  <c:y val="-3.1007751937984499E-2"/>
                </c:manualLayout>
              </c:layout>
              <c:showLegendKey val="0"/>
              <c:showVal val="1"/>
              <c:showCatName val="0"/>
              <c:showSerName val="0"/>
              <c:showPercent val="0"/>
              <c:showBubbleSize val="0"/>
            </c:dLbl>
            <c:dLbl>
              <c:idx val="2"/>
              <c:layout>
                <c:manualLayout>
                  <c:x val="-8.0555555555557004E-2"/>
                  <c:y val="-1.0335917312661499E-2"/>
                </c:manualLayout>
              </c:layout>
              <c:showLegendKey val="0"/>
              <c:showVal val="1"/>
              <c:showCatName val="0"/>
              <c:showSerName val="0"/>
              <c:showPercent val="0"/>
              <c:showBubbleSize val="0"/>
            </c:dLbl>
            <c:dLbl>
              <c:idx val="3"/>
              <c:layout>
                <c:manualLayout>
                  <c:x val="-8.3333333333333402E-3"/>
                  <c:y val="2.58397932816539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'Limarko laivininkystės kompanij'!$B$1:$F$1</c:f>
              <c:numCache>
                <c:formatCode>General</c:formatCode>
                <c:ptCount val="5"/>
                <c:pt idx="0">
                  <c:v>2008</c:v>
                </c:pt>
                <c:pt idx="1">
                  <c:v>2009</c:v>
                </c:pt>
                <c:pt idx="2">
                  <c:v>2010</c:v>
                </c:pt>
                <c:pt idx="3">
                  <c:v>2011</c:v>
                </c:pt>
                <c:pt idx="4">
                  <c:v>2012</c:v>
                </c:pt>
              </c:numCache>
            </c:numRef>
          </c:cat>
          <c:val>
            <c:numRef>
              <c:f>'Limarko laivininkystės kompanij'!$B$12:$F$12</c:f>
              <c:numCache>
                <c:formatCode>0.00</c:formatCode>
                <c:ptCount val="5"/>
                <c:pt idx="0">
                  <c:v>0.63377445942829302</c:v>
                </c:pt>
                <c:pt idx="1">
                  <c:v>0.434032824365153</c:v>
                </c:pt>
                <c:pt idx="2">
                  <c:v>-2.48030398103605E-2</c:v>
                </c:pt>
                <c:pt idx="3">
                  <c:v>-5.4280910330584096E-3</c:v>
                </c:pt>
                <c:pt idx="4">
                  <c:v>-3.7549994724777498E-2</c:v>
                </c:pt>
              </c:numCache>
            </c:numRef>
          </c:val>
          <c:smooth val="0"/>
        </c:ser>
        <c:dLbls>
          <c:showLegendKey val="0"/>
          <c:showVal val="1"/>
          <c:showCatName val="0"/>
          <c:showSerName val="0"/>
          <c:showPercent val="0"/>
          <c:showBubbleSize val="0"/>
        </c:dLbls>
        <c:marker val="1"/>
        <c:smooth val="0"/>
        <c:axId val="206439552"/>
        <c:axId val="206441088"/>
      </c:lineChart>
      <c:catAx>
        <c:axId val="206439552"/>
        <c:scaling>
          <c:orientation val="minMax"/>
        </c:scaling>
        <c:delete val="0"/>
        <c:axPos val="b"/>
        <c:numFmt formatCode="General" sourceLinked="1"/>
        <c:majorTickMark val="none"/>
        <c:minorTickMark val="none"/>
        <c:tickLblPos val="nextTo"/>
        <c:crossAx val="206441088"/>
        <c:crosses val="autoZero"/>
        <c:auto val="1"/>
        <c:lblAlgn val="ctr"/>
        <c:lblOffset val="100"/>
        <c:noMultiLvlLbl val="0"/>
      </c:catAx>
      <c:valAx>
        <c:axId val="206441088"/>
        <c:scaling>
          <c:orientation val="minMax"/>
        </c:scaling>
        <c:delete val="0"/>
        <c:axPos val="l"/>
        <c:majorGridlines/>
        <c:numFmt formatCode="0.00" sourceLinked="1"/>
        <c:majorTickMark val="none"/>
        <c:minorTickMark val="none"/>
        <c:tickLblPos val="nextTo"/>
        <c:crossAx val="206439552"/>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779965004374606E-2"/>
          <c:y val="5.1400554097404502E-2"/>
          <c:w val="0.54110892388451504"/>
          <c:h val="0.83261956838728501"/>
        </c:manualLayout>
      </c:layout>
      <c:lineChart>
        <c:grouping val="standard"/>
        <c:varyColors val="0"/>
        <c:ser>
          <c:idx val="0"/>
          <c:order val="0"/>
          <c:tx>
            <c:strRef>
              <c:f>Linas!$A$8</c:f>
              <c:strCache>
                <c:ptCount val="1"/>
                <c:pt idx="0">
                  <c:v>Bendrasis likvidumas</c:v>
                </c:pt>
              </c:strCache>
            </c:strRef>
          </c:tx>
          <c:cat>
            <c:numRef>
              <c:f>Linas!$B$1:$F$1</c:f>
              <c:numCache>
                <c:formatCode>General</c:formatCode>
                <c:ptCount val="5"/>
                <c:pt idx="0">
                  <c:v>2008</c:v>
                </c:pt>
                <c:pt idx="1">
                  <c:v>2009</c:v>
                </c:pt>
                <c:pt idx="2">
                  <c:v>2010</c:v>
                </c:pt>
                <c:pt idx="3">
                  <c:v>2011</c:v>
                </c:pt>
                <c:pt idx="4">
                  <c:v>2012</c:v>
                </c:pt>
              </c:numCache>
            </c:numRef>
          </c:cat>
          <c:val>
            <c:numRef>
              <c:f>Linas!$B$8:$F$8</c:f>
              <c:numCache>
                <c:formatCode>0.00</c:formatCode>
                <c:ptCount val="5"/>
                <c:pt idx="0">
                  <c:v>2.7583423870867612</c:v>
                </c:pt>
                <c:pt idx="1">
                  <c:v>2.1455038409399232</c:v>
                </c:pt>
                <c:pt idx="2">
                  <c:v>2.6579017264276472</c:v>
                </c:pt>
                <c:pt idx="3">
                  <c:v>2.1445648113560178</c:v>
                </c:pt>
                <c:pt idx="4">
                  <c:v>2.0153959847271832</c:v>
                </c:pt>
              </c:numCache>
            </c:numRef>
          </c:val>
          <c:smooth val="0"/>
        </c:ser>
        <c:ser>
          <c:idx val="1"/>
          <c:order val="1"/>
          <c:tx>
            <c:strRef>
              <c:f>Linas!$A$9</c:f>
              <c:strCache>
                <c:ptCount val="1"/>
                <c:pt idx="0">
                  <c:v>Greitasis likvidumas</c:v>
                </c:pt>
              </c:strCache>
            </c:strRef>
          </c:tx>
          <c:cat>
            <c:numRef>
              <c:f>Linas!$B$1:$F$1</c:f>
              <c:numCache>
                <c:formatCode>General</c:formatCode>
                <c:ptCount val="5"/>
                <c:pt idx="0">
                  <c:v>2008</c:v>
                </c:pt>
                <c:pt idx="1">
                  <c:v>2009</c:v>
                </c:pt>
                <c:pt idx="2">
                  <c:v>2010</c:v>
                </c:pt>
                <c:pt idx="3">
                  <c:v>2011</c:v>
                </c:pt>
                <c:pt idx="4">
                  <c:v>2012</c:v>
                </c:pt>
              </c:numCache>
            </c:numRef>
          </c:cat>
          <c:val>
            <c:numRef>
              <c:f>Linas!$B$9:$F$9</c:f>
              <c:numCache>
                <c:formatCode>0.00</c:formatCode>
                <c:ptCount val="5"/>
                <c:pt idx="0">
                  <c:v>2.2503492162036318</c:v>
                </c:pt>
                <c:pt idx="1">
                  <c:v>1.1841391775869861</c:v>
                </c:pt>
                <c:pt idx="2">
                  <c:v>1.370783532536533</c:v>
                </c:pt>
                <c:pt idx="3">
                  <c:v>0.89166977960403504</c:v>
                </c:pt>
                <c:pt idx="4">
                  <c:v>1.0189678531838899</c:v>
                </c:pt>
              </c:numCache>
            </c:numRef>
          </c:val>
          <c:smooth val="0"/>
        </c:ser>
        <c:ser>
          <c:idx val="2"/>
          <c:order val="2"/>
          <c:tx>
            <c:strRef>
              <c:f>Linas!$A$10</c:f>
              <c:strCache>
                <c:ptCount val="1"/>
                <c:pt idx="0">
                  <c:v>Kritinis likvidumas</c:v>
                </c:pt>
              </c:strCache>
            </c:strRef>
          </c:tx>
          <c:dLbls>
            <c:dLbl>
              <c:idx val="0"/>
              <c:layout>
                <c:manualLayout>
                  <c:x val="-4.1666666666666699E-2"/>
                  <c:y val="-4.1666666666666699E-2"/>
                </c:manualLayout>
              </c:layout>
              <c:showLegendKey val="0"/>
              <c:showVal val="1"/>
              <c:showCatName val="0"/>
              <c:showSerName val="0"/>
              <c:showPercent val="0"/>
              <c:showBubbleSize val="0"/>
            </c:dLbl>
            <c:dLbl>
              <c:idx val="1"/>
              <c:layout>
                <c:manualLayout>
                  <c:x val="-4.1666666666666699E-2"/>
                  <c:y val="-4.1666666666666699E-2"/>
                </c:manualLayout>
              </c:layout>
              <c:showLegendKey val="0"/>
              <c:showVal val="1"/>
              <c:showCatName val="0"/>
              <c:showSerName val="0"/>
              <c:showPercent val="0"/>
              <c:showBubbleSize val="0"/>
            </c:dLbl>
            <c:dLbl>
              <c:idx val="2"/>
              <c:layout>
                <c:manualLayout>
                  <c:x val="-4.4444444444444502E-2"/>
                  <c:y val="-4.1666666666666803E-2"/>
                </c:manualLayout>
              </c:layout>
              <c:showLegendKey val="0"/>
              <c:showVal val="1"/>
              <c:showCatName val="0"/>
              <c:showSerName val="0"/>
              <c:showPercent val="0"/>
              <c:showBubbleSize val="0"/>
            </c:dLbl>
            <c:dLbl>
              <c:idx val="3"/>
              <c:layout>
                <c:manualLayout>
                  <c:x val="-3.6111111111111198E-2"/>
                  <c:y val="-3.24074074074078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Linas!$B$1:$F$1</c:f>
              <c:numCache>
                <c:formatCode>General</c:formatCode>
                <c:ptCount val="5"/>
                <c:pt idx="0">
                  <c:v>2008</c:v>
                </c:pt>
                <c:pt idx="1">
                  <c:v>2009</c:v>
                </c:pt>
                <c:pt idx="2">
                  <c:v>2010</c:v>
                </c:pt>
                <c:pt idx="3">
                  <c:v>2011</c:v>
                </c:pt>
                <c:pt idx="4">
                  <c:v>2012</c:v>
                </c:pt>
              </c:numCache>
            </c:numRef>
          </c:cat>
          <c:val>
            <c:numRef>
              <c:f>Linas!$B$10:$F$10</c:f>
              <c:numCache>
                <c:formatCode>0.00</c:formatCode>
                <c:ptCount val="5"/>
                <c:pt idx="0">
                  <c:v>6.0375601427906801E-2</c:v>
                </c:pt>
                <c:pt idx="1">
                  <c:v>0.13036601897876199</c:v>
                </c:pt>
                <c:pt idx="2">
                  <c:v>0.222310756972112</c:v>
                </c:pt>
                <c:pt idx="3">
                  <c:v>0.17146059021292601</c:v>
                </c:pt>
                <c:pt idx="4">
                  <c:v>1.2809459293016599E-2</c:v>
                </c:pt>
              </c:numCache>
            </c:numRef>
          </c:val>
          <c:smooth val="0"/>
        </c:ser>
        <c:ser>
          <c:idx val="3"/>
          <c:order val="3"/>
          <c:tx>
            <c:strRef>
              <c:f>Linas!$A$12</c:f>
              <c:strCache>
                <c:ptCount val="1"/>
                <c:pt idx="0">
                  <c:v>Tr. Į. apmokėjimo pinigais koeficientas</c:v>
                </c:pt>
              </c:strCache>
            </c:strRef>
          </c:tx>
          <c:dLbls>
            <c:dLbl>
              <c:idx val="0"/>
              <c:layout>
                <c:manualLayout>
                  <c:x val="-4.7222222222222297E-2"/>
                  <c:y val="3.7037037037037097E-2"/>
                </c:manualLayout>
              </c:layout>
              <c:showLegendKey val="0"/>
              <c:showVal val="1"/>
              <c:showCatName val="0"/>
              <c:showSerName val="0"/>
              <c:showPercent val="0"/>
              <c:showBubbleSize val="0"/>
            </c:dLbl>
            <c:dLbl>
              <c:idx val="1"/>
              <c:layout>
                <c:manualLayout>
                  <c:x val="-3.3333333333333298E-2"/>
                  <c:y val="2.3148148148148098E-2"/>
                </c:manualLayout>
              </c:layout>
              <c:showLegendKey val="0"/>
              <c:showVal val="1"/>
              <c:showCatName val="0"/>
              <c:showSerName val="0"/>
              <c:showPercent val="0"/>
              <c:showBubbleSize val="0"/>
            </c:dLbl>
            <c:dLbl>
              <c:idx val="2"/>
              <c:layout>
                <c:manualLayout>
                  <c:x val="-1.94444444444444E-2"/>
                  <c:y val="1.3888888888888999E-2"/>
                </c:manualLayout>
              </c:layout>
              <c:showLegendKey val="0"/>
              <c:showVal val="1"/>
              <c:showCatName val="0"/>
              <c:showSerName val="0"/>
              <c:showPercent val="0"/>
              <c:showBubbleSize val="0"/>
            </c:dLbl>
            <c:dLbl>
              <c:idx val="3"/>
              <c:layout>
                <c:manualLayout>
                  <c:x val="-3.3333333333333298E-2"/>
                  <c:y val="3.2407407407407801E-2"/>
                </c:manualLayout>
              </c:layout>
              <c:showLegendKey val="0"/>
              <c:showVal val="1"/>
              <c:showCatName val="0"/>
              <c:showSerName val="0"/>
              <c:showPercent val="0"/>
              <c:showBubbleSize val="0"/>
            </c:dLbl>
            <c:dLbl>
              <c:idx val="4"/>
              <c:layout>
                <c:manualLayout>
                  <c:x val="-4.1666666666666699E-2"/>
                  <c:y val="-5.5555555555555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Linas!$B$1:$F$1</c:f>
              <c:numCache>
                <c:formatCode>General</c:formatCode>
                <c:ptCount val="5"/>
                <c:pt idx="0">
                  <c:v>2008</c:v>
                </c:pt>
                <c:pt idx="1">
                  <c:v>2009</c:v>
                </c:pt>
                <c:pt idx="2">
                  <c:v>2010</c:v>
                </c:pt>
                <c:pt idx="3">
                  <c:v>2011</c:v>
                </c:pt>
                <c:pt idx="4">
                  <c:v>2012</c:v>
                </c:pt>
              </c:numCache>
            </c:numRef>
          </c:cat>
          <c:val>
            <c:numRef>
              <c:f>Linas!$B$12:$F$12</c:f>
              <c:numCache>
                <c:formatCode>0.00</c:formatCode>
                <c:ptCount val="5"/>
                <c:pt idx="0">
                  <c:v>2.3746701846965701E-2</c:v>
                </c:pt>
                <c:pt idx="1">
                  <c:v>5.4902846814279302E-2</c:v>
                </c:pt>
                <c:pt idx="2">
                  <c:v>6.2948207171314802E-2</c:v>
                </c:pt>
                <c:pt idx="3">
                  <c:v>0.157452372058275</c:v>
                </c:pt>
                <c:pt idx="4">
                  <c:v>6.3924128587264303E-2</c:v>
                </c:pt>
              </c:numCache>
            </c:numRef>
          </c:val>
          <c:smooth val="0"/>
        </c:ser>
        <c:dLbls>
          <c:showLegendKey val="0"/>
          <c:showVal val="1"/>
          <c:showCatName val="0"/>
          <c:showSerName val="0"/>
          <c:showPercent val="0"/>
          <c:showBubbleSize val="0"/>
        </c:dLbls>
        <c:marker val="1"/>
        <c:smooth val="0"/>
        <c:axId val="206481664"/>
        <c:axId val="210178048"/>
      </c:lineChart>
      <c:catAx>
        <c:axId val="206481664"/>
        <c:scaling>
          <c:orientation val="minMax"/>
        </c:scaling>
        <c:delete val="0"/>
        <c:axPos val="b"/>
        <c:numFmt formatCode="General" sourceLinked="1"/>
        <c:majorTickMark val="none"/>
        <c:minorTickMark val="none"/>
        <c:tickLblPos val="nextTo"/>
        <c:crossAx val="210178048"/>
        <c:crosses val="autoZero"/>
        <c:auto val="1"/>
        <c:lblAlgn val="ctr"/>
        <c:lblOffset val="100"/>
        <c:noMultiLvlLbl val="0"/>
      </c:catAx>
      <c:valAx>
        <c:axId val="210178048"/>
        <c:scaling>
          <c:orientation val="minMax"/>
        </c:scaling>
        <c:delete val="0"/>
        <c:axPos val="l"/>
        <c:majorGridlines/>
        <c:numFmt formatCode="0.00" sourceLinked="1"/>
        <c:majorTickMark val="none"/>
        <c:minorTickMark val="none"/>
        <c:tickLblPos val="nextTo"/>
        <c:crossAx val="206481664"/>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'Linas Agro'!$A$8</c:f>
              <c:strCache>
                <c:ptCount val="1"/>
                <c:pt idx="0">
                  <c:v>Bendrasis likvidumas</c:v>
                </c:pt>
              </c:strCache>
            </c:strRef>
          </c:tx>
          <c:dLbls>
            <c:dLbl>
              <c:idx val="0"/>
              <c:layout>
                <c:manualLayout>
                  <c:x val="-5.55555555555554E-2"/>
                  <c:y val="-6.3492063492063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'Linas Agro'!$C$1:$F$1</c:f>
              <c:numCache>
                <c:formatCode>General</c:formatCode>
                <c:ptCount val="4"/>
                <c:pt idx="0">
                  <c:v>2009</c:v>
                </c:pt>
                <c:pt idx="1">
                  <c:v>2010</c:v>
                </c:pt>
                <c:pt idx="2">
                  <c:v>2011</c:v>
                </c:pt>
                <c:pt idx="3">
                  <c:v>2012</c:v>
                </c:pt>
              </c:numCache>
            </c:numRef>
          </c:cat>
          <c:val>
            <c:numRef>
              <c:f>'Linas Agro'!$C$8:$F$8</c:f>
              <c:numCache>
                <c:formatCode>0.00</c:formatCode>
                <c:ptCount val="4"/>
                <c:pt idx="0">
                  <c:v>0.73830734966592404</c:v>
                </c:pt>
                <c:pt idx="1">
                  <c:v>8.2434582373874825</c:v>
                </c:pt>
                <c:pt idx="2">
                  <c:v>8.6713160854893143</c:v>
                </c:pt>
                <c:pt idx="3">
                  <c:v>9.9785782985048534</c:v>
                </c:pt>
              </c:numCache>
            </c:numRef>
          </c:val>
          <c:smooth val="0"/>
        </c:ser>
        <c:ser>
          <c:idx val="1"/>
          <c:order val="1"/>
          <c:tx>
            <c:strRef>
              <c:f>'Linas Agro'!$A$10</c:f>
              <c:strCache>
                <c:ptCount val="1"/>
                <c:pt idx="0">
                  <c:v>Kritinis likvidumas</c:v>
                </c:pt>
              </c:strCache>
            </c:strRef>
          </c:tx>
          <c:dLbls>
            <c:dLbl>
              <c:idx val="2"/>
              <c:layout>
                <c:manualLayout>
                  <c:x val="-1.94444444444444E-2"/>
                  <c:y val="-6.3492063492063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'Linas Agro'!$C$1:$F$1</c:f>
              <c:numCache>
                <c:formatCode>General</c:formatCode>
                <c:ptCount val="4"/>
                <c:pt idx="0">
                  <c:v>2009</c:v>
                </c:pt>
                <c:pt idx="1">
                  <c:v>2010</c:v>
                </c:pt>
                <c:pt idx="2">
                  <c:v>2011</c:v>
                </c:pt>
                <c:pt idx="3">
                  <c:v>2012</c:v>
                </c:pt>
              </c:numCache>
            </c:numRef>
          </c:cat>
          <c:val>
            <c:numRef>
              <c:f>'Linas Agro'!$C$10:$F$10</c:f>
              <c:numCache>
                <c:formatCode>0.00</c:formatCode>
                <c:ptCount val="4"/>
                <c:pt idx="0">
                  <c:v>1.28062360801782E-2</c:v>
                </c:pt>
                <c:pt idx="1">
                  <c:v>3.1823320075361212</c:v>
                </c:pt>
                <c:pt idx="2">
                  <c:v>0.46096737907761798</c:v>
                </c:pt>
                <c:pt idx="3">
                  <c:v>3.8400804406750022</c:v>
                </c:pt>
              </c:numCache>
            </c:numRef>
          </c:val>
          <c:smooth val="0"/>
        </c:ser>
        <c:ser>
          <c:idx val="2"/>
          <c:order val="2"/>
          <c:tx>
            <c:strRef>
              <c:f>'Linas Agro'!$A$12</c:f>
              <c:strCache>
                <c:ptCount val="1"/>
                <c:pt idx="0">
                  <c:v>Tr. Į. apmokėjimo pinigais koeficientas</c:v>
                </c:pt>
              </c:strCache>
            </c:strRef>
          </c:tx>
          <c:cat>
            <c:numRef>
              <c:f>'Linas Agro'!$C$1:$F$1</c:f>
              <c:numCache>
                <c:formatCode>General</c:formatCode>
                <c:ptCount val="4"/>
                <c:pt idx="0">
                  <c:v>2009</c:v>
                </c:pt>
                <c:pt idx="1">
                  <c:v>2010</c:v>
                </c:pt>
                <c:pt idx="2">
                  <c:v>2011</c:v>
                </c:pt>
                <c:pt idx="3">
                  <c:v>2012</c:v>
                </c:pt>
              </c:numCache>
            </c:numRef>
          </c:cat>
          <c:val>
            <c:numRef>
              <c:f>'Linas Agro'!$C$12:$F$12</c:f>
              <c:numCache>
                <c:formatCode>0.00</c:formatCode>
                <c:ptCount val="4"/>
                <c:pt idx="0">
                  <c:v>-2.0055679287305201</c:v>
                </c:pt>
                <c:pt idx="1">
                  <c:v>-0.25350638476031001</c:v>
                </c:pt>
                <c:pt idx="2">
                  <c:v>1.6422947131608499E-2</c:v>
                </c:pt>
                <c:pt idx="3">
                  <c:v>1.8099151875491801E-2</c:v>
                </c:pt>
              </c:numCache>
            </c:numRef>
          </c:val>
          <c:smooth val="0"/>
        </c:ser>
        <c:dLbls>
          <c:showLegendKey val="0"/>
          <c:showVal val="1"/>
          <c:showCatName val="0"/>
          <c:showSerName val="0"/>
          <c:showPercent val="0"/>
          <c:showBubbleSize val="0"/>
        </c:dLbls>
        <c:marker val="1"/>
        <c:smooth val="0"/>
        <c:axId val="210205312"/>
        <c:axId val="210219392"/>
      </c:lineChart>
      <c:catAx>
        <c:axId val="210205312"/>
        <c:scaling>
          <c:orientation val="minMax"/>
        </c:scaling>
        <c:delete val="0"/>
        <c:axPos val="b"/>
        <c:numFmt formatCode="General" sourceLinked="1"/>
        <c:majorTickMark val="none"/>
        <c:minorTickMark val="none"/>
        <c:tickLblPos val="nextTo"/>
        <c:crossAx val="210219392"/>
        <c:crosses val="autoZero"/>
        <c:auto val="1"/>
        <c:lblAlgn val="ctr"/>
        <c:lblOffset val="100"/>
        <c:noMultiLvlLbl val="0"/>
      </c:catAx>
      <c:valAx>
        <c:axId val="210219392"/>
        <c:scaling>
          <c:orientation val="minMax"/>
        </c:scaling>
        <c:delete val="0"/>
        <c:axPos val="l"/>
        <c:majorGridlines/>
        <c:numFmt formatCode="0.00" sourceLinked="1"/>
        <c:majorTickMark val="none"/>
        <c:minorTickMark val="none"/>
        <c:tickLblPos val="nextTo"/>
        <c:crossAx val="210205312"/>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'Panevėžio statybos trestas'!$A$8</c:f>
              <c:strCache>
                <c:ptCount val="1"/>
                <c:pt idx="0">
                  <c:v>Bendrasis likvidumas</c:v>
                </c:pt>
              </c:strCache>
            </c:strRef>
          </c:tx>
          <c:dLbls>
            <c:dLbl>
              <c:idx val="0"/>
              <c:layout>
                <c:manualLayout>
                  <c:x val="-0.05"/>
                  <c:y val="-5.2863436123349102E-2"/>
                </c:manualLayout>
              </c:layout>
              <c:showLegendKey val="0"/>
              <c:showVal val="1"/>
              <c:showCatName val="0"/>
              <c:showSerName val="0"/>
              <c:showPercent val="0"/>
              <c:showBubbleSize val="0"/>
            </c:dLbl>
            <c:dLbl>
              <c:idx val="1"/>
              <c:layout>
                <c:manualLayout>
                  <c:x val="-0.05"/>
                  <c:y val="-4.1116005873715097E-2"/>
                </c:manualLayout>
              </c:layout>
              <c:showLegendKey val="0"/>
              <c:showVal val="1"/>
              <c:showCatName val="0"/>
              <c:showSerName val="0"/>
              <c:showPercent val="0"/>
              <c:showBubbleSize val="0"/>
            </c:dLbl>
            <c:dLbl>
              <c:idx val="2"/>
              <c:layout>
                <c:manualLayout>
                  <c:x val="-3.8888888888888903E-2"/>
                  <c:y val="-5.2863436123349102E-2"/>
                </c:manualLayout>
              </c:layout>
              <c:showLegendKey val="0"/>
              <c:showVal val="1"/>
              <c:showCatName val="0"/>
              <c:showSerName val="0"/>
              <c:showPercent val="0"/>
              <c:showBubbleSize val="0"/>
            </c:dLbl>
            <c:dLbl>
              <c:idx val="3"/>
              <c:layout>
                <c:manualLayout>
                  <c:x val="-3.8888888888888799E-2"/>
                  <c:y val="-7.0484581497797405E-2"/>
                </c:manualLayout>
              </c:layout>
              <c:showLegendKey val="0"/>
              <c:showVal val="1"/>
              <c:showCatName val="0"/>
              <c:showSerName val="0"/>
              <c:showPercent val="0"/>
              <c:showBubbleSize val="0"/>
            </c:dLbl>
            <c:dLbl>
              <c:idx val="4"/>
              <c:layout>
                <c:manualLayout>
                  <c:x val="-4.7222222222222297E-2"/>
                  <c:y val="-7.048458149779740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'Panevėžio statybos trestas'!$B$1:$F$1</c:f>
              <c:numCache>
                <c:formatCode>General</c:formatCode>
                <c:ptCount val="5"/>
                <c:pt idx="0">
                  <c:v>2008</c:v>
                </c:pt>
                <c:pt idx="1">
                  <c:v>2009</c:v>
                </c:pt>
                <c:pt idx="2">
                  <c:v>2010</c:v>
                </c:pt>
                <c:pt idx="3">
                  <c:v>2011</c:v>
                </c:pt>
                <c:pt idx="4">
                  <c:v>2012</c:v>
                </c:pt>
              </c:numCache>
            </c:numRef>
          </c:cat>
          <c:val>
            <c:numRef>
              <c:f>'Panevėžio statybos trestas'!$B$8:$F$8</c:f>
              <c:numCache>
                <c:formatCode>0.00</c:formatCode>
                <c:ptCount val="5"/>
                <c:pt idx="0">
                  <c:v>1.697941249074302</c:v>
                </c:pt>
                <c:pt idx="1">
                  <c:v>2.114250286150325</c:v>
                </c:pt>
                <c:pt idx="2">
                  <c:v>2.2465344337052802</c:v>
                </c:pt>
                <c:pt idx="3">
                  <c:v>1.8185453438025501</c:v>
                </c:pt>
                <c:pt idx="4">
                  <c:v>2.076433025317407</c:v>
                </c:pt>
              </c:numCache>
            </c:numRef>
          </c:val>
          <c:smooth val="0"/>
        </c:ser>
        <c:ser>
          <c:idx val="1"/>
          <c:order val="1"/>
          <c:tx>
            <c:strRef>
              <c:f>'Panevėžio statybos trestas'!$A$9</c:f>
              <c:strCache>
                <c:ptCount val="1"/>
                <c:pt idx="0">
                  <c:v>Greitasis likvidumas</c:v>
                </c:pt>
              </c:strCache>
            </c:strRef>
          </c:tx>
          <c:dLbls>
            <c:dLbl>
              <c:idx val="0"/>
              <c:layout>
                <c:manualLayout>
                  <c:x val="-4.1666666666666699E-2"/>
                  <c:y val="8.2232011747430195E-2"/>
                </c:manualLayout>
              </c:layout>
              <c:showLegendKey val="0"/>
              <c:showVal val="1"/>
              <c:showCatName val="0"/>
              <c:showSerName val="0"/>
              <c:showPercent val="0"/>
              <c:showBubbleSize val="0"/>
            </c:dLbl>
            <c:dLbl>
              <c:idx val="1"/>
              <c:layout>
                <c:manualLayout>
                  <c:x val="-3.3333333333333298E-2"/>
                  <c:y val="7.0484581497797405E-2"/>
                </c:manualLayout>
              </c:layout>
              <c:showLegendKey val="0"/>
              <c:showVal val="1"/>
              <c:showCatName val="0"/>
              <c:showSerName val="0"/>
              <c:showPercent val="0"/>
              <c:showBubbleSize val="0"/>
            </c:dLbl>
            <c:dLbl>
              <c:idx val="2"/>
              <c:layout>
                <c:manualLayout>
                  <c:x val="-4.1666666666666699E-2"/>
                  <c:y val="7.63582966226138E-2"/>
                </c:manualLayout>
              </c:layout>
              <c:showLegendKey val="0"/>
              <c:showVal val="1"/>
              <c:showCatName val="0"/>
              <c:showSerName val="0"/>
              <c:showPercent val="0"/>
              <c:showBubbleSize val="0"/>
            </c:dLbl>
            <c:dLbl>
              <c:idx val="3"/>
              <c:layout>
                <c:manualLayout>
                  <c:x val="-3.6111111111111101E-2"/>
                  <c:y val="1.7621145374449299E-2"/>
                </c:manualLayout>
              </c:layout>
              <c:showLegendKey val="0"/>
              <c:showVal val="1"/>
              <c:showCatName val="0"/>
              <c:showSerName val="0"/>
              <c:showPercent val="0"/>
              <c:showBubbleSize val="0"/>
            </c:dLbl>
            <c:dLbl>
              <c:idx val="4"/>
              <c:layout>
                <c:manualLayout>
                  <c:x val="-3.05555555555556E-2"/>
                  <c:y val="7.6358296622613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'Panevėžio statybos trestas'!$B$1:$F$1</c:f>
              <c:numCache>
                <c:formatCode>General</c:formatCode>
                <c:ptCount val="5"/>
                <c:pt idx="0">
                  <c:v>2008</c:v>
                </c:pt>
                <c:pt idx="1">
                  <c:v>2009</c:v>
                </c:pt>
                <c:pt idx="2">
                  <c:v>2010</c:v>
                </c:pt>
                <c:pt idx="3">
                  <c:v>2011</c:v>
                </c:pt>
                <c:pt idx="4">
                  <c:v>2012</c:v>
                </c:pt>
              </c:numCache>
            </c:numRef>
          </c:cat>
          <c:val>
            <c:numRef>
              <c:f>'Panevėžio statybos trestas'!$B$9:$F$9</c:f>
              <c:numCache>
                <c:formatCode>0.00</c:formatCode>
                <c:ptCount val="5"/>
                <c:pt idx="0">
                  <c:v>1.615146877314243</c:v>
                </c:pt>
                <c:pt idx="1">
                  <c:v>2.0299694772987391</c:v>
                </c:pt>
                <c:pt idx="2">
                  <c:v>2.2014770273815052</c:v>
                </c:pt>
                <c:pt idx="3">
                  <c:v>1.6891940203646569</c:v>
                </c:pt>
                <c:pt idx="4">
                  <c:v>1.9408759672451359</c:v>
                </c:pt>
              </c:numCache>
            </c:numRef>
          </c:val>
          <c:smooth val="0"/>
        </c:ser>
        <c:ser>
          <c:idx val="2"/>
          <c:order val="2"/>
          <c:tx>
            <c:strRef>
              <c:f>'Panevėžio statybos trestas'!$A$10</c:f>
              <c:strCache>
                <c:ptCount val="1"/>
                <c:pt idx="0">
                  <c:v>Kritinis likvidumas</c:v>
                </c:pt>
              </c:strCache>
            </c:strRef>
          </c:tx>
          <c:dLbls>
            <c:dLbl>
              <c:idx val="0"/>
              <c:layout>
                <c:manualLayout>
                  <c:x val="-0.05"/>
                  <c:y val="-4.1116005873715097E-2"/>
                </c:manualLayout>
              </c:layout>
              <c:showLegendKey val="0"/>
              <c:showVal val="1"/>
              <c:showCatName val="0"/>
              <c:showSerName val="0"/>
              <c:showPercent val="0"/>
              <c:showBubbleSize val="0"/>
            </c:dLbl>
            <c:dLbl>
              <c:idx val="1"/>
              <c:layout>
                <c:manualLayout>
                  <c:x val="-4.1666666666666699E-2"/>
                  <c:y val="-3.5242290748898703E-2"/>
                </c:manualLayout>
              </c:layout>
              <c:showLegendKey val="0"/>
              <c:showVal val="1"/>
              <c:showCatName val="0"/>
              <c:showSerName val="0"/>
              <c:showPercent val="0"/>
              <c:showBubbleSize val="0"/>
            </c:dLbl>
            <c:dLbl>
              <c:idx val="2"/>
              <c:layout>
                <c:manualLayout>
                  <c:x val="-4.4444444444444502E-2"/>
                  <c:y val="-2.93685756240822E-2"/>
                </c:manualLayout>
              </c:layout>
              <c:showLegendKey val="0"/>
              <c:showVal val="1"/>
              <c:showCatName val="0"/>
              <c:showSerName val="0"/>
              <c:showPercent val="0"/>
              <c:showBubbleSize val="0"/>
            </c:dLbl>
            <c:dLbl>
              <c:idx val="3"/>
              <c:layout>
                <c:manualLayout>
                  <c:x val="-0.05"/>
                  <c:y val="-4.6989720998531798E-2"/>
                </c:manualLayout>
              </c:layout>
              <c:showLegendKey val="0"/>
              <c:showVal val="1"/>
              <c:showCatName val="0"/>
              <c:showSerName val="0"/>
              <c:showPercent val="0"/>
              <c:showBubbleSize val="0"/>
            </c:dLbl>
            <c:dLbl>
              <c:idx val="4"/>
              <c:layout>
                <c:manualLayout>
                  <c:x val="-4.1666666666666699E-2"/>
                  <c:y val="-4.69897209985317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'Panevėžio statybos trestas'!$B$1:$F$1</c:f>
              <c:numCache>
                <c:formatCode>General</c:formatCode>
                <c:ptCount val="5"/>
                <c:pt idx="0">
                  <c:v>2008</c:v>
                </c:pt>
                <c:pt idx="1">
                  <c:v>2009</c:v>
                </c:pt>
                <c:pt idx="2">
                  <c:v>2010</c:v>
                </c:pt>
                <c:pt idx="3">
                  <c:v>2011</c:v>
                </c:pt>
                <c:pt idx="4">
                  <c:v>2012</c:v>
                </c:pt>
              </c:numCache>
            </c:numRef>
          </c:cat>
          <c:val>
            <c:numRef>
              <c:f>'Panevėžio statybos trestas'!$B$10:$F$10</c:f>
              <c:numCache>
                <c:formatCode>0.00</c:formatCode>
                <c:ptCount val="5"/>
                <c:pt idx="0">
                  <c:v>0.54081461367563999</c:v>
                </c:pt>
                <c:pt idx="1">
                  <c:v>1.0289011827546639</c:v>
                </c:pt>
                <c:pt idx="2">
                  <c:v>0.82422970600698198</c:v>
                </c:pt>
                <c:pt idx="3">
                  <c:v>0.57845954212623996</c:v>
                </c:pt>
                <c:pt idx="4">
                  <c:v>0.268830290736984</c:v>
                </c:pt>
              </c:numCache>
            </c:numRef>
          </c:val>
          <c:smooth val="0"/>
        </c:ser>
        <c:ser>
          <c:idx val="3"/>
          <c:order val="3"/>
          <c:tx>
            <c:strRef>
              <c:f>'Panevėžio statybos trestas'!$A$12</c:f>
              <c:strCache>
                <c:ptCount val="1"/>
                <c:pt idx="0">
                  <c:v>Tr. Į. apmokėjimo pinigais koeficientas</c:v>
                </c:pt>
              </c:strCache>
            </c:strRef>
          </c:tx>
          <c:dLbls>
            <c:dLbl>
              <c:idx val="1"/>
              <c:layout>
                <c:manualLayout>
                  <c:x val="-3.6111111111111198E-2"/>
                  <c:y val="-3.5242290748898703E-2"/>
                </c:manualLayout>
              </c:layout>
              <c:showLegendKey val="0"/>
              <c:showVal val="1"/>
              <c:showCatName val="0"/>
              <c:showSerName val="0"/>
              <c:showPercent val="0"/>
              <c:showBubbleSize val="0"/>
            </c:dLbl>
            <c:dLbl>
              <c:idx val="2"/>
              <c:layout>
                <c:manualLayout>
                  <c:x val="-2.2222222222222199E-2"/>
                  <c:y val="0"/>
                </c:manualLayout>
              </c:layout>
              <c:showLegendKey val="0"/>
              <c:showVal val="1"/>
              <c:showCatName val="0"/>
              <c:showSerName val="0"/>
              <c:showPercent val="0"/>
              <c:showBubbleSize val="0"/>
            </c:dLbl>
            <c:dLbl>
              <c:idx val="3"/>
              <c:layout>
                <c:manualLayout>
                  <c:x val="-0.05"/>
                  <c:y val="-3.5242290748898703E-2"/>
                </c:manualLayout>
              </c:layout>
              <c:showLegendKey val="0"/>
              <c:showVal val="1"/>
              <c:showCatName val="0"/>
              <c:showSerName val="0"/>
              <c:showPercent val="0"/>
              <c:showBubbleSize val="0"/>
            </c:dLbl>
            <c:dLbl>
              <c:idx val="4"/>
              <c:layout>
                <c:manualLayout>
                  <c:x val="-3.6111111111111198E-2"/>
                  <c:y val="5.28634361233489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'Panevėžio statybos trestas'!$B$1:$F$1</c:f>
              <c:numCache>
                <c:formatCode>General</c:formatCode>
                <c:ptCount val="5"/>
                <c:pt idx="0">
                  <c:v>2008</c:v>
                </c:pt>
                <c:pt idx="1">
                  <c:v>2009</c:v>
                </c:pt>
                <c:pt idx="2">
                  <c:v>2010</c:v>
                </c:pt>
                <c:pt idx="3">
                  <c:v>2011</c:v>
                </c:pt>
                <c:pt idx="4">
                  <c:v>2012</c:v>
                </c:pt>
              </c:numCache>
            </c:numRef>
          </c:cat>
          <c:val>
            <c:numRef>
              <c:f>'Panevėžio statybos trestas'!$B$12:$F$12</c:f>
              <c:numCache>
                <c:formatCode>0.00</c:formatCode>
                <c:ptCount val="5"/>
                <c:pt idx="0">
                  <c:v>0.269395211058998</c:v>
                </c:pt>
                <c:pt idx="1">
                  <c:v>0.426058756199926</c:v>
                </c:pt>
                <c:pt idx="2">
                  <c:v>0.47634133053532102</c:v>
                </c:pt>
                <c:pt idx="3">
                  <c:v>-9.8023118785006899E-2</c:v>
                </c:pt>
                <c:pt idx="4">
                  <c:v>-0.291202764630759</c:v>
                </c:pt>
              </c:numCache>
            </c:numRef>
          </c:val>
          <c:smooth val="0"/>
        </c:ser>
        <c:dLbls>
          <c:showLegendKey val="0"/>
          <c:showVal val="1"/>
          <c:showCatName val="0"/>
          <c:showSerName val="0"/>
          <c:showPercent val="0"/>
          <c:showBubbleSize val="0"/>
        </c:dLbls>
        <c:marker val="1"/>
        <c:smooth val="0"/>
        <c:axId val="210464768"/>
        <c:axId val="210466304"/>
      </c:lineChart>
      <c:catAx>
        <c:axId val="210464768"/>
        <c:scaling>
          <c:orientation val="minMax"/>
        </c:scaling>
        <c:delete val="0"/>
        <c:axPos val="b"/>
        <c:numFmt formatCode="General" sourceLinked="1"/>
        <c:majorTickMark val="none"/>
        <c:minorTickMark val="none"/>
        <c:tickLblPos val="nextTo"/>
        <c:crossAx val="210466304"/>
        <c:crosses val="autoZero"/>
        <c:auto val="1"/>
        <c:lblAlgn val="ctr"/>
        <c:lblOffset val="100"/>
        <c:noMultiLvlLbl val="0"/>
      </c:catAx>
      <c:valAx>
        <c:axId val="210466304"/>
        <c:scaling>
          <c:orientation val="minMax"/>
        </c:scaling>
        <c:delete val="0"/>
        <c:axPos val="l"/>
        <c:majorGridlines/>
        <c:numFmt formatCode="0.00" sourceLinked="1"/>
        <c:majorTickMark val="none"/>
        <c:minorTickMark val="none"/>
        <c:tickLblPos val="nextTo"/>
        <c:crossAx val="210464768"/>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'Pieno žvaigždės'!$A$8</c:f>
              <c:strCache>
                <c:ptCount val="1"/>
                <c:pt idx="0">
                  <c:v>Bendrasis likvidumas</c:v>
                </c:pt>
              </c:strCache>
            </c:strRef>
          </c:tx>
          <c:dLbls>
            <c:dLbl>
              <c:idx val="0"/>
              <c:layout>
                <c:manualLayout>
                  <c:x val="-4.1626324094037499E-2"/>
                  <c:y val="-5.6209177807997002E-2"/>
                </c:manualLayout>
              </c:layout>
              <c:showLegendKey val="0"/>
              <c:showVal val="1"/>
              <c:showCatName val="0"/>
              <c:showSerName val="0"/>
              <c:showPercent val="0"/>
              <c:showBubbleSize val="0"/>
            </c:dLbl>
            <c:dLbl>
              <c:idx val="1"/>
              <c:layout>
                <c:manualLayout>
                  <c:x val="-3.60761475481663E-2"/>
                  <c:y val="-7.0261472259996405E-2"/>
                </c:manualLayout>
              </c:layout>
              <c:showLegendKey val="0"/>
              <c:showVal val="1"/>
              <c:showCatName val="0"/>
              <c:showSerName val="0"/>
              <c:showPercent val="0"/>
              <c:showBubbleSize val="0"/>
            </c:dLbl>
            <c:dLbl>
              <c:idx val="2"/>
              <c:layout>
                <c:manualLayout>
                  <c:x val="-4.9951588912844999E-2"/>
                  <c:y val="-9.1339913937995093E-2"/>
                </c:manualLayout>
              </c:layout>
              <c:showLegendKey val="0"/>
              <c:showVal val="1"/>
              <c:showCatName val="0"/>
              <c:showSerName val="0"/>
              <c:showPercent val="0"/>
              <c:showBubbleSize val="0"/>
            </c:dLbl>
            <c:dLbl>
              <c:idx val="3"/>
              <c:layout>
                <c:manualLayout>
                  <c:x val="-4.1626324094037499E-2"/>
                  <c:y val="-4.2156883355997703E-2"/>
                </c:manualLayout>
              </c:layout>
              <c:showLegendKey val="0"/>
              <c:showVal val="1"/>
              <c:showCatName val="0"/>
              <c:showSerName val="0"/>
              <c:showPercent val="0"/>
              <c:showBubbleSize val="0"/>
            </c:dLbl>
            <c:dLbl>
              <c:idx val="4"/>
              <c:layout>
                <c:manualLayout>
                  <c:x val="-3.60761475481663E-2"/>
                  <c:y val="-7.72876194859958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'Pieno žvaigždės'!$B$1:$F$1</c:f>
              <c:numCache>
                <c:formatCode>General</c:formatCode>
                <c:ptCount val="5"/>
                <c:pt idx="0">
                  <c:v>2008</c:v>
                </c:pt>
                <c:pt idx="1">
                  <c:v>2009</c:v>
                </c:pt>
                <c:pt idx="2">
                  <c:v>2010</c:v>
                </c:pt>
                <c:pt idx="3">
                  <c:v>2011</c:v>
                </c:pt>
                <c:pt idx="4">
                  <c:v>2012</c:v>
                </c:pt>
              </c:numCache>
            </c:numRef>
          </c:cat>
          <c:val>
            <c:numRef>
              <c:f>'Pieno žvaigždės'!$B$8:$F$8</c:f>
              <c:numCache>
                <c:formatCode>0.00</c:formatCode>
                <c:ptCount val="5"/>
                <c:pt idx="0">
                  <c:v>0.90668527611869398</c:v>
                </c:pt>
                <c:pt idx="1">
                  <c:v>0.77225083308089404</c:v>
                </c:pt>
                <c:pt idx="2">
                  <c:v>1.0090475167290811</c:v>
                </c:pt>
                <c:pt idx="3">
                  <c:v>1.7231513933761751</c:v>
                </c:pt>
                <c:pt idx="4">
                  <c:v>1.1280271778694499</c:v>
                </c:pt>
              </c:numCache>
            </c:numRef>
          </c:val>
          <c:smooth val="0"/>
        </c:ser>
        <c:ser>
          <c:idx val="1"/>
          <c:order val="1"/>
          <c:tx>
            <c:strRef>
              <c:f>'Pieno žvaigždės'!$A$9</c:f>
              <c:strCache>
                <c:ptCount val="1"/>
                <c:pt idx="0">
                  <c:v>Greitasis likvidumas</c:v>
                </c:pt>
              </c:strCache>
            </c:strRef>
          </c:tx>
          <c:dLbls>
            <c:dLbl>
              <c:idx val="0"/>
              <c:layout>
                <c:manualLayout>
                  <c:x val="-3.3301059275229999E-2"/>
                  <c:y val="-3.5130736129998098E-2"/>
                </c:manualLayout>
              </c:layout>
              <c:showLegendKey val="0"/>
              <c:showVal val="1"/>
              <c:showCatName val="0"/>
              <c:showSerName val="0"/>
              <c:showPercent val="0"/>
              <c:showBubbleSize val="0"/>
            </c:dLbl>
            <c:dLbl>
              <c:idx val="1"/>
              <c:layout>
                <c:manualLayout>
                  <c:x val="-2.7750882729358401E-2"/>
                  <c:y val="2.8104588903998199E-2"/>
                </c:manualLayout>
              </c:layout>
              <c:showLegendKey val="0"/>
              <c:showVal val="1"/>
              <c:showCatName val="0"/>
              <c:showSerName val="0"/>
              <c:showPercent val="0"/>
              <c:showBubbleSize val="0"/>
            </c:dLbl>
            <c:dLbl>
              <c:idx val="2"/>
              <c:layout>
                <c:manualLayout>
                  <c:x val="-3.8851235821101802E-2"/>
                  <c:y val="-5.6209177807997002E-2"/>
                </c:manualLayout>
              </c:layout>
              <c:showLegendKey val="0"/>
              <c:showVal val="1"/>
              <c:showCatName val="0"/>
              <c:showSerName val="0"/>
              <c:showPercent val="0"/>
              <c:showBubbleSize val="0"/>
            </c:dLbl>
            <c:dLbl>
              <c:idx val="3"/>
              <c:layout>
                <c:manualLayout>
                  <c:x val="-4.1626324094037499E-2"/>
                  <c:y val="-6.3235325033996606E-2"/>
                </c:manualLayout>
              </c:layout>
              <c:showLegendKey val="0"/>
              <c:showVal val="1"/>
              <c:showCatName val="0"/>
              <c:showSerName val="0"/>
              <c:showPercent val="0"/>
              <c:showBubbleSize val="0"/>
            </c:dLbl>
            <c:dLbl>
              <c:idx val="4"/>
              <c:layout>
                <c:manualLayout>
                  <c:x val="-3.60761475481663E-2"/>
                  <c:y val="-7.026147225999640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'Pieno žvaigždės'!$B$1:$F$1</c:f>
              <c:numCache>
                <c:formatCode>General</c:formatCode>
                <c:ptCount val="5"/>
                <c:pt idx="0">
                  <c:v>2008</c:v>
                </c:pt>
                <c:pt idx="1">
                  <c:v>2009</c:v>
                </c:pt>
                <c:pt idx="2">
                  <c:v>2010</c:v>
                </c:pt>
                <c:pt idx="3">
                  <c:v>2011</c:v>
                </c:pt>
                <c:pt idx="4">
                  <c:v>2012</c:v>
                </c:pt>
              </c:numCache>
            </c:numRef>
          </c:cat>
          <c:val>
            <c:numRef>
              <c:f>'Pieno žvaigždės'!$B$9:$F$9</c:f>
              <c:numCache>
                <c:formatCode>0.00</c:formatCode>
                <c:ptCount val="5"/>
                <c:pt idx="0">
                  <c:v>0.44423662633990901</c:v>
                </c:pt>
                <c:pt idx="1">
                  <c:v>0.508095190009761</c:v>
                </c:pt>
                <c:pt idx="2">
                  <c:v>0.546143102707349</c:v>
                </c:pt>
                <c:pt idx="3">
                  <c:v>0.85864167227975996</c:v>
                </c:pt>
                <c:pt idx="4">
                  <c:v>0.68200275014155098</c:v>
                </c:pt>
              </c:numCache>
            </c:numRef>
          </c:val>
          <c:smooth val="0"/>
        </c:ser>
        <c:ser>
          <c:idx val="2"/>
          <c:order val="2"/>
          <c:tx>
            <c:strRef>
              <c:f>'Pieno žvaigždės'!$A$10</c:f>
              <c:strCache>
                <c:ptCount val="1"/>
                <c:pt idx="0">
                  <c:v>Kritinis likvidumas</c:v>
                </c:pt>
              </c:strCache>
            </c:strRef>
          </c:tx>
          <c:dLbls>
            <c:dLbl>
              <c:idx val="0"/>
              <c:layout>
                <c:manualLayout>
                  <c:x val="-1.1100353091743301E-2"/>
                  <c:y val="1.40522944519991E-2"/>
                </c:manualLayout>
              </c:layout>
              <c:showLegendKey val="0"/>
              <c:showVal val="1"/>
              <c:showCatName val="0"/>
              <c:showSerName val="0"/>
              <c:showPercent val="0"/>
              <c:showBubbleSize val="0"/>
            </c:dLbl>
            <c:dLbl>
              <c:idx val="1"/>
              <c:layout>
                <c:manualLayout>
                  <c:x val="-1.3875441364679201E-2"/>
                  <c:y val="7.0261472259996799E-3"/>
                </c:manualLayout>
              </c:layout>
              <c:showLegendKey val="0"/>
              <c:showVal val="1"/>
              <c:showCatName val="0"/>
              <c:showSerName val="0"/>
              <c:showPercent val="0"/>
              <c:showBubbleSize val="0"/>
            </c:dLbl>
            <c:dLbl>
              <c:idx val="2"/>
              <c:layout>
                <c:manualLayout>
                  <c:x val="-1.9425617910550801E-2"/>
                  <c:y val="0"/>
                </c:manualLayout>
              </c:layout>
              <c:showLegendKey val="0"/>
              <c:showVal val="1"/>
              <c:showCatName val="0"/>
              <c:showSerName val="0"/>
              <c:showPercent val="0"/>
              <c:showBubbleSize val="0"/>
            </c:dLbl>
            <c:dLbl>
              <c:idx val="3"/>
              <c:layout>
                <c:manualLayout>
                  <c:x val="-1.3875441364679201E-2"/>
                  <c:y val="0"/>
                </c:manualLayout>
              </c:layout>
              <c:showLegendKey val="0"/>
              <c:showVal val="1"/>
              <c:showCatName val="0"/>
              <c:showSerName val="0"/>
              <c:showPercent val="0"/>
              <c:showBubbleSize val="0"/>
            </c:dLbl>
            <c:dLbl>
              <c:idx val="4"/>
              <c:layout>
                <c:manualLayout>
                  <c:x val="-1.110035309174330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'Pieno žvaigždės'!$B$1:$F$1</c:f>
              <c:numCache>
                <c:formatCode>General</c:formatCode>
                <c:ptCount val="5"/>
                <c:pt idx="0">
                  <c:v>2008</c:v>
                </c:pt>
                <c:pt idx="1">
                  <c:v>2009</c:v>
                </c:pt>
                <c:pt idx="2">
                  <c:v>2010</c:v>
                </c:pt>
                <c:pt idx="3">
                  <c:v>2011</c:v>
                </c:pt>
                <c:pt idx="4">
                  <c:v>2012</c:v>
                </c:pt>
              </c:numCache>
            </c:numRef>
          </c:cat>
          <c:val>
            <c:numRef>
              <c:f>'Pieno žvaigždės'!$B$10:$F$10</c:f>
              <c:numCache>
                <c:formatCode>0.00</c:formatCode>
                <c:ptCount val="5"/>
                <c:pt idx="0">
                  <c:v>1.07757768221912E-2</c:v>
                </c:pt>
                <c:pt idx="1">
                  <c:v>4.1307347941701503E-2</c:v>
                </c:pt>
                <c:pt idx="2">
                  <c:v>2.7487875253238401E-2</c:v>
                </c:pt>
                <c:pt idx="3">
                  <c:v>2.2524630963661502E-2</c:v>
                </c:pt>
                <c:pt idx="4">
                  <c:v>3.6625414543395601E-2</c:v>
                </c:pt>
              </c:numCache>
            </c:numRef>
          </c:val>
          <c:smooth val="0"/>
        </c:ser>
        <c:ser>
          <c:idx val="3"/>
          <c:order val="3"/>
          <c:tx>
            <c:strRef>
              <c:f>'Pieno žvaigždės'!$A$12</c:f>
              <c:strCache>
                <c:ptCount val="1"/>
                <c:pt idx="0">
                  <c:v>Tr. Į. apmokėjimo pinigais koeficientas</c:v>
                </c:pt>
              </c:strCache>
            </c:strRef>
          </c:tx>
          <c:dLbls>
            <c:dLbl>
              <c:idx val="0"/>
              <c:layout>
                <c:manualLayout>
                  <c:x val="-4.1626324094037499E-2"/>
                  <c:y val="-4.21568833559978E-2"/>
                </c:manualLayout>
              </c:layout>
              <c:showLegendKey val="0"/>
              <c:showVal val="1"/>
              <c:showCatName val="0"/>
              <c:showSerName val="0"/>
              <c:showPercent val="0"/>
              <c:showBubbleSize val="0"/>
            </c:dLbl>
            <c:dLbl>
              <c:idx val="1"/>
              <c:layout>
                <c:manualLayout>
                  <c:x val="-1.6650529637615302E-2"/>
                  <c:y val="-1.40522944519991E-2"/>
                </c:manualLayout>
              </c:layout>
              <c:showLegendKey val="0"/>
              <c:showVal val="1"/>
              <c:showCatName val="0"/>
              <c:showSerName val="0"/>
              <c:showPercent val="0"/>
              <c:showBubbleSize val="0"/>
            </c:dLbl>
            <c:dLbl>
              <c:idx val="2"/>
              <c:layout>
                <c:manualLayout>
                  <c:x val="-5.5501765458716799E-3"/>
                  <c:y val="7.0261472259996799E-3"/>
                </c:manualLayout>
              </c:layout>
              <c:showLegendKey val="0"/>
              <c:showVal val="1"/>
              <c:showCatName val="0"/>
              <c:showSerName val="0"/>
              <c:showPercent val="0"/>
              <c:showBubbleSize val="0"/>
            </c:dLbl>
            <c:dLbl>
              <c:idx val="3"/>
              <c:layout>
                <c:manualLayout>
                  <c:x val="-2.7750882729358401E-2"/>
                  <c:y val="-3.5130736129998001E-2"/>
                </c:manualLayout>
              </c:layout>
              <c:showLegendKey val="0"/>
              <c:showVal val="1"/>
              <c:showCatName val="0"/>
              <c:showSerName val="0"/>
              <c:showPercent val="0"/>
              <c:showBubbleSize val="0"/>
            </c:dLbl>
            <c:dLbl>
              <c:idx val="4"/>
              <c:layout>
                <c:manualLayout>
                  <c:x val="-5.5501765458716799E-3"/>
                  <c:y val="1.4052294451999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'Pieno žvaigždės'!$B$1:$F$1</c:f>
              <c:numCache>
                <c:formatCode>General</c:formatCode>
                <c:ptCount val="5"/>
                <c:pt idx="0">
                  <c:v>2008</c:v>
                </c:pt>
                <c:pt idx="1">
                  <c:v>2009</c:v>
                </c:pt>
                <c:pt idx="2">
                  <c:v>2010</c:v>
                </c:pt>
                <c:pt idx="3">
                  <c:v>2011</c:v>
                </c:pt>
                <c:pt idx="4">
                  <c:v>2012</c:v>
                </c:pt>
              </c:numCache>
            </c:numRef>
          </c:cat>
          <c:val>
            <c:numRef>
              <c:f>'Pieno žvaigždės'!$B$12:$F$12</c:f>
              <c:numCache>
                <c:formatCode>0.00</c:formatCode>
                <c:ptCount val="5"/>
                <c:pt idx="0">
                  <c:v>5.3274265275101498E-2</c:v>
                </c:pt>
                <c:pt idx="1">
                  <c:v>0.68157797300481404</c:v>
                </c:pt>
                <c:pt idx="2">
                  <c:v>0.33489624900239701</c:v>
                </c:pt>
                <c:pt idx="3">
                  <c:v>0.43400728368705599</c:v>
                </c:pt>
                <c:pt idx="4">
                  <c:v>0.60264498908032105</c:v>
                </c:pt>
              </c:numCache>
            </c:numRef>
          </c:val>
          <c:smooth val="0"/>
        </c:ser>
        <c:dLbls>
          <c:showLegendKey val="0"/>
          <c:showVal val="1"/>
          <c:showCatName val="0"/>
          <c:showSerName val="0"/>
          <c:showPercent val="0"/>
          <c:showBubbleSize val="0"/>
        </c:dLbls>
        <c:marker val="1"/>
        <c:smooth val="0"/>
        <c:axId val="211260544"/>
        <c:axId val="211262080"/>
      </c:lineChart>
      <c:catAx>
        <c:axId val="211260544"/>
        <c:scaling>
          <c:orientation val="minMax"/>
        </c:scaling>
        <c:delete val="0"/>
        <c:axPos val="b"/>
        <c:numFmt formatCode="General" sourceLinked="1"/>
        <c:majorTickMark val="none"/>
        <c:minorTickMark val="none"/>
        <c:tickLblPos val="nextTo"/>
        <c:crossAx val="211262080"/>
        <c:crosses val="autoZero"/>
        <c:auto val="1"/>
        <c:lblAlgn val="ctr"/>
        <c:lblOffset val="100"/>
        <c:noMultiLvlLbl val="0"/>
      </c:catAx>
      <c:valAx>
        <c:axId val="211262080"/>
        <c:scaling>
          <c:orientation val="minMax"/>
        </c:scaling>
        <c:delete val="0"/>
        <c:axPos val="l"/>
        <c:majorGridlines/>
        <c:numFmt formatCode="0.00" sourceLinked="1"/>
        <c:majorTickMark val="none"/>
        <c:minorTickMark val="none"/>
        <c:tickLblPos val="nextTo"/>
        <c:crossAx val="211260544"/>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02187226597"/>
          <c:y val="5.1400554097404502E-2"/>
          <c:w val="0.53260892388451497"/>
          <c:h val="0.89719889180519197"/>
        </c:manualLayout>
      </c:layout>
      <c:lineChart>
        <c:grouping val="standard"/>
        <c:varyColors val="0"/>
        <c:ser>
          <c:idx val="0"/>
          <c:order val="0"/>
          <c:tx>
            <c:strRef>
              <c:f>'Rokiškio sūris'!$A$8</c:f>
              <c:strCache>
                <c:ptCount val="1"/>
                <c:pt idx="0">
                  <c:v>Bendrasis likvidumas</c:v>
                </c:pt>
              </c:strCache>
            </c:strRef>
          </c:tx>
          <c:dLbls>
            <c:dLbl>
              <c:idx val="0"/>
              <c:layout>
                <c:manualLayout>
                  <c:x val="-4.7222222222222297E-2"/>
                  <c:y val="-3.2407407407407801E-2"/>
                </c:manualLayout>
              </c:layout>
              <c:showLegendKey val="0"/>
              <c:showVal val="1"/>
              <c:showCatName val="0"/>
              <c:showSerName val="0"/>
              <c:showPercent val="0"/>
              <c:showBubbleSize val="0"/>
            </c:dLbl>
            <c:dLbl>
              <c:idx val="1"/>
              <c:layout>
                <c:manualLayout>
                  <c:x val="-4.1666666666666699E-2"/>
                  <c:y val="-4.1666666666666602E-2"/>
                </c:manualLayout>
              </c:layout>
              <c:showLegendKey val="0"/>
              <c:showVal val="1"/>
              <c:showCatName val="0"/>
              <c:showSerName val="0"/>
              <c:showPercent val="0"/>
              <c:showBubbleSize val="0"/>
            </c:dLbl>
            <c:dLbl>
              <c:idx val="2"/>
              <c:layout>
                <c:manualLayout>
                  <c:x val="-0.05"/>
                  <c:y val="-3.2407407407407801E-2"/>
                </c:manualLayout>
              </c:layout>
              <c:showLegendKey val="0"/>
              <c:showVal val="1"/>
              <c:showCatName val="0"/>
              <c:showSerName val="0"/>
              <c:showPercent val="0"/>
              <c:showBubbleSize val="0"/>
            </c:dLbl>
            <c:dLbl>
              <c:idx val="3"/>
              <c:layout>
                <c:manualLayout>
                  <c:x val="-5.8333333333334E-2"/>
                  <c:y val="-4.1666666666666699E-2"/>
                </c:manualLayout>
              </c:layout>
              <c:showLegendKey val="0"/>
              <c:showVal val="1"/>
              <c:showCatName val="0"/>
              <c:showSerName val="0"/>
              <c:showPercent val="0"/>
              <c:showBubbleSize val="0"/>
            </c:dLbl>
            <c:dLbl>
              <c:idx val="4"/>
              <c:layout>
                <c:manualLayout>
                  <c:x val="-3.6111111111111198E-2"/>
                  <c:y val="-2.777777777777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'Rokiškio sūris'!$B$1:$F$1</c:f>
              <c:numCache>
                <c:formatCode>General</c:formatCode>
                <c:ptCount val="5"/>
                <c:pt idx="0">
                  <c:v>2008</c:v>
                </c:pt>
                <c:pt idx="1">
                  <c:v>2009</c:v>
                </c:pt>
                <c:pt idx="2">
                  <c:v>2010</c:v>
                </c:pt>
                <c:pt idx="3">
                  <c:v>2011</c:v>
                </c:pt>
                <c:pt idx="4">
                  <c:v>2012</c:v>
                </c:pt>
              </c:numCache>
            </c:numRef>
          </c:cat>
          <c:val>
            <c:numRef>
              <c:f>'Rokiškio sūris'!$B$8:$F$8</c:f>
              <c:numCache>
                <c:formatCode>0.00</c:formatCode>
                <c:ptCount val="5"/>
                <c:pt idx="0">
                  <c:v>1.07618512494457</c:v>
                </c:pt>
                <c:pt idx="1">
                  <c:v>1.3542335058434121</c:v>
                </c:pt>
                <c:pt idx="2">
                  <c:v>1.589808241534062</c:v>
                </c:pt>
                <c:pt idx="3">
                  <c:v>1.6691107337814519</c:v>
                </c:pt>
                <c:pt idx="4">
                  <c:v>2.2941621716370948</c:v>
                </c:pt>
              </c:numCache>
            </c:numRef>
          </c:val>
          <c:smooth val="0"/>
        </c:ser>
        <c:ser>
          <c:idx val="1"/>
          <c:order val="1"/>
          <c:tx>
            <c:strRef>
              <c:f>'Rokiškio sūris'!$A$9</c:f>
              <c:strCache>
                <c:ptCount val="1"/>
                <c:pt idx="0">
                  <c:v>Greitasis likvidumas</c:v>
                </c:pt>
              </c:strCache>
            </c:strRef>
          </c:tx>
          <c:dLbls>
            <c:dLbl>
              <c:idx val="0"/>
              <c:layout>
                <c:manualLayout>
                  <c:x val="-0.05"/>
                  <c:y val="-4.1666666666666699E-2"/>
                </c:manualLayout>
              </c:layout>
              <c:showLegendKey val="0"/>
              <c:showVal val="1"/>
              <c:showCatName val="0"/>
              <c:showSerName val="0"/>
              <c:showPercent val="0"/>
              <c:showBubbleSize val="0"/>
            </c:dLbl>
            <c:dLbl>
              <c:idx val="1"/>
              <c:layout>
                <c:manualLayout>
                  <c:x val="-1.6666666666666701E-2"/>
                  <c:y val="-2.77777777777783E-2"/>
                </c:manualLayout>
              </c:layout>
              <c:showLegendKey val="0"/>
              <c:showVal val="1"/>
              <c:showCatName val="0"/>
              <c:showSerName val="0"/>
              <c:showPercent val="0"/>
              <c:showBubbleSize val="0"/>
            </c:dLbl>
            <c:dLbl>
              <c:idx val="2"/>
              <c:layout>
                <c:manualLayout>
                  <c:x val="-3.8888888888888903E-2"/>
                  <c:y val="-3.2407407407407801E-2"/>
                </c:manualLayout>
              </c:layout>
              <c:showLegendKey val="0"/>
              <c:showVal val="1"/>
              <c:showCatName val="0"/>
              <c:showSerName val="0"/>
              <c:showPercent val="0"/>
              <c:showBubbleSize val="0"/>
            </c:dLbl>
            <c:dLbl>
              <c:idx val="3"/>
              <c:layout>
                <c:manualLayout>
                  <c:x val="-4.72222222222222E-2"/>
                  <c:y val="-5.0925925925925902E-2"/>
                </c:manualLayout>
              </c:layout>
              <c:showLegendKey val="0"/>
              <c:showVal val="1"/>
              <c:showCatName val="0"/>
              <c:showSerName val="0"/>
              <c:showPercent val="0"/>
              <c:showBubbleSize val="0"/>
            </c:dLbl>
            <c:dLbl>
              <c:idx val="4"/>
              <c:layout>
                <c:manualLayout>
                  <c:x val="-4.4444444444444502E-2"/>
                  <c:y val="-4.6296296296296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'Rokiškio sūris'!$B$1:$F$1</c:f>
              <c:numCache>
                <c:formatCode>General</c:formatCode>
                <c:ptCount val="5"/>
                <c:pt idx="0">
                  <c:v>2008</c:v>
                </c:pt>
                <c:pt idx="1">
                  <c:v>2009</c:v>
                </c:pt>
                <c:pt idx="2">
                  <c:v>2010</c:v>
                </c:pt>
                <c:pt idx="3">
                  <c:v>2011</c:v>
                </c:pt>
                <c:pt idx="4">
                  <c:v>2012</c:v>
                </c:pt>
              </c:numCache>
            </c:numRef>
          </c:cat>
          <c:val>
            <c:numRef>
              <c:f>'Rokiškio sūris'!$B$9:$F$9</c:f>
              <c:numCache>
                <c:formatCode>0.00</c:formatCode>
                <c:ptCount val="5"/>
                <c:pt idx="0">
                  <c:v>0.60212923258910001</c:v>
                </c:pt>
                <c:pt idx="1">
                  <c:v>1.1882032951007599</c:v>
                </c:pt>
                <c:pt idx="2">
                  <c:v>1.1364504283965899</c:v>
                </c:pt>
                <c:pt idx="3">
                  <c:v>1.0562860470664179</c:v>
                </c:pt>
                <c:pt idx="4">
                  <c:v>1.5382721557816581</c:v>
                </c:pt>
              </c:numCache>
            </c:numRef>
          </c:val>
          <c:smooth val="0"/>
        </c:ser>
        <c:ser>
          <c:idx val="2"/>
          <c:order val="2"/>
          <c:tx>
            <c:strRef>
              <c:f>'Rokiškio sūris'!$A$10</c:f>
              <c:strCache>
                <c:ptCount val="1"/>
                <c:pt idx="0">
                  <c:v>Kritinis likvidumas</c:v>
                </c:pt>
              </c:strCache>
            </c:strRef>
          </c:tx>
          <c:dLbls>
            <c:dLbl>
              <c:idx val="0"/>
              <c:layout>
                <c:manualLayout>
                  <c:x val="-6.6666666666666693E-2"/>
                  <c:y val="-3.2407407407407801E-2"/>
                </c:manualLayout>
              </c:layout>
              <c:showLegendKey val="0"/>
              <c:showVal val="1"/>
              <c:showCatName val="0"/>
              <c:showSerName val="0"/>
              <c:showPercent val="0"/>
              <c:showBubbleSize val="0"/>
            </c:dLbl>
            <c:dLbl>
              <c:idx val="1"/>
              <c:layout>
                <c:manualLayout>
                  <c:x val="-4.4444444444444502E-2"/>
                  <c:y val="4.1666666666666803E-2"/>
                </c:manualLayout>
              </c:layout>
              <c:showLegendKey val="0"/>
              <c:showVal val="1"/>
              <c:showCatName val="0"/>
              <c:showSerName val="0"/>
              <c:showPercent val="0"/>
              <c:showBubbleSize val="0"/>
            </c:dLbl>
            <c:dLbl>
              <c:idx val="2"/>
              <c:layout>
                <c:manualLayout>
                  <c:x val="-3.3333333333333298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'Rokiškio sūris'!$B$1:$F$1</c:f>
              <c:numCache>
                <c:formatCode>General</c:formatCode>
                <c:ptCount val="5"/>
                <c:pt idx="0">
                  <c:v>2008</c:v>
                </c:pt>
                <c:pt idx="1">
                  <c:v>2009</c:v>
                </c:pt>
                <c:pt idx="2">
                  <c:v>2010</c:v>
                </c:pt>
                <c:pt idx="3">
                  <c:v>2011</c:v>
                </c:pt>
                <c:pt idx="4">
                  <c:v>2012</c:v>
                </c:pt>
              </c:numCache>
            </c:numRef>
          </c:cat>
          <c:val>
            <c:numRef>
              <c:f>'Rokiškio sūris'!$B$10:$F$10</c:f>
              <c:numCache>
                <c:formatCode>0.00</c:formatCode>
                <c:ptCount val="5"/>
                <c:pt idx="0">
                  <c:v>1.55552269702793E-2</c:v>
                </c:pt>
                <c:pt idx="1">
                  <c:v>0.68368931907129504</c:v>
                </c:pt>
                <c:pt idx="2">
                  <c:v>0.14607915136678901</c:v>
                </c:pt>
                <c:pt idx="3">
                  <c:v>5.8194524354134899E-2</c:v>
                </c:pt>
                <c:pt idx="4">
                  <c:v>4.8036395796317397E-2</c:v>
                </c:pt>
              </c:numCache>
            </c:numRef>
          </c:val>
          <c:smooth val="0"/>
        </c:ser>
        <c:ser>
          <c:idx val="3"/>
          <c:order val="3"/>
          <c:tx>
            <c:strRef>
              <c:f>'Rokiškio sūris'!$A$12</c:f>
              <c:strCache>
                <c:ptCount val="1"/>
                <c:pt idx="0">
                  <c:v>Tr. Į. apmokėjimo pinigais koeficientas</c:v>
                </c:pt>
              </c:strCache>
            </c:strRef>
          </c:tx>
          <c:dLbls>
            <c:dLbl>
              <c:idx val="0"/>
              <c:layout>
                <c:manualLayout>
                  <c:x val="-1.3888888888888999E-2"/>
                  <c:y val="2.77777777777783E-2"/>
                </c:manualLayout>
              </c:layout>
              <c:showLegendKey val="0"/>
              <c:showVal val="1"/>
              <c:showCatName val="0"/>
              <c:showSerName val="0"/>
              <c:showPercent val="0"/>
              <c:showBubbleSize val="0"/>
            </c:dLbl>
            <c:dLbl>
              <c:idx val="1"/>
              <c:layout>
                <c:manualLayout>
                  <c:x val="-3.6111111111111198E-2"/>
                  <c:y val="-1.8518518518518601E-2"/>
                </c:manualLayout>
              </c:layout>
              <c:showLegendKey val="0"/>
              <c:showVal val="1"/>
              <c:showCatName val="0"/>
              <c:showSerName val="0"/>
              <c:showPercent val="0"/>
              <c:showBubbleSize val="0"/>
            </c:dLbl>
            <c:dLbl>
              <c:idx val="3"/>
              <c:layout>
                <c:manualLayout>
                  <c:x val="-4.1666666666666602E-2"/>
                  <c:y val="-5.0925925925925902E-2"/>
                </c:manualLayout>
              </c:layout>
              <c:showLegendKey val="0"/>
              <c:showVal val="1"/>
              <c:showCatName val="0"/>
              <c:showSerName val="0"/>
              <c:showPercent val="0"/>
              <c:showBubbleSize val="0"/>
            </c:dLbl>
            <c:dLbl>
              <c:idx val="4"/>
              <c:layout>
                <c:manualLayout>
                  <c:x val="-3.8888888888888903E-2"/>
                  <c:y val="-2.777777777777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'Rokiškio sūris'!$B$1:$F$1</c:f>
              <c:numCache>
                <c:formatCode>General</c:formatCode>
                <c:ptCount val="5"/>
                <c:pt idx="0">
                  <c:v>2008</c:v>
                </c:pt>
                <c:pt idx="1">
                  <c:v>2009</c:v>
                </c:pt>
                <c:pt idx="2">
                  <c:v>2010</c:v>
                </c:pt>
                <c:pt idx="3">
                  <c:v>2011</c:v>
                </c:pt>
                <c:pt idx="4">
                  <c:v>2012</c:v>
                </c:pt>
              </c:numCache>
            </c:numRef>
          </c:cat>
          <c:val>
            <c:numRef>
              <c:f>'Rokiškio sūris'!$B$12:$F$12</c:f>
              <c:numCache>
                <c:formatCode>0.00</c:formatCode>
                <c:ptCount val="5"/>
                <c:pt idx="0">
                  <c:v>-0.24982404258465199</c:v>
                </c:pt>
                <c:pt idx="1">
                  <c:v>0.84268573095210697</c:v>
                </c:pt>
                <c:pt idx="2">
                  <c:v>-8.4487964096287199E-2</c:v>
                </c:pt>
                <c:pt idx="3">
                  <c:v>8.0892774448856994E-2</c:v>
                </c:pt>
                <c:pt idx="4">
                  <c:v>0.28752519739620502</c:v>
                </c:pt>
              </c:numCache>
            </c:numRef>
          </c:val>
          <c:smooth val="0"/>
        </c:ser>
        <c:dLbls>
          <c:showLegendKey val="0"/>
          <c:showVal val="1"/>
          <c:showCatName val="0"/>
          <c:showSerName val="0"/>
          <c:showPercent val="0"/>
          <c:showBubbleSize val="0"/>
        </c:dLbls>
        <c:marker val="1"/>
        <c:smooth val="0"/>
        <c:axId val="211917440"/>
        <c:axId val="212009344"/>
      </c:lineChart>
      <c:catAx>
        <c:axId val="211917440"/>
        <c:scaling>
          <c:orientation val="minMax"/>
        </c:scaling>
        <c:delete val="0"/>
        <c:axPos val="b"/>
        <c:numFmt formatCode="General" sourceLinked="1"/>
        <c:majorTickMark val="none"/>
        <c:minorTickMark val="none"/>
        <c:tickLblPos val="nextTo"/>
        <c:crossAx val="212009344"/>
        <c:crosses val="autoZero"/>
        <c:auto val="1"/>
        <c:lblAlgn val="ctr"/>
        <c:lblOffset val="100"/>
        <c:noMultiLvlLbl val="0"/>
      </c:catAx>
      <c:valAx>
        <c:axId val="212009344"/>
        <c:scaling>
          <c:orientation val="minMax"/>
        </c:scaling>
        <c:delete val="0"/>
        <c:axPos val="l"/>
        <c:majorGridlines/>
        <c:numFmt formatCode="0.00" sourceLinked="1"/>
        <c:majorTickMark val="none"/>
        <c:minorTickMark val="none"/>
        <c:tickLblPos val="nextTo"/>
        <c:crossAx val="211917440"/>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'Vilkyškių pieninė'!$A$8</c:f>
              <c:strCache>
                <c:ptCount val="1"/>
                <c:pt idx="0">
                  <c:v>Bendrasis likvidumas</c:v>
                </c:pt>
              </c:strCache>
            </c:strRef>
          </c:tx>
          <c:dLbls>
            <c:dLbl>
              <c:idx val="0"/>
              <c:layout>
                <c:manualLayout>
                  <c:x val="-4.7222222222222297E-2"/>
                  <c:y val="-3.2407407407407801E-2"/>
                </c:manualLayout>
              </c:layout>
              <c:showLegendKey val="0"/>
              <c:showVal val="1"/>
              <c:showCatName val="0"/>
              <c:showSerName val="0"/>
              <c:showPercent val="0"/>
              <c:showBubbleSize val="0"/>
            </c:dLbl>
            <c:dLbl>
              <c:idx val="1"/>
              <c:layout>
                <c:manualLayout>
                  <c:x val="-4.1666666666666699E-2"/>
                  <c:y val="-4.6296296296296502E-2"/>
                </c:manualLayout>
              </c:layout>
              <c:showLegendKey val="0"/>
              <c:showVal val="1"/>
              <c:showCatName val="0"/>
              <c:showSerName val="0"/>
              <c:showPercent val="0"/>
              <c:showBubbleSize val="0"/>
            </c:dLbl>
            <c:dLbl>
              <c:idx val="2"/>
              <c:layout>
                <c:manualLayout>
                  <c:x val="-3.8888888888888903E-2"/>
                  <c:y val="-4.6296296296296502E-2"/>
                </c:manualLayout>
              </c:layout>
              <c:showLegendKey val="0"/>
              <c:showVal val="1"/>
              <c:showCatName val="0"/>
              <c:showSerName val="0"/>
              <c:showPercent val="0"/>
              <c:showBubbleSize val="0"/>
            </c:dLbl>
            <c:dLbl>
              <c:idx val="3"/>
              <c:layout>
                <c:manualLayout>
                  <c:x val="-5.2777777777777701E-2"/>
                  <c:y val="-4.1666666666666699E-2"/>
                </c:manualLayout>
              </c:layout>
              <c:showLegendKey val="0"/>
              <c:showVal val="1"/>
              <c:showCatName val="0"/>
              <c:showSerName val="0"/>
              <c:showPercent val="0"/>
              <c:showBubbleSize val="0"/>
            </c:dLbl>
            <c:dLbl>
              <c:idx val="4"/>
              <c:layout>
                <c:manualLayout>
                  <c:x val="-0.05"/>
                  <c:y val="-4.6296296296296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'Vilkyškių pieninė'!$B$1:$F$1</c:f>
              <c:numCache>
                <c:formatCode>General</c:formatCode>
                <c:ptCount val="5"/>
                <c:pt idx="0">
                  <c:v>2008</c:v>
                </c:pt>
                <c:pt idx="1">
                  <c:v>2009</c:v>
                </c:pt>
                <c:pt idx="2">
                  <c:v>2010</c:v>
                </c:pt>
                <c:pt idx="3">
                  <c:v>2011</c:v>
                </c:pt>
                <c:pt idx="4">
                  <c:v>2012</c:v>
                </c:pt>
              </c:numCache>
            </c:numRef>
          </c:cat>
          <c:val>
            <c:numRef>
              <c:f>'Vilkyškių pieninė'!$B$8:$F$8</c:f>
              <c:numCache>
                <c:formatCode>0.00</c:formatCode>
                <c:ptCount val="5"/>
                <c:pt idx="0">
                  <c:v>0.92506996739663505</c:v>
                </c:pt>
                <c:pt idx="1">
                  <c:v>0.86287266296109599</c:v>
                </c:pt>
                <c:pt idx="2">
                  <c:v>0.56050462817507396</c:v>
                </c:pt>
                <c:pt idx="3">
                  <c:v>0.76117348019487996</c:v>
                </c:pt>
                <c:pt idx="4">
                  <c:v>0.85430753321135899</c:v>
                </c:pt>
              </c:numCache>
            </c:numRef>
          </c:val>
          <c:smooth val="0"/>
        </c:ser>
        <c:ser>
          <c:idx val="1"/>
          <c:order val="1"/>
          <c:tx>
            <c:strRef>
              <c:f>'Vilkyškių pieninė'!$A$9</c:f>
              <c:strCache>
                <c:ptCount val="1"/>
                <c:pt idx="0">
                  <c:v>Greitasis likvidumas</c:v>
                </c:pt>
              </c:strCache>
            </c:strRef>
          </c:tx>
          <c:dLbls>
            <c:dLbl>
              <c:idx val="0"/>
              <c:layout>
                <c:manualLayout>
                  <c:x val="-4.7222222222222297E-2"/>
                  <c:y val="-2.77777777777782E-2"/>
                </c:manualLayout>
              </c:layout>
              <c:showLegendKey val="0"/>
              <c:showVal val="1"/>
              <c:showCatName val="0"/>
              <c:showSerName val="0"/>
              <c:showPercent val="0"/>
              <c:showBubbleSize val="0"/>
            </c:dLbl>
            <c:dLbl>
              <c:idx val="1"/>
              <c:layout>
                <c:manualLayout>
                  <c:x val="-4.4444444444444502E-2"/>
                  <c:y val="-4.1666666666666699E-2"/>
                </c:manualLayout>
              </c:layout>
              <c:showLegendKey val="0"/>
              <c:showVal val="1"/>
              <c:showCatName val="0"/>
              <c:showSerName val="0"/>
              <c:showPercent val="0"/>
              <c:showBubbleSize val="0"/>
            </c:dLbl>
            <c:dLbl>
              <c:idx val="2"/>
              <c:layout>
                <c:manualLayout>
                  <c:x val="-4.1666666666666699E-2"/>
                  <c:y val="3.7037037037037097E-2"/>
                </c:manualLayout>
              </c:layout>
              <c:showLegendKey val="0"/>
              <c:showVal val="1"/>
              <c:showCatName val="0"/>
              <c:showSerName val="0"/>
              <c:showPercent val="0"/>
              <c:showBubbleSize val="0"/>
            </c:dLbl>
            <c:dLbl>
              <c:idx val="3"/>
              <c:layout>
                <c:manualLayout>
                  <c:x val="-0.05"/>
                  <c:y val="-3.7037037037037097E-2"/>
                </c:manualLayout>
              </c:layout>
              <c:showLegendKey val="0"/>
              <c:showVal val="1"/>
              <c:showCatName val="0"/>
              <c:showSerName val="0"/>
              <c:showPercent val="0"/>
              <c:showBubbleSize val="0"/>
            </c:dLbl>
            <c:dLbl>
              <c:idx val="4"/>
              <c:layout>
                <c:manualLayout>
                  <c:x val="-4.4444444444444502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'Vilkyškių pieninė'!$B$1:$F$1</c:f>
              <c:numCache>
                <c:formatCode>General</c:formatCode>
                <c:ptCount val="5"/>
                <c:pt idx="0">
                  <c:v>2008</c:v>
                </c:pt>
                <c:pt idx="1">
                  <c:v>2009</c:v>
                </c:pt>
                <c:pt idx="2">
                  <c:v>2010</c:v>
                </c:pt>
                <c:pt idx="3">
                  <c:v>2011</c:v>
                </c:pt>
                <c:pt idx="4">
                  <c:v>2012</c:v>
                </c:pt>
              </c:numCache>
            </c:numRef>
          </c:cat>
          <c:val>
            <c:numRef>
              <c:f>'Vilkyškių pieninė'!$B$9:$F$9</c:f>
              <c:numCache>
                <c:formatCode>0.00</c:formatCode>
                <c:ptCount val="5"/>
                <c:pt idx="0">
                  <c:v>0.49395539398136401</c:v>
                </c:pt>
                <c:pt idx="1">
                  <c:v>0.43364704396159698</c:v>
                </c:pt>
                <c:pt idx="2">
                  <c:v>0.28714019866109203</c:v>
                </c:pt>
                <c:pt idx="3">
                  <c:v>0.429146367295069</c:v>
                </c:pt>
                <c:pt idx="4">
                  <c:v>0.37765492005409501</c:v>
                </c:pt>
              </c:numCache>
            </c:numRef>
          </c:val>
          <c:smooth val="0"/>
        </c:ser>
        <c:ser>
          <c:idx val="2"/>
          <c:order val="2"/>
          <c:tx>
            <c:strRef>
              <c:f>'Vilkyškių pieninė'!$A$10</c:f>
              <c:strCache>
                <c:ptCount val="1"/>
                <c:pt idx="0">
                  <c:v>Kritinis likvidumas</c:v>
                </c:pt>
              </c:strCache>
            </c:strRef>
          </c:tx>
          <c:dLbls>
            <c:dLbl>
              <c:idx val="0"/>
              <c:layout>
                <c:manualLayout>
                  <c:x val="-4.1666666666666699E-2"/>
                  <c:y val="-2.77777777777782E-2"/>
                </c:manualLayout>
              </c:layout>
              <c:showLegendKey val="0"/>
              <c:showVal val="1"/>
              <c:showCatName val="0"/>
              <c:showSerName val="0"/>
              <c:showPercent val="0"/>
              <c:showBubbleSize val="0"/>
            </c:dLbl>
            <c:dLbl>
              <c:idx val="1"/>
              <c:layout>
                <c:manualLayout>
                  <c:x val="-4.1666666666666699E-2"/>
                  <c:y val="-2.3148148148148098E-2"/>
                </c:manualLayout>
              </c:layout>
              <c:showLegendKey val="0"/>
              <c:showVal val="1"/>
              <c:showCatName val="0"/>
              <c:showSerName val="0"/>
              <c:showPercent val="0"/>
              <c:showBubbleSize val="0"/>
            </c:dLbl>
            <c:dLbl>
              <c:idx val="2"/>
              <c:layout>
                <c:manualLayout>
                  <c:x val="-0.05"/>
                  <c:y val="-2.77777777777783E-2"/>
                </c:manualLayout>
              </c:layout>
              <c:showLegendKey val="0"/>
              <c:showVal val="1"/>
              <c:showCatName val="0"/>
              <c:showSerName val="0"/>
              <c:showPercent val="0"/>
              <c:showBubbleSize val="0"/>
            </c:dLbl>
            <c:dLbl>
              <c:idx val="3"/>
              <c:layout>
                <c:manualLayout>
                  <c:x val="-4.4444444444444398E-2"/>
                  <c:y val="-2.77777777777783E-2"/>
                </c:manualLayout>
              </c:layout>
              <c:showLegendKey val="0"/>
              <c:showVal val="1"/>
              <c:showCatName val="0"/>
              <c:showSerName val="0"/>
              <c:showPercent val="0"/>
              <c:showBubbleSize val="0"/>
            </c:dLbl>
            <c:dLbl>
              <c:idx val="4"/>
              <c:layout>
                <c:manualLayout>
                  <c:x val="-4.1666666666666699E-2"/>
                  <c:y val="-2.777777777777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'Vilkyškių pieninė'!$B$1:$F$1</c:f>
              <c:numCache>
                <c:formatCode>General</c:formatCode>
                <c:ptCount val="5"/>
                <c:pt idx="0">
                  <c:v>2008</c:v>
                </c:pt>
                <c:pt idx="1">
                  <c:v>2009</c:v>
                </c:pt>
                <c:pt idx="2">
                  <c:v>2010</c:v>
                </c:pt>
                <c:pt idx="3">
                  <c:v>2011</c:v>
                </c:pt>
                <c:pt idx="4">
                  <c:v>2012</c:v>
                </c:pt>
              </c:numCache>
            </c:numRef>
          </c:cat>
          <c:val>
            <c:numRef>
              <c:f>'Vilkyškių pieninė'!$B$10:$F$10</c:f>
              <c:numCache>
                <c:formatCode>0.00</c:formatCode>
                <c:ptCount val="5"/>
                <c:pt idx="0">
                  <c:v>1.03869124902623E-3</c:v>
                </c:pt>
                <c:pt idx="1">
                  <c:v>1.19062657908035E-2</c:v>
                </c:pt>
                <c:pt idx="2">
                  <c:v>3.74604248737222E-3</c:v>
                </c:pt>
                <c:pt idx="3">
                  <c:v>4.19402668926075E-3</c:v>
                </c:pt>
                <c:pt idx="4">
                  <c:v>1.7500596611248101E-2</c:v>
                </c:pt>
              </c:numCache>
            </c:numRef>
          </c:val>
          <c:smooth val="0"/>
        </c:ser>
        <c:ser>
          <c:idx val="3"/>
          <c:order val="3"/>
          <c:tx>
            <c:strRef>
              <c:f>'Vilkyškių pieninė'!$A$12</c:f>
              <c:strCache>
                <c:ptCount val="1"/>
                <c:pt idx="0">
                  <c:v>Tr. Į. apmokėjimo pinigais koeficientas</c:v>
                </c:pt>
              </c:strCache>
            </c:strRef>
          </c:tx>
          <c:dLbls>
            <c:dLbl>
              <c:idx val="0"/>
              <c:layout>
                <c:manualLayout>
                  <c:x val="-4.7184585542751498E-2"/>
                  <c:y val="6.5542030087368697E-2"/>
                </c:manualLayout>
              </c:layout>
              <c:showLegendKey val="0"/>
              <c:showVal val="1"/>
              <c:showCatName val="0"/>
              <c:showSerName val="0"/>
              <c:showPercent val="0"/>
              <c:showBubbleSize val="0"/>
            </c:dLbl>
            <c:dLbl>
              <c:idx val="1"/>
              <c:layout>
                <c:manualLayout>
                  <c:x val="-3.3333333333333298E-2"/>
                  <c:y val="4.1666666666666699E-2"/>
                </c:manualLayout>
              </c:layout>
              <c:showLegendKey val="0"/>
              <c:showVal val="1"/>
              <c:showCatName val="0"/>
              <c:showSerName val="0"/>
              <c:showPercent val="0"/>
              <c:showBubbleSize val="0"/>
            </c:dLbl>
            <c:dLbl>
              <c:idx val="2"/>
              <c:layout>
                <c:manualLayout>
                  <c:x val="-1.94444444444444E-2"/>
                  <c:y val="-1.3888888888888999E-2"/>
                </c:manualLayout>
              </c:layout>
              <c:showLegendKey val="0"/>
              <c:showVal val="1"/>
              <c:showCatName val="0"/>
              <c:showSerName val="0"/>
              <c:showPercent val="0"/>
              <c:showBubbleSize val="0"/>
            </c:dLbl>
            <c:dLbl>
              <c:idx val="3"/>
              <c:layout>
                <c:manualLayout>
                  <c:x val="-3.05555555555556E-2"/>
                  <c:y val="2.77777777777782E-2"/>
                </c:manualLayout>
              </c:layout>
              <c:showLegendKey val="0"/>
              <c:showVal val="1"/>
              <c:showCatName val="0"/>
              <c:showSerName val="0"/>
              <c:showPercent val="0"/>
              <c:showBubbleSize val="0"/>
            </c:dLbl>
            <c:dLbl>
              <c:idx val="4"/>
              <c:layout>
                <c:manualLayout>
                  <c:x val="-3.3333333333333298E-2"/>
                  <c:y val="3.70370370370370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'Vilkyškių pieninė'!$B$1:$F$1</c:f>
              <c:numCache>
                <c:formatCode>General</c:formatCode>
                <c:ptCount val="5"/>
                <c:pt idx="0">
                  <c:v>2008</c:v>
                </c:pt>
                <c:pt idx="1">
                  <c:v>2009</c:v>
                </c:pt>
                <c:pt idx="2">
                  <c:v>2010</c:v>
                </c:pt>
                <c:pt idx="3">
                  <c:v>2011</c:v>
                </c:pt>
                <c:pt idx="4">
                  <c:v>2012</c:v>
                </c:pt>
              </c:numCache>
            </c:numRef>
          </c:cat>
          <c:val>
            <c:numRef>
              <c:f>'Vilkyškių pieninė'!$B$12:$F$12</c:f>
              <c:numCache>
                <c:formatCode>0.00</c:formatCode>
                <c:ptCount val="5"/>
                <c:pt idx="0">
                  <c:v>-0.100753051155544</c:v>
                </c:pt>
                <c:pt idx="1">
                  <c:v>0.38280065689742698</c:v>
                </c:pt>
                <c:pt idx="2">
                  <c:v>0.47422481088527701</c:v>
                </c:pt>
                <c:pt idx="3">
                  <c:v>0.22630798559627399</c:v>
                </c:pt>
                <c:pt idx="4">
                  <c:v>0.36444992442924401</c:v>
                </c:pt>
              </c:numCache>
            </c:numRef>
          </c:val>
          <c:smooth val="0"/>
        </c:ser>
        <c:dLbls>
          <c:showLegendKey val="0"/>
          <c:showVal val="1"/>
          <c:showCatName val="0"/>
          <c:showSerName val="0"/>
          <c:showPercent val="0"/>
          <c:showBubbleSize val="0"/>
        </c:dLbls>
        <c:marker val="1"/>
        <c:smooth val="0"/>
        <c:axId val="212062208"/>
        <c:axId val="212063744"/>
      </c:lineChart>
      <c:catAx>
        <c:axId val="212062208"/>
        <c:scaling>
          <c:orientation val="minMax"/>
        </c:scaling>
        <c:delete val="0"/>
        <c:axPos val="b"/>
        <c:numFmt formatCode="General" sourceLinked="1"/>
        <c:majorTickMark val="none"/>
        <c:minorTickMark val="none"/>
        <c:tickLblPos val="nextTo"/>
        <c:crossAx val="212063744"/>
        <c:crosses val="autoZero"/>
        <c:auto val="1"/>
        <c:lblAlgn val="ctr"/>
        <c:lblOffset val="100"/>
        <c:noMultiLvlLbl val="0"/>
      </c:catAx>
      <c:valAx>
        <c:axId val="212063744"/>
        <c:scaling>
          <c:orientation val="minMax"/>
        </c:scaling>
        <c:delete val="0"/>
        <c:axPos val="l"/>
        <c:majorGridlines/>
        <c:numFmt formatCode="0.00" sourceLinked="1"/>
        <c:majorTickMark val="none"/>
        <c:minorTickMark val="none"/>
        <c:tickLblPos val="nextTo"/>
        <c:crossAx val="212062208"/>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'Anykščių vynas'!$A$8</c:f>
              <c:strCache>
                <c:ptCount val="1"/>
                <c:pt idx="0">
                  <c:v>Bendrasis likvidumas</c:v>
                </c:pt>
              </c:strCache>
            </c:strRef>
          </c:tx>
          <c:dLbls>
            <c:dLbl>
              <c:idx val="0"/>
              <c:layout>
                <c:manualLayout>
                  <c:x val="-0.05"/>
                  <c:y val="-3.7037037037037097E-2"/>
                </c:manualLayout>
              </c:layout>
              <c:showLegendKey val="0"/>
              <c:showVal val="1"/>
              <c:showCatName val="0"/>
              <c:showSerName val="0"/>
              <c:showPercent val="0"/>
              <c:showBubbleSize val="0"/>
            </c:dLbl>
            <c:dLbl>
              <c:idx val="1"/>
              <c:layout>
                <c:manualLayout>
                  <c:x val="-4.1666666666666699E-2"/>
                  <c:y val="-4.1666666666666699E-2"/>
                </c:manualLayout>
              </c:layout>
              <c:showLegendKey val="0"/>
              <c:showVal val="1"/>
              <c:showCatName val="0"/>
              <c:showSerName val="0"/>
              <c:showPercent val="0"/>
              <c:showBubbleSize val="0"/>
            </c:dLbl>
            <c:dLbl>
              <c:idx val="2"/>
              <c:layout>
                <c:manualLayout>
                  <c:x val="-4.1666666666666699E-2"/>
                  <c:y val="-5.0925925925925902E-2"/>
                </c:manualLayout>
              </c:layout>
              <c:showLegendKey val="0"/>
              <c:showVal val="1"/>
              <c:showCatName val="0"/>
              <c:showSerName val="0"/>
              <c:showPercent val="0"/>
              <c:showBubbleSize val="0"/>
            </c:dLbl>
            <c:dLbl>
              <c:idx val="3"/>
              <c:layout>
                <c:manualLayout>
                  <c:x val="-0.05"/>
                  <c:y val="-5.0925925925925902E-2"/>
                </c:manualLayout>
              </c:layout>
              <c:showLegendKey val="0"/>
              <c:showVal val="1"/>
              <c:showCatName val="0"/>
              <c:showSerName val="0"/>
              <c:showPercent val="0"/>
              <c:showBubbleSize val="0"/>
            </c:dLbl>
            <c:dLbl>
              <c:idx val="4"/>
              <c:layout>
                <c:manualLayout>
                  <c:x val="-3.8888888888888903E-2"/>
                  <c:y val="-4.6296296296296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'Anykščių vynas'!$B$1:$F$1</c:f>
              <c:numCache>
                <c:formatCode>General</c:formatCode>
                <c:ptCount val="5"/>
                <c:pt idx="0">
                  <c:v>2008</c:v>
                </c:pt>
                <c:pt idx="1">
                  <c:v>2009</c:v>
                </c:pt>
                <c:pt idx="2">
                  <c:v>2010</c:v>
                </c:pt>
                <c:pt idx="3">
                  <c:v>2011</c:v>
                </c:pt>
                <c:pt idx="4">
                  <c:v>2012</c:v>
                </c:pt>
              </c:numCache>
            </c:numRef>
          </c:cat>
          <c:val>
            <c:numRef>
              <c:f>'Anykščių vynas'!$B$8:$F$8</c:f>
              <c:numCache>
                <c:formatCode>0.00</c:formatCode>
                <c:ptCount val="5"/>
                <c:pt idx="0">
                  <c:v>1.400854153320521</c:v>
                </c:pt>
                <c:pt idx="1">
                  <c:v>1.2659660468876219</c:v>
                </c:pt>
                <c:pt idx="2">
                  <c:v>1.0414757465634381</c:v>
                </c:pt>
                <c:pt idx="3">
                  <c:v>0.54317174701221904</c:v>
                </c:pt>
                <c:pt idx="4">
                  <c:v>0.357642940490082</c:v>
                </c:pt>
              </c:numCache>
            </c:numRef>
          </c:val>
          <c:smooth val="0"/>
        </c:ser>
        <c:ser>
          <c:idx val="1"/>
          <c:order val="1"/>
          <c:tx>
            <c:strRef>
              <c:f>'Anykščių vynas'!$A$9</c:f>
              <c:strCache>
                <c:ptCount val="1"/>
                <c:pt idx="0">
                  <c:v>Greitasis likvidumas</c:v>
                </c:pt>
              </c:strCache>
            </c:strRef>
          </c:tx>
          <c:dLbls>
            <c:dLbl>
              <c:idx val="0"/>
              <c:layout>
                <c:manualLayout>
                  <c:x val="-0.05"/>
                  <c:y val="-4.1666666666666699E-2"/>
                </c:manualLayout>
              </c:layout>
              <c:showLegendKey val="0"/>
              <c:showVal val="1"/>
              <c:showCatName val="0"/>
              <c:showSerName val="0"/>
              <c:showPercent val="0"/>
              <c:showBubbleSize val="0"/>
            </c:dLbl>
            <c:dLbl>
              <c:idx val="1"/>
              <c:layout>
                <c:manualLayout>
                  <c:x val="-0.05"/>
                  <c:y val="-3.7037037037037097E-2"/>
                </c:manualLayout>
              </c:layout>
              <c:showLegendKey val="0"/>
              <c:showVal val="1"/>
              <c:showCatName val="0"/>
              <c:showSerName val="0"/>
              <c:showPercent val="0"/>
              <c:showBubbleSize val="0"/>
            </c:dLbl>
            <c:dLbl>
              <c:idx val="2"/>
              <c:layout>
                <c:manualLayout>
                  <c:x val="-3.8888888888888903E-2"/>
                  <c:y val="-5.0925925925925902E-2"/>
                </c:manualLayout>
              </c:layout>
              <c:showLegendKey val="0"/>
              <c:showVal val="1"/>
              <c:showCatName val="0"/>
              <c:showSerName val="0"/>
              <c:showPercent val="0"/>
              <c:showBubbleSize val="0"/>
            </c:dLbl>
            <c:dLbl>
              <c:idx val="3"/>
              <c:layout>
                <c:manualLayout>
                  <c:x val="-3.8888888888888799E-2"/>
                  <c:y val="-5.5555555555555601E-2"/>
                </c:manualLayout>
              </c:layout>
              <c:showLegendKey val="0"/>
              <c:showVal val="1"/>
              <c:showCatName val="0"/>
              <c:showSerName val="0"/>
              <c:showPercent val="0"/>
              <c:showBubbleSize val="0"/>
            </c:dLbl>
            <c:dLbl>
              <c:idx val="4"/>
              <c:layout>
                <c:manualLayout>
                  <c:x val="-4.1666666666666699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'Anykščių vynas'!$B$1:$F$1</c:f>
              <c:numCache>
                <c:formatCode>General</c:formatCode>
                <c:ptCount val="5"/>
                <c:pt idx="0">
                  <c:v>2008</c:v>
                </c:pt>
                <c:pt idx="1">
                  <c:v>2009</c:v>
                </c:pt>
                <c:pt idx="2">
                  <c:v>2010</c:v>
                </c:pt>
                <c:pt idx="3">
                  <c:v>2011</c:v>
                </c:pt>
                <c:pt idx="4">
                  <c:v>2012</c:v>
                </c:pt>
              </c:numCache>
            </c:numRef>
          </c:cat>
          <c:val>
            <c:numRef>
              <c:f>'Anykščių vynas'!$B$9:$F$9</c:f>
              <c:numCache>
                <c:formatCode>0.00</c:formatCode>
                <c:ptCount val="5"/>
                <c:pt idx="0">
                  <c:v>0.63830877642536898</c:v>
                </c:pt>
                <c:pt idx="1">
                  <c:v>0.87313777572467899</c:v>
                </c:pt>
                <c:pt idx="2">
                  <c:v>0.70769473850529996</c:v>
                </c:pt>
                <c:pt idx="3">
                  <c:v>0.27568148247616497</c:v>
                </c:pt>
                <c:pt idx="4">
                  <c:v>0.188614769128188</c:v>
                </c:pt>
              </c:numCache>
            </c:numRef>
          </c:val>
          <c:smooth val="0"/>
        </c:ser>
        <c:ser>
          <c:idx val="2"/>
          <c:order val="2"/>
          <c:tx>
            <c:strRef>
              <c:f>'Anykščių vynas'!$A$10</c:f>
              <c:strCache>
                <c:ptCount val="1"/>
                <c:pt idx="0">
                  <c:v>Kritinis likvidumas</c:v>
                </c:pt>
              </c:strCache>
            </c:strRef>
          </c:tx>
          <c:dLbls>
            <c:dLbl>
              <c:idx val="0"/>
              <c:layout>
                <c:manualLayout>
                  <c:x val="-4.1666666666666699E-2"/>
                  <c:y val="-1.8518518518518601E-2"/>
                </c:manualLayout>
              </c:layout>
              <c:showLegendKey val="0"/>
              <c:showVal val="1"/>
              <c:showCatName val="0"/>
              <c:showSerName val="0"/>
              <c:showPercent val="0"/>
              <c:showBubbleSize val="0"/>
            </c:dLbl>
            <c:dLbl>
              <c:idx val="1"/>
              <c:layout>
                <c:manualLayout>
                  <c:x val="-5.5555555555555497E-3"/>
                  <c:y val="-1.8518518518518601E-2"/>
                </c:manualLayout>
              </c:layout>
              <c:showLegendKey val="0"/>
              <c:showVal val="1"/>
              <c:showCatName val="0"/>
              <c:showSerName val="0"/>
              <c:showPercent val="0"/>
              <c:showBubbleSize val="0"/>
            </c:dLbl>
            <c:dLbl>
              <c:idx val="2"/>
              <c:layout>
                <c:manualLayout>
                  <c:x val="-3.8888888888888903E-2"/>
                  <c:y val="-2.777777777777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'Anykščių vynas'!$B$1:$F$1</c:f>
              <c:numCache>
                <c:formatCode>General</c:formatCode>
                <c:ptCount val="5"/>
                <c:pt idx="0">
                  <c:v>2008</c:v>
                </c:pt>
                <c:pt idx="1">
                  <c:v>2009</c:v>
                </c:pt>
                <c:pt idx="2">
                  <c:v>2010</c:v>
                </c:pt>
                <c:pt idx="3">
                  <c:v>2011</c:v>
                </c:pt>
                <c:pt idx="4">
                  <c:v>2012</c:v>
                </c:pt>
              </c:numCache>
            </c:numRef>
          </c:cat>
          <c:val>
            <c:numRef>
              <c:f>'Anykščių vynas'!$B$10:$F$10</c:f>
              <c:numCache>
                <c:formatCode>0.00</c:formatCode>
                <c:ptCount val="5"/>
                <c:pt idx="0">
                  <c:v>1.9175742045697199E-2</c:v>
                </c:pt>
                <c:pt idx="1">
                  <c:v>3.4646033029218497E-4</c:v>
                </c:pt>
                <c:pt idx="2">
                  <c:v>3.16005688102386E-4</c:v>
                </c:pt>
                <c:pt idx="3">
                  <c:v>3.02135087954881E-3</c:v>
                </c:pt>
                <c:pt idx="4">
                  <c:v>1.25020836806134E-2</c:v>
                </c:pt>
              </c:numCache>
            </c:numRef>
          </c:val>
          <c:smooth val="0"/>
        </c:ser>
        <c:ser>
          <c:idx val="3"/>
          <c:order val="3"/>
          <c:tx>
            <c:strRef>
              <c:f>'Anykščių vynas'!$A$12</c:f>
              <c:strCache>
                <c:ptCount val="1"/>
                <c:pt idx="0">
                  <c:v>Tr. Į. apmokėjimo pinigais koeficientas</c:v>
                </c:pt>
              </c:strCache>
            </c:strRef>
          </c:tx>
          <c:dLbls>
            <c:dLbl>
              <c:idx val="0"/>
              <c:layout>
                <c:manualLayout>
                  <c:x val="-3.8888888888888903E-2"/>
                  <c:y val="4.1666666666666699E-2"/>
                </c:manualLayout>
              </c:layout>
              <c:showLegendKey val="0"/>
              <c:showVal val="1"/>
              <c:showCatName val="0"/>
              <c:showSerName val="0"/>
              <c:showPercent val="0"/>
              <c:showBubbleSize val="0"/>
            </c:dLbl>
            <c:dLbl>
              <c:idx val="1"/>
              <c:layout>
                <c:manualLayout>
                  <c:x val="-2.7777777777778401E-2"/>
                  <c:y val="9.2592592592594305E-3"/>
                </c:manualLayout>
              </c:layout>
              <c:showLegendKey val="0"/>
              <c:showVal val="1"/>
              <c:showCatName val="0"/>
              <c:showSerName val="0"/>
              <c:showPercent val="0"/>
              <c:showBubbleSize val="0"/>
            </c:dLbl>
            <c:dLbl>
              <c:idx val="2"/>
              <c:layout>
                <c:manualLayout>
                  <c:x val="-8.60762458780652E-2"/>
                  <c:y val="9.9148632643600108E-3"/>
                </c:manualLayout>
              </c:layout>
              <c:showLegendKey val="0"/>
              <c:showVal val="1"/>
              <c:showCatName val="0"/>
              <c:showSerName val="0"/>
              <c:showPercent val="0"/>
              <c:showBubbleSize val="0"/>
            </c:dLbl>
            <c:dLbl>
              <c:idx val="3"/>
              <c:layout>
                <c:manualLayout>
                  <c:x val="-3.05555555555556E-2"/>
                  <c:y val="-2.3148148148148098E-2"/>
                </c:manualLayout>
              </c:layout>
              <c:showLegendKey val="0"/>
              <c:showVal val="1"/>
              <c:showCatName val="0"/>
              <c:showSerName val="0"/>
              <c:showPercent val="0"/>
              <c:showBubbleSize val="0"/>
            </c:dLbl>
            <c:dLbl>
              <c:idx val="4"/>
              <c:layout>
                <c:manualLayout>
                  <c:x val="-3.05555555555556E-2"/>
                  <c:y val="-2.77777777777785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'Anykščių vynas'!$B$1:$F$1</c:f>
              <c:numCache>
                <c:formatCode>General</c:formatCode>
                <c:ptCount val="5"/>
                <c:pt idx="0">
                  <c:v>2008</c:v>
                </c:pt>
                <c:pt idx="1">
                  <c:v>2009</c:v>
                </c:pt>
                <c:pt idx="2">
                  <c:v>2010</c:v>
                </c:pt>
                <c:pt idx="3">
                  <c:v>2011</c:v>
                </c:pt>
                <c:pt idx="4">
                  <c:v>2012</c:v>
                </c:pt>
              </c:numCache>
            </c:numRef>
          </c:cat>
          <c:val>
            <c:numRef>
              <c:f>'Anykščių vynas'!$B$12:$F$12</c:f>
              <c:numCache>
                <c:formatCode>0.00</c:formatCode>
                <c:ptCount val="5"/>
                <c:pt idx="0">
                  <c:v>-0.19513132607302999</c:v>
                </c:pt>
                <c:pt idx="1">
                  <c:v>-4.3192054509758701E-2</c:v>
                </c:pt>
                <c:pt idx="2">
                  <c:v>0.58397851161320902</c:v>
                </c:pt>
                <c:pt idx="3">
                  <c:v>1.4905331005774101E-2</c:v>
                </c:pt>
                <c:pt idx="4">
                  <c:v>4.0173362227037802E-2</c:v>
                </c:pt>
              </c:numCache>
            </c:numRef>
          </c:val>
          <c:smooth val="0"/>
        </c:ser>
        <c:dLbls>
          <c:showLegendKey val="0"/>
          <c:showVal val="1"/>
          <c:showCatName val="0"/>
          <c:showSerName val="0"/>
          <c:showPercent val="0"/>
          <c:showBubbleSize val="0"/>
        </c:dLbls>
        <c:marker val="1"/>
        <c:smooth val="0"/>
        <c:axId val="158392320"/>
        <c:axId val="158393856"/>
      </c:lineChart>
      <c:catAx>
        <c:axId val="158392320"/>
        <c:scaling>
          <c:orientation val="minMax"/>
        </c:scaling>
        <c:delete val="0"/>
        <c:axPos val="b"/>
        <c:numFmt formatCode="General" sourceLinked="1"/>
        <c:majorTickMark val="none"/>
        <c:minorTickMark val="none"/>
        <c:tickLblPos val="nextTo"/>
        <c:crossAx val="158393856"/>
        <c:crosses val="autoZero"/>
        <c:auto val="1"/>
        <c:lblAlgn val="ctr"/>
        <c:lblOffset val="100"/>
        <c:noMultiLvlLbl val="0"/>
      </c:catAx>
      <c:valAx>
        <c:axId val="158393856"/>
        <c:scaling>
          <c:orientation val="minMax"/>
        </c:scaling>
        <c:delete val="0"/>
        <c:axPos val="l"/>
        <c:majorGridlines/>
        <c:numFmt formatCode="0.00" sourceLinked="1"/>
        <c:majorTickMark val="none"/>
        <c:minorTickMark val="none"/>
        <c:tickLblPos val="nextTo"/>
        <c:crossAx val="158392320"/>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'Žemaitijos pienas'!$A$8</c:f>
              <c:strCache>
                <c:ptCount val="1"/>
                <c:pt idx="0">
                  <c:v>Bendrasis likvidumas</c:v>
                </c:pt>
              </c:strCache>
            </c:strRef>
          </c:tx>
          <c:dLbls>
            <c:dLbl>
              <c:idx val="0"/>
              <c:layout>
                <c:manualLayout>
                  <c:x val="-6.3888888888888898E-2"/>
                  <c:y val="-4.7619047619047603E-2"/>
                </c:manualLayout>
              </c:layout>
              <c:showLegendKey val="0"/>
              <c:showVal val="1"/>
              <c:showCatName val="0"/>
              <c:showSerName val="0"/>
              <c:showPercent val="0"/>
              <c:showBubbleSize val="0"/>
            </c:dLbl>
            <c:dLbl>
              <c:idx val="1"/>
              <c:layout>
                <c:manualLayout>
                  <c:x val="-1.6666666666666701E-2"/>
                  <c:y val="-2.64550264550267E-2"/>
                </c:manualLayout>
              </c:layout>
              <c:showLegendKey val="0"/>
              <c:showVal val="1"/>
              <c:showCatName val="0"/>
              <c:showSerName val="0"/>
              <c:showPercent val="0"/>
              <c:showBubbleSize val="0"/>
            </c:dLbl>
            <c:dLbl>
              <c:idx val="2"/>
              <c:layout>
                <c:manualLayout>
                  <c:x val="-2.2222222222222299E-2"/>
                  <c:y val="-2.64550264550267E-2"/>
                </c:manualLayout>
              </c:layout>
              <c:showLegendKey val="0"/>
              <c:showVal val="1"/>
              <c:showCatName val="0"/>
              <c:showSerName val="0"/>
              <c:showPercent val="0"/>
              <c:showBubbleSize val="0"/>
            </c:dLbl>
            <c:dLbl>
              <c:idx val="3"/>
              <c:layout>
                <c:manualLayout>
                  <c:x val="8.3333333333333402E-3"/>
                  <c:y val="1.05820105820106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'Žemaitijos pienas'!$B$1:$F$1</c:f>
              <c:numCache>
                <c:formatCode>General</c:formatCode>
                <c:ptCount val="5"/>
                <c:pt idx="0">
                  <c:v>2008</c:v>
                </c:pt>
                <c:pt idx="1">
                  <c:v>2009</c:v>
                </c:pt>
                <c:pt idx="2">
                  <c:v>2010</c:v>
                </c:pt>
                <c:pt idx="3">
                  <c:v>2011</c:v>
                </c:pt>
                <c:pt idx="4">
                  <c:v>2012</c:v>
                </c:pt>
              </c:numCache>
            </c:numRef>
          </c:cat>
          <c:val>
            <c:numRef>
              <c:f>'Žemaitijos pienas'!$B$8:$F$8</c:f>
              <c:numCache>
                <c:formatCode>0.00</c:formatCode>
                <c:ptCount val="5"/>
                <c:pt idx="0">
                  <c:v>1.8180384628569479</c:v>
                </c:pt>
                <c:pt idx="1">
                  <c:v>2.9897253990581572</c:v>
                </c:pt>
                <c:pt idx="2">
                  <c:v>2.580900965480164</c:v>
                </c:pt>
                <c:pt idx="3">
                  <c:v>1.7508990619040921</c:v>
                </c:pt>
                <c:pt idx="4">
                  <c:v>2.4833999173439878</c:v>
                </c:pt>
              </c:numCache>
            </c:numRef>
          </c:val>
          <c:smooth val="0"/>
        </c:ser>
        <c:ser>
          <c:idx val="1"/>
          <c:order val="1"/>
          <c:tx>
            <c:strRef>
              <c:f>'Žemaitijos pienas'!$A$9</c:f>
              <c:strCache>
                <c:ptCount val="1"/>
                <c:pt idx="0">
                  <c:v>Greitasis likvidumas</c:v>
                </c:pt>
              </c:strCache>
            </c:strRef>
          </c:tx>
          <c:dLbls>
            <c:dLbl>
              <c:idx val="0"/>
              <c:layout>
                <c:manualLayout>
                  <c:x val="-7.4999999999999997E-2"/>
                  <c:y val="-2.64550264550267E-2"/>
                </c:manualLayout>
              </c:layout>
              <c:showLegendKey val="0"/>
              <c:showVal val="1"/>
              <c:showCatName val="0"/>
              <c:showSerName val="0"/>
              <c:showPercent val="0"/>
              <c:showBubbleSize val="0"/>
            </c:dLbl>
            <c:dLbl>
              <c:idx val="1"/>
              <c:layout>
                <c:manualLayout>
                  <c:x val="-1.3888888888888999E-2"/>
                  <c:y val="-5.2910052910052898E-3"/>
                </c:manualLayout>
              </c:layout>
              <c:showLegendKey val="0"/>
              <c:showVal val="1"/>
              <c:showCatName val="0"/>
              <c:showSerName val="0"/>
              <c:showPercent val="0"/>
              <c:showBubbleSize val="0"/>
            </c:dLbl>
            <c:dLbl>
              <c:idx val="2"/>
              <c:layout>
                <c:manualLayout>
                  <c:x val="-1.6666666666666701E-2"/>
                  <c:y val="-4.7619047619047603E-2"/>
                </c:manualLayout>
              </c:layout>
              <c:showLegendKey val="0"/>
              <c:showVal val="1"/>
              <c:showCatName val="0"/>
              <c:showSerName val="0"/>
              <c:showPercent val="0"/>
              <c:showBubbleSize val="0"/>
            </c:dLbl>
            <c:dLbl>
              <c:idx val="3"/>
              <c:layout>
                <c:manualLayout>
                  <c:x val="-3.05555555555556E-2"/>
                  <c:y val="-4.7619047619047603E-2"/>
                </c:manualLayout>
              </c:layout>
              <c:showLegendKey val="0"/>
              <c:showVal val="1"/>
              <c:showCatName val="0"/>
              <c:showSerName val="0"/>
              <c:showPercent val="0"/>
              <c:showBubbleSize val="0"/>
            </c:dLbl>
            <c:dLbl>
              <c:idx val="4"/>
              <c:layout>
                <c:manualLayout>
                  <c:x val="-3.05555555555556E-2"/>
                  <c:y val="-5.82010582010579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'Žemaitijos pienas'!$B$1:$F$1</c:f>
              <c:numCache>
                <c:formatCode>General</c:formatCode>
                <c:ptCount val="5"/>
                <c:pt idx="0">
                  <c:v>2008</c:v>
                </c:pt>
                <c:pt idx="1">
                  <c:v>2009</c:v>
                </c:pt>
                <c:pt idx="2">
                  <c:v>2010</c:v>
                </c:pt>
                <c:pt idx="3">
                  <c:v>2011</c:v>
                </c:pt>
                <c:pt idx="4">
                  <c:v>2012</c:v>
                </c:pt>
              </c:numCache>
            </c:numRef>
          </c:cat>
          <c:val>
            <c:numRef>
              <c:f>'Žemaitijos pienas'!$B$9:$F$9</c:f>
              <c:numCache>
                <c:formatCode>0.00</c:formatCode>
                <c:ptCount val="5"/>
                <c:pt idx="0">
                  <c:v>0.86392307428611104</c:v>
                </c:pt>
                <c:pt idx="1">
                  <c:v>1.9739465476117679</c:v>
                </c:pt>
                <c:pt idx="2">
                  <c:v>1.3841087789252129</c:v>
                </c:pt>
                <c:pt idx="3">
                  <c:v>0.72467588978332997</c:v>
                </c:pt>
                <c:pt idx="4">
                  <c:v>0.80145336823253499</c:v>
                </c:pt>
              </c:numCache>
            </c:numRef>
          </c:val>
          <c:smooth val="0"/>
        </c:ser>
        <c:ser>
          <c:idx val="2"/>
          <c:order val="2"/>
          <c:tx>
            <c:strRef>
              <c:f>'Žemaitijos pienas'!$A$10</c:f>
              <c:strCache>
                <c:ptCount val="1"/>
                <c:pt idx="0">
                  <c:v>Kritinis likvidumas</c:v>
                </c:pt>
              </c:strCache>
            </c:strRef>
          </c:tx>
          <c:dLbls>
            <c:dLbl>
              <c:idx val="0"/>
              <c:layout>
                <c:manualLayout>
                  <c:x val="-6.3888888888888898E-2"/>
                  <c:y val="-2.64550264550267E-2"/>
                </c:manualLayout>
              </c:layout>
              <c:showLegendKey val="0"/>
              <c:showVal val="1"/>
              <c:showCatName val="0"/>
              <c:showSerName val="0"/>
              <c:showPercent val="0"/>
              <c:showBubbleSize val="0"/>
            </c:dLbl>
            <c:dLbl>
              <c:idx val="1"/>
              <c:layout>
                <c:manualLayout>
                  <c:x val="-4.1666666666666699E-2"/>
                  <c:y val="-2.1164021164021201E-2"/>
                </c:manualLayout>
              </c:layout>
              <c:showLegendKey val="0"/>
              <c:showVal val="1"/>
              <c:showCatName val="0"/>
              <c:showSerName val="0"/>
              <c:showPercent val="0"/>
              <c:showBubbleSize val="0"/>
            </c:dLbl>
            <c:dLbl>
              <c:idx val="2"/>
              <c:layout>
                <c:manualLayout>
                  <c:x val="-0.05"/>
                  <c:y val="2.64550264550267E-2"/>
                </c:manualLayout>
              </c:layout>
              <c:showLegendKey val="0"/>
              <c:showVal val="1"/>
              <c:showCatName val="0"/>
              <c:showSerName val="0"/>
              <c:showPercent val="0"/>
              <c:showBubbleSize val="0"/>
            </c:dLbl>
            <c:dLbl>
              <c:idx val="3"/>
              <c:layout>
                <c:manualLayout>
                  <c:x val="-0.05"/>
                  <c:y val="-3.1746031746031703E-2"/>
                </c:manualLayout>
              </c:layout>
              <c:showLegendKey val="0"/>
              <c:showVal val="1"/>
              <c:showCatName val="0"/>
              <c:showSerName val="0"/>
              <c:showPercent val="0"/>
              <c:showBubbleSize val="0"/>
            </c:dLbl>
            <c:dLbl>
              <c:idx val="4"/>
              <c:layout>
                <c:manualLayout>
                  <c:x val="-3.05555555555556E-2"/>
                  <c:y val="-1.58734324876057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'Žemaitijos pienas'!$B$1:$F$1</c:f>
              <c:numCache>
                <c:formatCode>General</c:formatCode>
                <c:ptCount val="5"/>
                <c:pt idx="0">
                  <c:v>2008</c:v>
                </c:pt>
                <c:pt idx="1">
                  <c:v>2009</c:v>
                </c:pt>
                <c:pt idx="2">
                  <c:v>2010</c:v>
                </c:pt>
                <c:pt idx="3">
                  <c:v>2011</c:v>
                </c:pt>
                <c:pt idx="4">
                  <c:v>2012</c:v>
                </c:pt>
              </c:numCache>
            </c:numRef>
          </c:cat>
          <c:val>
            <c:numRef>
              <c:f>'Žemaitijos pienas'!$B$10:$F$10</c:f>
              <c:numCache>
                <c:formatCode>0.00</c:formatCode>
                <c:ptCount val="5"/>
                <c:pt idx="0">
                  <c:v>0.15206883548730199</c:v>
                </c:pt>
                <c:pt idx="1">
                  <c:v>0.74224818053942099</c:v>
                </c:pt>
                <c:pt idx="2">
                  <c:v>0.18693577652830501</c:v>
                </c:pt>
                <c:pt idx="3">
                  <c:v>0.111842021065564</c:v>
                </c:pt>
                <c:pt idx="4">
                  <c:v>9.9686595949855794E-2</c:v>
                </c:pt>
              </c:numCache>
            </c:numRef>
          </c:val>
          <c:smooth val="0"/>
        </c:ser>
        <c:ser>
          <c:idx val="3"/>
          <c:order val="3"/>
          <c:tx>
            <c:strRef>
              <c:f>'Žemaitijos pienas'!$A$12</c:f>
              <c:strCache>
                <c:ptCount val="1"/>
                <c:pt idx="0">
                  <c:v>Tr. Į. apmokėjimo pinigais koeficientas</c:v>
                </c:pt>
              </c:strCache>
            </c:strRef>
          </c:tx>
          <c:dLbls>
            <c:dLbl>
              <c:idx val="1"/>
              <c:layout>
                <c:manualLayout>
                  <c:x val="-3.05555555555556E-2"/>
                  <c:y val="-1.58730158730159E-2"/>
                </c:manualLayout>
              </c:layout>
              <c:showLegendKey val="0"/>
              <c:showVal val="1"/>
              <c:showCatName val="0"/>
              <c:showSerName val="0"/>
              <c:showPercent val="0"/>
              <c:showBubbleSize val="0"/>
            </c:dLbl>
            <c:dLbl>
              <c:idx val="2"/>
              <c:layout>
                <c:manualLayout>
                  <c:x val="-2.77777777777783E-2"/>
                  <c:y val="-4.7619047619047498E-2"/>
                </c:manualLayout>
              </c:layout>
              <c:showLegendKey val="0"/>
              <c:showVal val="1"/>
              <c:showCatName val="0"/>
              <c:showSerName val="0"/>
              <c:showPercent val="0"/>
              <c:showBubbleSize val="0"/>
            </c:dLbl>
            <c:dLbl>
              <c:idx val="3"/>
              <c:layout>
                <c:manualLayout>
                  <c:x val="-1.6666666666666701E-2"/>
                  <c:y val="0"/>
                </c:manualLayout>
              </c:layout>
              <c:showLegendKey val="0"/>
              <c:showVal val="1"/>
              <c:showCatName val="0"/>
              <c:showSerName val="0"/>
              <c:showPercent val="0"/>
              <c:showBubbleSize val="0"/>
            </c:dLbl>
            <c:dLbl>
              <c:idx val="4"/>
              <c:layout>
                <c:manualLayout>
                  <c:x val="-1.3888888888888999E-2"/>
                  <c:y val="-5.291005291005289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'Žemaitijos pienas'!$B$1:$F$1</c:f>
              <c:numCache>
                <c:formatCode>General</c:formatCode>
                <c:ptCount val="5"/>
                <c:pt idx="0">
                  <c:v>2008</c:v>
                </c:pt>
                <c:pt idx="1">
                  <c:v>2009</c:v>
                </c:pt>
                <c:pt idx="2">
                  <c:v>2010</c:v>
                </c:pt>
                <c:pt idx="3">
                  <c:v>2011</c:v>
                </c:pt>
                <c:pt idx="4">
                  <c:v>2012</c:v>
                </c:pt>
              </c:numCache>
            </c:numRef>
          </c:cat>
          <c:val>
            <c:numRef>
              <c:f>'Žemaitijos pienas'!$B$12:$F$12</c:f>
              <c:numCache>
                <c:formatCode>0.00</c:formatCode>
                <c:ptCount val="5"/>
                <c:pt idx="0">
                  <c:v>-7.9273936443729001E-2</c:v>
                </c:pt>
                <c:pt idx="1">
                  <c:v>1.486973273805883</c:v>
                </c:pt>
                <c:pt idx="2">
                  <c:v>0.25102484263345398</c:v>
                </c:pt>
                <c:pt idx="3">
                  <c:v>-8.3955104495950506E-3</c:v>
                </c:pt>
                <c:pt idx="4">
                  <c:v>0.57225513156082197</c:v>
                </c:pt>
              </c:numCache>
            </c:numRef>
          </c:val>
          <c:smooth val="0"/>
        </c:ser>
        <c:dLbls>
          <c:showLegendKey val="0"/>
          <c:showVal val="1"/>
          <c:showCatName val="0"/>
          <c:showSerName val="0"/>
          <c:showPercent val="0"/>
          <c:showBubbleSize val="0"/>
        </c:dLbls>
        <c:marker val="1"/>
        <c:smooth val="0"/>
        <c:axId val="212169856"/>
        <c:axId val="212171392"/>
      </c:lineChart>
      <c:catAx>
        <c:axId val="212169856"/>
        <c:scaling>
          <c:orientation val="minMax"/>
        </c:scaling>
        <c:delete val="0"/>
        <c:axPos val="b"/>
        <c:numFmt formatCode="General" sourceLinked="1"/>
        <c:majorTickMark val="none"/>
        <c:minorTickMark val="none"/>
        <c:tickLblPos val="nextTo"/>
        <c:crossAx val="212171392"/>
        <c:crosses val="autoZero"/>
        <c:auto val="1"/>
        <c:lblAlgn val="ctr"/>
        <c:lblOffset val="100"/>
        <c:noMultiLvlLbl val="0"/>
      </c:catAx>
      <c:valAx>
        <c:axId val="212171392"/>
        <c:scaling>
          <c:orientation val="minMax"/>
        </c:scaling>
        <c:delete val="0"/>
        <c:axPos val="l"/>
        <c:majorGridlines/>
        <c:numFmt formatCode="0.00" sourceLinked="1"/>
        <c:majorTickMark val="none"/>
        <c:minorTickMark val="none"/>
        <c:tickLblPos val="nextTo"/>
        <c:crossAx val="212169856"/>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Snaigė!$A$8</c:f>
              <c:strCache>
                <c:ptCount val="1"/>
                <c:pt idx="0">
                  <c:v>Bendrasis likvidumas</c:v>
                </c:pt>
              </c:strCache>
            </c:strRef>
          </c:tx>
          <c:dLbls>
            <c:dLbl>
              <c:idx val="0"/>
              <c:layout>
                <c:manualLayout>
                  <c:x val="-4.4444444444444502E-2"/>
                  <c:y val="-3.2407407407407801E-2"/>
                </c:manualLayout>
              </c:layout>
              <c:showLegendKey val="0"/>
              <c:showVal val="1"/>
              <c:showCatName val="0"/>
              <c:showSerName val="0"/>
              <c:showPercent val="0"/>
              <c:showBubbleSize val="0"/>
            </c:dLbl>
            <c:dLbl>
              <c:idx val="1"/>
              <c:layout>
                <c:manualLayout>
                  <c:x val="-3.3333333333333298E-2"/>
                  <c:y val="-5.0925925925925902E-2"/>
                </c:manualLayout>
              </c:layout>
              <c:showLegendKey val="0"/>
              <c:showVal val="1"/>
              <c:showCatName val="0"/>
              <c:showSerName val="0"/>
              <c:showPercent val="0"/>
              <c:showBubbleSize val="0"/>
            </c:dLbl>
            <c:dLbl>
              <c:idx val="2"/>
              <c:layout>
                <c:manualLayout>
                  <c:x val="-1.38888888888891E-2"/>
                  <c:y val="0"/>
                </c:manualLayout>
              </c:layout>
              <c:showLegendKey val="0"/>
              <c:showVal val="1"/>
              <c:showCatName val="0"/>
              <c:showSerName val="0"/>
              <c:showPercent val="0"/>
              <c:showBubbleSize val="0"/>
            </c:dLbl>
            <c:dLbl>
              <c:idx val="3"/>
              <c:layout>
                <c:manualLayout>
                  <c:x val="-1.94444444444444E-2"/>
                  <c:y val="4.6296296296296996E-3"/>
                </c:manualLayout>
              </c:layout>
              <c:showLegendKey val="0"/>
              <c:showVal val="1"/>
              <c:showCatName val="0"/>
              <c:showSerName val="0"/>
              <c:showPercent val="0"/>
              <c:showBubbleSize val="0"/>
            </c:dLbl>
            <c:dLbl>
              <c:idx val="4"/>
              <c:layout>
                <c:manualLayout>
                  <c:x val="-3.8888888888888903E-2"/>
                  <c:y val="2.777777777777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Snaigė!$B$1:$F$1</c:f>
              <c:numCache>
                <c:formatCode>General</c:formatCode>
                <c:ptCount val="5"/>
                <c:pt idx="0">
                  <c:v>2008</c:v>
                </c:pt>
                <c:pt idx="1">
                  <c:v>2009</c:v>
                </c:pt>
                <c:pt idx="2">
                  <c:v>2010</c:v>
                </c:pt>
                <c:pt idx="3">
                  <c:v>2011</c:v>
                </c:pt>
                <c:pt idx="4">
                  <c:v>2012</c:v>
                </c:pt>
              </c:numCache>
            </c:numRef>
          </c:cat>
          <c:val>
            <c:numRef>
              <c:f>Snaigė!$B$8:$F$8</c:f>
              <c:numCache>
                <c:formatCode>0.00</c:formatCode>
                <c:ptCount val="5"/>
                <c:pt idx="0">
                  <c:v>0.86028556581128901</c:v>
                </c:pt>
                <c:pt idx="1">
                  <c:v>0.53703285855310001</c:v>
                </c:pt>
                <c:pt idx="2">
                  <c:v>0.63157786885245804</c:v>
                </c:pt>
                <c:pt idx="3">
                  <c:v>0.81982609665013695</c:v>
                </c:pt>
                <c:pt idx="4">
                  <c:v>1.171761280931586</c:v>
                </c:pt>
              </c:numCache>
            </c:numRef>
          </c:val>
          <c:smooth val="0"/>
        </c:ser>
        <c:ser>
          <c:idx val="1"/>
          <c:order val="1"/>
          <c:tx>
            <c:strRef>
              <c:f>Snaigė!$A$9</c:f>
              <c:strCache>
                <c:ptCount val="1"/>
                <c:pt idx="0">
                  <c:v>Greitasis likvidumas</c:v>
                </c:pt>
              </c:strCache>
            </c:strRef>
          </c:tx>
          <c:dLbls>
            <c:dLbl>
              <c:idx val="0"/>
              <c:layout>
                <c:manualLayout>
                  <c:x val="-3.6111111111111198E-2"/>
                  <c:y val="-2.77777777777783E-2"/>
                </c:manualLayout>
              </c:layout>
              <c:showLegendKey val="0"/>
              <c:showVal val="1"/>
              <c:showCatName val="0"/>
              <c:showSerName val="0"/>
              <c:showPercent val="0"/>
              <c:showBubbleSize val="0"/>
            </c:dLbl>
            <c:dLbl>
              <c:idx val="1"/>
              <c:layout>
                <c:manualLayout>
                  <c:x val="-3.3333333333333298E-2"/>
                  <c:y val="3.2407407407407801E-2"/>
                </c:manualLayout>
              </c:layout>
              <c:showLegendKey val="0"/>
              <c:showVal val="1"/>
              <c:showCatName val="0"/>
              <c:showSerName val="0"/>
              <c:showPercent val="0"/>
              <c:showBubbleSize val="0"/>
            </c:dLbl>
            <c:dLbl>
              <c:idx val="2"/>
              <c:layout>
                <c:manualLayout>
                  <c:x val="-8.3333333333333402E-3"/>
                  <c:y val="2.31481481481480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Snaigė!$B$1:$F$1</c:f>
              <c:numCache>
                <c:formatCode>General</c:formatCode>
                <c:ptCount val="5"/>
                <c:pt idx="0">
                  <c:v>2008</c:v>
                </c:pt>
                <c:pt idx="1">
                  <c:v>2009</c:v>
                </c:pt>
                <c:pt idx="2">
                  <c:v>2010</c:v>
                </c:pt>
                <c:pt idx="3">
                  <c:v>2011</c:v>
                </c:pt>
                <c:pt idx="4">
                  <c:v>2012</c:v>
                </c:pt>
              </c:numCache>
            </c:numRef>
          </c:cat>
          <c:val>
            <c:numRef>
              <c:f>Snaigė!$B$9:$F$9</c:f>
              <c:numCache>
                <c:formatCode>0.00</c:formatCode>
                <c:ptCount val="5"/>
                <c:pt idx="0">
                  <c:v>0.39336649262165102</c:v>
                </c:pt>
                <c:pt idx="1">
                  <c:v>0.27021576646453199</c:v>
                </c:pt>
                <c:pt idx="2">
                  <c:v>0.39762295081967702</c:v>
                </c:pt>
                <c:pt idx="3">
                  <c:v>0.47455548743102399</c:v>
                </c:pt>
                <c:pt idx="4">
                  <c:v>0.81964155749636602</c:v>
                </c:pt>
              </c:numCache>
            </c:numRef>
          </c:val>
          <c:smooth val="0"/>
        </c:ser>
        <c:ser>
          <c:idx val="2"/>
          <c:order val="2"/>
          <c:tx>
            <c:strRef>
              <c:f>Snaigė!$A$10</c:f>
              <c:strCache>
                <c:ptCount val="1"/>
                <c:pt idx="0">
                  <c:v>Kritinis likvidumas</c:v>
                </c:pt>
              </c:strCache>
            </c:strRef>
          </c:tx>
          <c:dLbls>
            <c:dLbl>
              <c:idx val="0"/>
              <c:layout>
                <c:manualLayout>
                  <c:x val="-4.1666666666666699E-2"/>
                  <c:y val="-3.7037037037037299E-2"/>
                </c:manualLayout>
              </c:layout>
              <c:showLegendKey val="0"/>
              <c:showVal val="1"/>
              <c:showCatName val="0"/>
              <c:showSerName val="0"/>
              <c:showPercent val="0"/>
              <c:showBubbleSize val="0"/>
            </c:dLbl>
            <c:dLbl>
              <c:idx val="1"/>
              <c:layout>
                <c:manualLayout>
                  <c:x val="-3.6111111111111198E-2"/>
                  <c:y val="-2.77777777777783E-2"/>
                </c:manualLayout>
              </c:layout>
              <c:showLegendKey val="0"/>
              <c:showVal val="1"/>
              <c:showCatName val="0"/>
              <c:showSerName val="0"/>
              <c:showPercent val="0"/>
              <c:showBubbleSize val="0"/>
            </c:dLbl>
            <c:dLbl>
              <c:idx val="2"/>
              <c:layout>
                <c:manualLayout>
                  <c:x val="-3.3333333333333298E-2"/>
                  <c:y val="-1.8518518518518601E-2"/>
                </c:manualLayout>
              </c:layout>
              <c:showLegendKey val="0"/>
              <c:showVal val="1"/>
              <c:showCatName val="0"/>
              <c:showSerName val="0"/>
              <c:showPercent val="0"/>
              <c:showBubbleSize val="0"/>
            </c:dLbl>
            <c:dLbl>
              <c:idx val="3"/>
              <c:layout>
                <c:manualLayout>
                  <c:x val="-2.5000000000000001E-2"/>
                  <c:y val="-1.3888888888888999E-2"/>
                </c:manualLayout>
              </c:layout>
              <c:showLegendKey val="0"/>
              <c:showVal val="1"/>
              <c:showCatName val="0"/>
              <c:showSerName val="0"/>
              <c:showPercent val="0"/>
              <c:showBubbleSize val="0"/>
            </c:dLbl>
            <c:dLbl>
              <c:idx val="4"/>
              <c:layout>
                <c:manualLayout>
                  <c:x val="-4.1666666666666699E-2"/>
                  <c:y val="-1.38888888888889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Snaigė!$B$1:$F$1</c:f>
              <c:numCache>
                <c:formatCode>General</c:formatCode>
                <c:ptCount val="5"/>
                <c:pt idx="0">
                  <c:v>2008</c:v>
                </c:pt>
                <c:pt idx="1">
                  <c:v>2009</c:v>
                </c:pt>
                <c:pt idx="2">
                  <c:v>2010</c:v>
                </c:pt>
                <c:pt idx="3">
                  <c:v>2011</c:v>
                </c:pt>
                <c:pt idx="4">
                  <c:v>2012</c:v>
                </c:pt>
              </c:numCache>
            </c:numRef>
          </c:cat>
          <c:val>
            <c:numRef>
              <c:f>Snaigė!$B$10:$F$10</c:f>
              <c:numCache>
                <c:formatCode>0.00</c:formatCode>
                <c:ptCount val="5"/>
                <c:pt idx="0">
                  <c:v>1.3816370130245101E-2</c:v>
                </c:pt>
                <c:pt idx="1">
                  <c:v>2.4326611197292201E-2</c:v>
                </c:pt>
                <c:pt idx="2">
                  <c:v>3.6454918032786901E-2</c:v>
                </c:pt>
                <c:pt idx="3">
                  <c:v>2.48871300373446E-2</c:v>
                </c:pt>
                <c:pt idx="4">
                  <c:v>3.67540029112082E-2</c:v>
                </c:pt>
              </c:numCache>
            </c:numRef>
          </c:val>
          <c:smooth val="0"/>
        </c:ser>
        <c:ser>
          <c:idx val="3"/>
          <c:order val="3"/>
          <c:tx>
            <c:strRef>
              <c:f>Snaigė!$A$12</c:f>
              <c:strCache>
                <c:ptCount val="1"/>
                <c:pt idx="0">
                  <c:v>Tr. Į. apmokėjimo pinigais koeficientas</c:v>
                </c:pt>
              </c:strCache>
            </c:strRef>
          </c:tx>
          <c:dLbls>
            <c:dLbl>
              <c:idx val="0"/>
              <c:layout>
                <c:manualLayout>
                  <c:x val="-3.3333333333333298E-2"/>
                  <c:y val="4.1666666666666699E-2"/>
                </c:manualLayout>
              </c:layout>
              <c:showLegendKey val="0"/>
              <c:showVal val="1"/>
              <c:showCatName val="0"/>
              <c:showSerName val="0"/>
              <c:showPercent val="0"/>
              <c:showBubbleSize val="0"/>
            </c:dLbl>
            <c:dLbl>
              <c:idx val="1"/>
              <c:layout>
                <c:manualLayout>
                  <c:x val="-4.4444444444444502E-2"/>
                  <c:y val="-5.0925925925925902E-2"/>
                </c:manualLayout>
              </c:layout>
              <c:showLegendKey val="0"/>
              <c:showVal val="1"/>
              <c:showCatName val="0"/>
              <c:showSerName val="0"/>
              <c:showPercent val="0"/>
              <c:showBubbleSize val="0"/>
            </c:dLbl>
            <c:dLbl>
              <c:idx val="2"/>
              <c:layout>
                <c:manualLayout>
                  <c:x val="-3.3333333333333298E-2"/>
                  <c:y val="-3.7037037037037097E-2"/>
                </c:manualLayout>
              </c:layout>
              <c:showLegendKey val="0"/>
              <c:showVal val="1"/>
              <c:showCatName val="0"/>
              <c:showSerName val="0"/>
              <c:showPercent val="0"/>
              <c:showBubbleSize val="0"/>
            </c:dLbl>
            <c:dLbl>
              <c:idx val="3"/>
              <c:layout>
                <c:manualLayout>
                  <c:x val="-4.4444444444444398E-2"/>
                  <c:y val="-2.77777777777783E-2"/>
                </c:manualLayout>
              </c:layout>
              <c:showLegendKey val="0"/>
              <c:showVal val="1"/>
              <c:showCatName val="0"/>
              <c:showSerName val="0"/>
              <c:showPercent val="0"/>
              <c:showBubbleSize val="0"/>
            </c:dLbl>
            <c:dLbl>
              <c:idx val="4"/>
              <c:layout>
                <c:manualLayout>
                  <c:x val="-4.1666666666666699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Snaigė!$B$1:$F$1</c:f>
              <c:numCache>
                <c:formatCode>General</c:formatCode>
                <c:ptCount val="5"/>
                <c:pt idx="0">
                  <c:v>2008</c:v>
                </c:pt>
                <c:pt idx="1">
                  <c:v>2009</c:v>
                </c:pt>
                <c:pt idx="2">
                  <c:v>2010</c:v>
                </c:pt>
                <c:pt idx="3">
                  <c:v>2011</c:v>
                </c:pt>
                <c:pt idx="4">
                  <c:v>2012</c:v>
                </c:pt>
              </c:numCache>
            </c:numRef>
          </c:cat>
          <c:val>
            <c:numRef>
              <c:f>Snaigė!$B$12:$F$12</c:f>
              <c:numCache>
                <c:formatCode>0.00</c:formatCode>
                <c:ptCount val="5"/>
                <c:pt idx="0">
                  <c:v>-0.117698976351323</c:v>
                </c:pt>
                <c:pt idx="1">
                  <c:v>0.320758708221692</c:v>
                </c:pt>
                <c:pt idx="2">
                  <c:v>0.106372950819672</c:v>
                </c:pt>
                <c:pt idx="3">
                  <c:v>0.15258346803411199</c:v>
                </c:pt>
                <c:pt idx="4">
                  <c:v>0.12863901018922899</c:v>
                </c:pt>
              </c:numCache>
            </c:numRef>
          </c:val>
          <c:smooth val="0"/>
        </c:ser>
        <c:dLbls>
          <c:showLegendKey val="0"/>
          <c:showVal val="1"/>
          <c:showCatName val="0"/>
          <c:showSerName val="0"/>
          <c:showPercent val="0"/>
          <c:showBubbleSize val="0"/>
        </c:dLbls>
        <c:marker val="1"/>
        <c:smooth val="0"/>
        <c:axId val="212584704"/>
        <c:axId val="212615168"/>
      </c:lineChart>
      <c:catAx>
        <c:axId val="212584704"/>
        <c:scaling>
          <c:orientation val="minMax"/>
        </c:scaling>
        <c:delete val="0"/>
        <c:axPos val="b"/>
        <c:numFmt formatCode="General" sourceLinked="1"/>
        <c:majorTickMark val="none"/>
        <c:minorTickMark val="none"/>
        <c:tickLblPos val="nextTo"/>
        <c:crossAx val="212615168"/>
        <c:crosses val="autoZero"/>
        <c:auto val="1"/>
        <c:lblAlgn val="ctr"/>
        <c:lblOffset val="100"/>
        <c:noMultiLvlLbl val="0"/>
      </c:catAx>
      <c:valAx>
        <c:axId val="212615168"/>
        <c:scaling>
          <c:orientation val="minMax"/>
        </c:scaling>
        <c:delete val="0"/>
        <c:axPos val="l"/>
        <c:majorGridlines/>
        <c:numFmt formatCode="0.00" sourceLinked="1"/>
        <c:majorTickMark val="none"/>
        <c:minorTickMark val="none"/>
        <c:tickLblPos val="nextTo"/>
        <c:crossAx val="212584704"/>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'Utenos trikotažas'!$A$8</c:f>
              <c:strCache>
                <c:ptCount val="1"/>
                <c:pt idx="0">
                  <c:v>Bendrasis likvidumas</c:v>
                </c:pt>
              </c:strCache>
            </c:strRef>
          </c:tx>
          <c:dLbls>
            <c:dLbl>
              <c:idx val="0"/>
              <c:layout>
                <c:manualLayout>
                  <c:x val="-3.3333333333333298E-2"/>
                  <c:y val="-1.8518518518518601E-2"/>
                </c:manualLayout>
              </c:layout>
              <c:showLegendKey val="0"/>
              <c:showVal val="1"/>
              <c:showCatName val="0"/>
              <c:showSerName val="0"/>
              <c:showPercent val="0"/>
              <c:showBubbleSize val="0"/>
            </c:dLbl>
            <c:dLbl>
              <c:idx val="1"/>
              <c:layout>
                <c:manualLayout>
                  <c:x val="-0.05"/>
                  <c:y val="-4.1666666666666699E-2"/>
                </c:manualLayout>
              </c:layout>
              <c:showLegendKey val="0"/>
              <c:showVal val="1"/>
              <c:showCatName val="0"/>
              <c:showSerName val="0"/>
              <c:showPercent val="0"/>
              <c:showBubbleSize val="0"/>
            </c:dLbl>
            <c:dLbl>
              <c:idx val="2"/>
              <c:layout>
                <c:manualLayout>
                  <c:x val="-3.8888888888888903E-2"/>
                  <c:y val="-2.77777777777783E-2"/>
                </c:manualLayout>
              </c:layout>
              <c:showLegendKey val="0"/>
              <c:showVal val="1"/>
              <c:showCatName val="0"/>
              <c:showSerName val="0"/>
              <c:showPercent val="0"/>
              <c:showBubbleSize val="0"/>
            </c:dLbl>
            <c:dLbl>
              <c:idx val="3"/>
              <c:layout>
                <c:manualLayout>
                  <c:x val="-3.3333333333333298E-2"/>
                  <c:y val="-4.1666666666666699E-2"/>
                </c:manualLayout>
              </c:layout>
              <c:showLegendKey val="0"/>
              <c:showVal val="1"/>
              <c:showCatName val="0"/>
              <c:showSerName val="0"/>
              <c:showPercent val="0"/>
              <c:showBubbleSize val="0"/>
            </c:dLbl>
            <c:dLbl>
              <c:idx val="4"/>
              <c:layout>
                <c:manualLayout>
                  <c:x val="-4.1666666666666699E-2"/>
                  <c:y val="-4.6296296296296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'Utenos trikotažas'!$B$1:$F$1</c:f>
              <c:numCache>
                <c:formatCode>General</c:formatCode>
                <c:ptCount val="5"/>
                <c:pt idx="0">
                  <c:v>2008</c:v>
                </c:pt>
                <c:pt idx="1">
                  <c:v>2009</c:v>
                </c:pt>
                <c:pt idx="2">
                  <c:v>2010</c:v>
                </c:pt>
                <c:pt idx="3">
                  <c:v>2011</c:v>
                </c:pt>
                <c:pt idx="4">
                  <c:v>2012</c:v>
                </c:pt>
              </c:numCache>
            </c:numRef>
          </c:cat>
          <c:val>
            <c:numRef>
              <c:f>'Utenos trikotažas'!$B$8:$F$8</c:f>
              <c:numCache>
                <c:formatCode>0.00</c:formatCode>
                <c:ptCount val="5"/>
                <c:pt idx="0">
                  <c:v>0.66828357359203905</c:v>
                </c:pt>
                <c:pt idx="1">
                  <c:v>0.64700021542439601</c:v>
                </c:pt>
                <c:pt idx="2">
                  <c:v>1.4325124869322801</c:v>
                </c:pt>
                <c:pt idx="3">
                  <c:v>0.89216574676661498</c:v>
                </c:pt>
                <c:pt idx="4">
                  <c:v>0.96678362573099397</c:v>
                </c:pt>
              </c:numCache>
            </c:numRef>
          </c:val>
          <c:smooth val="0"/>
        </c:ser>
        <c:ser>
          <c:idx val="1"/>
          <c:order val="1"/>
          <c:tx>
            <c:strRef>
              <c:f>'Utenos trikotažas'!$A$9</c:f>
              <c:strCache>
                <c:ptCount val="1"/>
                <c:pt idx="0">
                  <c:v>Greitasis likvidumas</c:v>
                </c:pt>
              </c:strCache>
            </c:strRef>
          </c:tx>
          <c:dLbls>
            <c:dLbl>
              <c:idx val="0"/>
              <c:layout>
                <c:manualLayout>
                  <c:x val="-1.94444444444444E-2"/>
                  <c:y val="-3.2407407407407898E-2"/>
                </c:manualLayout>
              </c:layout>
              <c:showLegendKey val="0"/>
              <c:showVal val="1"/>
              <c:showCatName val="0"/>
              <c:showSerName val="0"/>
              <c:showPercent val="0"/>
              <c:showBubbleSize val="0"/>
            </c:dLbl>
            <c:dLbl>
              <c:idx val="2"/>
              <c:layout>
                <c:manualLayout>
                  <c:x val="-3.6111111111111198E-2"/>
                  <c:y val="-2.77777777777783E-2"/>
                </c:manualLayout>
              </c:layout>
              <c:showLegendKey val="0"/>
              <c:showVal val="1"/>
              <c:showCatName val="0"/>
              <c:showSerName val="0"/>
              <c:showPercent val="0"/>
              <c:showBubbleSize val="0"/>
            </c:dLbl>
            <c:dLbl>
              <c:idx val="3"/>
              <c:layout>
                <c:manualLayout>
                  <c:x val="-4.1666666666666699E-2"/>
                  <c:y val="9.2592592592594808E-3"/>
                </c:manualLayout>
              </c:layout>
              <c:showLegendKey val="0"/>
              <c:showVal val="1"/>
              <c:showCatName val="0"/>
              <c:showSerName val="0"/>
              <c:showPercent val="0"/>
              <c:showBubbleSize val="0"/>
            </c:dLbl>
            <c:dLbl>
              <c:idx val="4"/>
              <c:layout>
                <c:manualLayout>
                  <c:x val="-3.3333333333333298E-2"/>
                  <c:y val="-4.166666666666680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'Utenos trikotažas'!$B$1:$F$1</c:f>
              <c:numCache>
                <c:formatCode>General</c:formatCode>
                <c:ptCount val="5"/>
                <c:pt idx="0">
                  <c:v>2008</c:v>
                </c:pt>
                <c:pt idx="1">
                  <c:v>2009</c:v>
                </c:pt>
                <c:pt idx="2">
                  <c:v>2010</c:v>
                </c:pt>
                <c:pt idx="3">
                  <c:v>2011</c:v>
                </c:pt>
                <c:pt idx="4">
                  <c:v>2012</c:v>
                </c:pt>
              </c:numCache>
            </c:numRef>
          </c:cat>
          <c:val>
            <c:numRef>
              <c:f>'Utenos trikotažas'!$B$9:$F$9</c:f>
              <c:numCache>
                <c:formatCode>0.00</c:formatCode>
                <c:ptCount val="5"/>
                <c:pt idx="0">
                  <c:v>0.46530482111544202</c:v>
                </c:pt>
                <c:pt idx="1">
                  <c:v>0.46176217147781401</c:v>
                </c:pt>
                <c:pt idx="2">
                  <c:v>0.95324660239284498</c:v>
                </c:pt>
                <c:pt idx="3">
                  <c:v>0.31460581596507398</c:v>
                </c:pt>
                <c:pt idx="4">
                  <c:v>0.375789473684215</c:v>
                </c:pt>
              </c:numCache>
            </c:numRef>
          </c:val>
          <c:smooth val="0"/>
        </c:ser>
        <c:ser>
          <c:idx val="2"/>
          <c:order val="2"/>
          <c:tx>
            <c:strRef>
              <c:f>'Utenos trikotažas'!$A$10</c:f>
              <c:strCache>
                <c:ptCount val="1"/>
                <c:pt idx="0">
                  <c:v>Kritinis likvidumas</c:v>
                </c:pt>
              </c:strCache>
            </c:strRef>
          </c:tx>
          <c:dLbls>
            <c:dLbl>
              <c:idx val="0"/>
              <c:layout>
                <c:manualLayout>
                  <c:x val="-3.3333333333333298E-2"/>
                  <c:y val="-2.3148148148148098E-2"/>
                </c:manualLayout>
              </c:layout>
              <c:showLegendKey val="0"/>
              <c:showVal val="1"/>
              <c:showCatName val="0"/>
              <c:showSerName val="0"/>
              <c:showPercent val="0"/>
              <c:showBubbleSize val="0"/>
            </c:dLbl>
            <c:dLbl>
              <c:idx val="1"/>
              <c:layout>
                <c:manualLayout>
                  <c:x val="-3.3333333333333298E-2"/>
                  <c:y val="-9.2592592592594097E-3"/>
                </c:manualLayout>
              </c:layout>
              <c:showLegendKey val="0"/>
              <c:showVal val="1"/>
              <c:showCatName val="0"/>
              <c:showSerName val="0"/>
              <c:showPercent val="0"/>
              <c:showBubbleSize val="0"/>
            </c:dLbl>
            <c:dLbl>
              <c:idx val="2"/>
              <c:layout>
                <c:manualLayout>
                  <c:x val="-3.05555555555556E-2"/>
                  <c:y val="-2.77777777777783E-2"/>
                </c:manualLayout>
              </c:layout>
              <c:showLegendKey val="0"/>
              <c:showVal val="1"/>
              <c:showCatName val="0"/>
              <c:showSerName val="0"/>
              <c:showPercent val="0"/>
              <c:showBubbleSize val="0"/>
            </c:dLbl>
            <c:dLbl>
              <c:idx val="3"/>
              <c:layout>
                <c:manualLayout>
                  <c:x val="-3.6111111111111198E-2"/>
                  <c:y val="-2.3148148148148098E-2"/>
                </c:manualLayout>
              </c:layout>
              <c:showLegendKey val="0"/>
              <c:showVal val="1"/>
              <c:showCatName val="0"/>
              <c:showSerName val="0"/>
              <c:showPercent val="0"/>
              <c:showBubbleSize val="0"/>
            </c:dLbl>
            <c:dLbl>
              <c:idx val="4"/>
              <c:layout>
                <c:manualLayout>
                  <c:x val="-8.3333333333333402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'Utenos trikotažas'!$B$1:$F$1</c:f>
              <c:numCache>
                <c:formatCode>General</c:formatCode>
                <c:ptCount val="5"/>
                <c:pt idx="0">
                  <c:v>2008</c:v>
                </c:pt>
                <c:pt idx="1">
                  <c:v>2009</c:v>
                </c:pt>
                <c:pt idx="2">
                  <c:v>2010</c:v>
                </c:pt>
                <c:pt idx="3">
                  <c:v>2011</c:v>
                </c:pt>
                <c:pt idx="4">
                  <c:v>2012</c:v>
                </c:pt>
              </c:numCache>
            </c:numRef>
          </c:cat>
          <c:val>
            <c:numRef>
              <c:f>'Utenos trikotažas'!$B$10:$F$10</c:f>
              <c:numCache>
                <c:formatCode>0.00</c:formatCode>
                <c:ptCount val="5"/>
                <c:pt idx="0">
                  <c:v>2.6644804263168801E-3</c:v>
                </c:pt>
                <c:pt idx="1">
                  <c:v>4.0176647996553301E-2</c:v>
                </c:pt>
                <c:pt idx="2">
                  <c:v>4.1352073411546598E-2</c:v>
                </c:pt>
                <c:pt idx="3">
                  <c:v>4.2178103632918698E-2</c:v>
                </c:pt>
                <c:pt idx="4">
                  <c:v>1.0935672514619899E-2</c:v>
                </c:pt>
              </c:numCache>
            </c:numRef>
          </c:val>
          <c:smooth val="0"/>
        </c:ser>
        <c:ser>
          <c:idx val="3"/>
          <c:order val="3"/>
          <c:tx>
            <c:strRef>
              <c:f>'Utenos trikotažas'!$A$12</c:f>
              <c:strCache>
                <c:ptCount val="1"/>
                <c:pt idx="0">
                  <c:v>Tr. Į. apmokėjimo pinigais koeficientas</c:v>
                </c:pt>
              </c:strCache>
            </c:strRef>
          </c:tx>
          <c:dLbls>
            <c:dLbl>
              <c:idx val="0"/>
              <c:layout>
                <c:manualLayout>
                  <c:x val="-2.5000000000000001E-2"/>
                  <c:y val="-1.3888888888888999E-2"/>
                </c:manualLayout>
              </c:layout>
              <c:showLegendKey val="0"/>
              <c:showVal val="1"/>
              <c:showCatName val="0"/>
              <c:showSerName val="0"/>
              <c:showPercent val="0"/>
              <c:showBubbleSize val="0"/>
            </c:dLbl>
            <c:dLbl>
              <c:idx val="1"/>
              <c:layout>
                <c:manualLayout>
                  <c:x val="-3.6111111111111198E-2"/>
                  <c:y val="-4.1666666666666699E-2"/>
                </c:manualLayout>
              </c:layout>
              <c:showLegendKey val="0"/>
              <c:showVal val="1"/>
              <c:showCatName val="0"/>
              <c:showSerName val="0"/>
              <c:showPercent val="0"/>
              <c:showBubbleSize val="0"/>
            </c:dLbl>
            <c:dLbl>
              <c:idx val="2"/>
              <c:layout>
                <c:manualLayout>
                  <c:x val="-0.05"/>
                  <c:y val="-3.2407407407407801E-2"/>
                </c:manualLayout>
              </c:layout>
              <c:showLegendKey val="0"/>
              <c:showVal val="1"/>
              <c:showCatName val="0"/>
              <c:showSerName val="0"/>
              <c:showPercent val="0"/>
              <c:showBubbleSize val="0"/>
            </c:dLbl>
            <c:dLbl>
              <c:idx val="3"/>
              <c:layout>
                <c:manualLayout>
                  <c:x val="-2.77777777777783E-2"/>
                  <c:y val="-3.2407407407407697E-2"/>
                </c:manualLayout>
              </c:layout>
              <c:showLegendKey val="0"/>
              <c:showVal val="1"/>
              <c:showCatName val="0"/>
              <c:showSerName val="0"/>
              <c:showPercent val="0"/>
              <c:showBubbleSize val="0"/>
            </c:dLbl>
            <c:dLbl>
              <c:idx val="4"/>
              <c:layout>
                <c:manualLayout>
                  <c:x val="-3.3333333333333298E-2"/>
                  <c:y val="-5.09259259259259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'Utenos trikotažas'!$B$1:$F$1</c:f>
              <c:numCache>
                <c:formatCode>General</c:formatCode>
                <c:ptCount val="5"/>
                <c:pt idx="0">
                  <c:v>2008</c:v>
                </c:pt>
                <c:pt idx="1">
                  <c:v>2009</c:v>
                </c:pt>
                <c:pt idx="2">
                  <c:v>2010</c:v>
                </c:pt>
                <c:pt idx="3">
                  <c:v>2011</c:v>
                </c:pt>
                <c:pt idx="4">
                  <c:v>2012</c:v>
                </c:pt>
              </c:numCache>
            </c:numRef>
          </c:cat>
          <c:val>
            <c:numRef>
              <c:f>'Utenos trikotažas'!$B$12:$F$12</c:f>
              <c:numCache>
                <c:formatCode>0.00</c:formatCode>
                <c:ptCount val="5"/>
                <c:pt idx="0">
                  <c:v>0.289153059597823</c:v>
                </c:pt>
                <c:pt idx="1">
                  <c:v>0.13555579491598399</c:v>
                </c:pt>
                <c:pt idx="2">
                  <c:v>0.24085259612033899</c:v>
                </c:pt>
                <c:pt idx="3">
                  <c:v>0.43875113271274402</c:v>
                </c:pt>
                <c:pt idx="4">
                  <c:v>3.2865497076023903E-2</c:v>
                </c:pt>
              </c:numCache>
            </c:numRef>
          </c:val>
          <c:smooth val="0"/>
        </c:ser>
        <c:dLbls>
          <c:showLegendKey val="0"/>
          <c:showVal val="1"/>
          <c:showCatName val="0"/>
          <c:showSerName val="0"/>
          <c:showPercent val="0"/>
          <c:showBubbleSize val="0"/>
        </c:dLbls>
        <c:marker val="1"/>
        <c:smooth val="0"/>
        <c:axId val="212643200"/>
        <c:axId val="212673664"/>
      </c:lineChart>
      <c:catAx>
        <c:axId val="212643200"/>
        <c:scaling>
          <c:orientation val="minMax"/>
        </c:scaling>
        <c:delete val="0"/>
        <c:axPos val="b"/>
        <c:numFmt formatCode="General" sourceLinked="1"/>
        <c:majorTickMark val="none"/>
        <c:minorTickMark val="none"/>
        <c:tickLblPos val="nextTo"/>
        <c:crossAx val="212673664"/>
        <c:crosses val="autoZero"/>
        <c:auto val="1"/>
        <c:lblAlgn val="ctr"/>
        <c:lblOffset val="100"/>
        <c:noMultiLvlLbl val="0"/>
      </c:catAx>
      <c:valAx>
        <c:axId val="212673664"/>
        <c:scaling>
          <c:orientation val="minMax"/>
        </c:scaling>
        <c:delete val="0"/>
        <c:axPos val="l"/>
        <c:majorGridlines/>
        <c:numFmt formatCode="0.00" sourceLinked="1"/>
        <c:majorTickMark val="none"/>
        <c:minorTickMark val="none"/>
        <c:tickLblPos val="nextTo"/>
        <c:crossAx val="212643200"/>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'Vilniaus baldai'!$A$8</c:f>
              <c:strCache>
                <c:ptCount val="1"/>
                <c:pt idx="0">
                  <c:v>Bendrasis likvidumas</c:v>
                </c:pt>
              </c:strCache>
            </c:strRef>
          </c:tx>
          <c:cat>
            <c:numRef>
              <c:f>'Vilniaus baldai'!$B$1:$F$1</c:f>
              <c:numCache>
                <c:formatCode>General</c:formatCode>
                <c:ptCount val="5"/>
                <c:pt idx="0">
                  <c:v>2008</c:v>
                </c:pt>
                <c:pt idx="1">
                  <c:v>2009</c:v>
                </c:pt>
                <c:pt idx="2">
                  <c:v>2010</c:v>
                </c:pt>
                <c:pt idx="3">
                  <c:v>2011</c:v>
                </c:pt>
                <c:pt idx="4">
                  <c:v>2012</c:v>
                </c:pt>
              </c:numCache>
            </c:numRef>
          </c:cat>
          <c:val>
            <c:numRef>
              <c:f>'Vilniaus baldai'!$B$8:$F$8</c:f>
              <c:numCache>
                <c:formatCode>0.00</c:formatCode>
                <c:ptCount val="5"/>
                <c:pt idx="0">
                  <c:v>0.955261229377804</c:v>
                </c:pt>
                <c:pt idx="1">
                  <c:v>1.502877623462108</c:v>
                </c:pt>
                <c:pt idx="2">
                  <c:v>2.4762731664193471</c:v>
                </c:pt>
                <c:pt idx="3">
                  <c:v>2.8002793749796959</c:v>
                </c:pt>
                <c:pt idx="4">
                  <c:v>2.4314644283269482</c:v>
                </c:pt>
              </c:numCache>
            </c:numRef>
          </c:val>
          <c:smooth val="0"/>
        </c:ser>
        <c:ser>
          <c:idx val="1"/>
          <c:order val="1"/>
          <c:tx>
            <c:strRef>
              <c:f>'Vilniaus baldai'!$A$9</c:f>
              <c:strCache>
                <c:ptCount val="1"/>
                <c:pt idx="0">
                  <c:v>Greitasis likvidumas</c:v>
                </c:pt>
              </c:strCache>
            </c:strRef>
          </c:tx>
          <c:cat>
            <c:numRef>
              <c:f>'Vilniaus baldai'!$B$1:$F$1</c:f>
              <c:numCache>
                <c:formatCode>General</c:formatCode>
                <c:ptCount val="5"/>
                <c:pt idx="0">
                  <c:v>2008</c:v>
                </c:pt>
                <c:pt idx="1">
                  <c:v>2009</c:v>
                </c:pt>
                <c:pt idx="2">
                  <c:v>2010</c:v>
                </c:pt>
                <c:pt idx="3">
                  <c:v>2011</c:v>
                </c:pt>
                <c:pt idx="4">
                  <c:v>2012</c:v>
                </c:pt>
              </c:numCache>
            </c:numRef>
          </c:cat>
          <c:val>
            <c:numRef>
              <c:f>'Vilniaus baldai'!$B$9:$F$9</c:f>
              <c:numCache>
                <c:formatCode>0.00</c:formatCode>
                <c:ptCount val="5"/>
                <c:pt idx="0">
                  <c:v>0.73258619765134902</c:v>
                </c:pt>
                <c:pt idx="1">
                  <c:v>1.02022952062584</c:v>
                </c:pt>
                <c:pt idx="2">
                  <c:v>1.8644271145770841</c:v>
                </c:pt>
                <c:pt idx="3">
                  <c:v>2.3455803527921448</c:v>
                </c:pt>
                <c:pt idx="4">
                  <c:v>1.681036590334936</c:v>
                </c:pt>
              </c:numCache>
            </c:numRef>
          </c:val>
          <c:smooth val="0"/>
        </c:ser>
        <c:ser>
          <c:idx val="2"/>
          <c:order val="2"/>
          <c:tx>
            <c:strRef>
              <c:f>'Vilniaus baldai'!$A$10</c:f>
              <c:strCache>
                <c:ptCount val="1"/>
                <c:pt idx="0">
                  <c:v>Kritinis likvidumas</c:v>
                </c:pt>
              </c:strCache>
            </c:strRef>
          </c:tx>
          <c:cat>
            <c:numRef>
              <c:f>'Vilniaus baldai'!$B$1:$F$1</c:f>
              <c:numCache>
                <c:formatCode>General</c:formatCode>
                <c:ptCount val="5"/>
                <c:pt idx="0">
                  <c:v>2008</c:v>
                </c:pt>
                <c:pt idx="1">
                  <c:v>2009</c:v>
                </c:pt>
                <c:pt idx="2">
                  <c:v>2010</c:v>
                </c:pt>
                <c:pt idx="3">
                  <c:v>2011</c:v>
                </c:pt>
                <c:pt idx="4">
                  <c:v>2012</c:v>
                </c:pt>
              </c:numCache>
            </c:numRef>
          </c:cat>
          <c:val>
            <c:numRef>
              <c:f>'Vilniaus baldai'!$B$10:$F$10</c:f>
              <c:numCache>
                <c:formatCode>0.00</c:formatCode>
                <c:ptCount val="5"/>
                <c:pt idx="0">
                  <c:v>1.9661465315388201E-4</c:v>
                </c:pt>
                <c:pt idx="1">
                  <c:v>3.4462556432436202E-4</c:v>
                </c:pt>
                <c:pt idx="2">
                  <c:v>9.5665077510814697E-3</c:v>
                </c:pt>
                <c:pt idx="3">
                  <c:v>5.8993600363837398E-2</c:v>
                </c:pt>
                <c:pt idx="4">
                  <c:v>0.12920707358813499</c:v>
                </c:pt>
              </c:numCache>
            </c:numRef>
          </c:val>
          <c:smooth val="0"/>
        </c:ser>
        <c:ser>
          <c:idx val="3"/>
          <c:order val="3"/>
          <c:tx>
            <c:strRef>
              <c:f>'Vilniaus baldai'!$A$12</c:f>
              <c:strCache>
                <c:ptCount val="1"/>
                <c:pt idx="0">
                  <c:v>Tr. Į. apmokėjimo pinigais koeficientas</c:v>
                </c:pt>
              </c:strCache>
            </c:strRef>
          </c:tx>
          <c:cat>
            <c:numRef>
              <c:f>'Vilniaus baldai'!$B$1:$F$1</c:f>
              <c:numCache>
                <c:formatCode>General</c:formatCode>
                <c:ptCount val="5"/>
                <c:pt idx="0">
                  <c:v>2008</c:v>
                </c:pt>
                <c:pt idx="1">
                  <c:v>2009</c:v>
                </c:pt>
                <c:pt idx="2">
                  <c:v>2010</c:v>
                </c:pt>
                <c:pt idx="3">
                  <c:v>2011</c:v>
                </c:pt>
                <c:pt idx="4">
                  <c:v>2012</c:v>
                </c:pt>
              </c:numCache>
            </c:numRef>
          </c:cat>
          <c:val>
            <c:numRef>
              <c:f>'Vilniaus baldai'!$B$12:$F$12</c:f>
              <c:numCache>
                <c:formatCode>0.00</c:formatCode>
                <c:ptCount val="5"/>
                <c:pt idx="0">
                  <c:v>0.161259763704935</c:v>
                </c:pt>
                <c:pt idx="1">
                  <c:v>0.80242616397283795</c:v>
                </c:pt>
                <c:pt idx="2">
                  <c:v>1.032456666561425</c:v>
                </c:pt>
                <c:pt idx="3">
                  <c:v>1.08761329305136</c:v>
                </c:pt>
                <c:pt idx="4">
                  <c:v>1.083978485860972</c:v>
                </c:pt>
              </c:numCache>
            </c:numRef>
          </c:val>
          <c:smooth val="0"/>
        </c:ser>
        <c:dLbls>
          <c:showLegendKey val="0"/>
          <c:showVal val="1"/>
          <c:showCatName val="0"/>
          <c:showSerName val="0"/>
          <c:showPercent val="0"/>
          <c:showBubbleSize val="0"/>
        </c:dLbls>
        <c:marker val="1"/>
        <c:smooth val="0"/>
        <c:axId val="212722816"/>
        <c:axId val="212724352"/>
      </c:lineChart>
      <c:catAx>
        <c:axId val="212722816"/>
        <c:scaling>
          <c:orientation val="minMax"/>
        </c:scaling>
        <c:delete val="0"/>
        <c:axPos val="b"/>
        <c:numFmt formatCode="General" sourceLinked="1"/>
        <c:majorTickMark val="none"/>
        <c:minorTickMark val="none"/>
        <c:tickLblPos val="nextTo"/>
        <c:crossAx val="212724352"/>
        <c:crosses val="autoZero"/>
        <c:auto val="1"/>
        <c:lblAlgn val="ctr"/>
        <c:lblOffset val="100"/>
        <c:noMultiLvlLbl val="0"/>
      </c:catAx>
      <c:valAx>
        <c:axId val="212724352"/>
        <c:scaling>
          <c:orientation val="minMax"/>
        </c:scaling>
        <c:delete val="0"/>
        <c:axPos val="l"/>
        <c:majorGridlines/>
        <c:numFmt formatCode="0.00" sourceLinked="1"/>
        <c:majorTickMark val="none"/>
        <c:minorTickMark val="none"/>
        <c:tickLblPos val="nextTo"/>
        <c:crossAx val="212722816"/>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'Vilniaus degtinė'!$A$8</c:f>
              <c:strCache>
                <c:ptCount val="1"/>
                <c:pt idx="0">
                  <c:v>Bendrasis likvidumas</c:v>
                </c:pt>
              </c:strCache>
            </c:strRef>
          </c:tx>
          <c:cat>
            <c:numRef>
              <c:f>'Vilniaus degtinė'!$B$1:$F$1</c:f>
              <c:numCache>
                <c:formatCode>General</c:formatCode>
                <c:ptCount val="5"/>
                <c:pt idx="0">
                  <c:v>2008</c:v>
                </c:pt>
                <c:pt idx="1">
                  <c:v>2009</c:v>
                </c:pt>
                <c:pt idx="2">
                  <c:v>2010</c:v>
                </c:pt>
                <c:pt idx="3">
                  <c:v>2011</c:v>
                </c:pt>
                <c:pt idx="4">
                  <c:v>2012</c:v>
                </c:pt>
              </c:numCache>
            </c:numRef>
          </c:cat>
          <c:val>
            <c:numRef>
              <c:f>'Vilniaus degtinė'!$B$8:$F$8</c:f>
              <c:numCache>
                <c:formatCode>0.00</c:formatCode>
                <c:ptCount val="5"/>
                <c:pt idx="0">
                  <c:v>2.0116611409626159</c:v>
                </c:pt>
                <c:pt idx="1">
                  <c:v>1.3945594203870799</c:v>
                </c:pt>
                <c:pt idx="2">
                  <c:v>1.1766862170087979</c:v>
                </c:pt>
                <c:pt idx="3">
                  <c:v>1.087129196834987</c:v>
                </c:pt>
                <c:pt idx="4">
                  <c:v>1.1053421888535959</c:v>
                </c:pt>
              </c:numCache>
            </c:numRef>
          </c:val>
          <c:smooth val="0"/>
        </c:ser>
        <c:ser>
          <c:idx val="1"/>
          <c:order val="1"/>
          <c:tx>
            <c:strRef>
              <c:f>'Vilniaus degtinė'!$A$9</c:f>
              <c:strCache>
                <c:ptCount val="1"/>
                <c:pt idx="0">
                  <c:v>Greitasis likvidumas</c:v>
                </c:pt>
              </c:strCache>
            </c:strRef>
          </c:tx>
          <c:cat>
            <c:numRef>
              <c:f>'Vilniaus degtinė'!$B$1:$F$1</c:f>
              <c:numCache>
                <c:formatCode>General</c:formatCode>
                <c:ptCount val="5"/>
                <c:pt idx="0">
                  <c:v>2008</c:v>
                </c:pt>
                <c:pt idx="1">
                  <c:v>2009</c:v>
                </c:pt>
                <c:pt idx="2">
                  <c:v>2010</c:v>
                </c:pt>
                <c:pt idx="3">
                  <c:v>2011</c:v>
                </c:pt>
                <c:pt idx="4">
                  <c:v>2012</c:v>
                </c:pt>
              </c:numCache>
            </c:numRef>
          </c:cat>
          <c:val>
            <c:numRef>
              <c:f>'Vilniaus degtinė'!$B$9:$F$9</c:f>
              <c:numCache>
                <c:formatCode>0.00</c:formatCode>
                <c:ptCount val="5"/>
                <c:pt idx="0">
                  <c:v>1.649822796387332</c:v>
                </c:pt>
                <c:pt idx="1">
                  <c:v>1.1366517961962901</c:v>
                </c:pt>
                <c:pt idx="2">
                  <c:v>0.91103372434017604</c:v>
                </c:pt>
                <c:pt idx="3">
                  <c:v>0.80994714813795998</c:v>
                </c:pt>
                <c:pt idx="4">
                  <c:v>0.82991625758013399</c:v>
                </c:pt>
              </c:numCache>
            </c:numRef>
          </c:val>
          <c:smooth val="0"/>
        </c:ser>
        <c:ser>
          <c:idx val="2"/>
          <c:order val="2"/>
          <c:tx>
            <c:strRef>
              <c:f>'Vilniaus degtinė'!$A$10</c:f>
              <c:strCache>
                <c:ptCount val="1"/>
                <c:pt idx="0">
                  <c:v>Kritinis likvidumas</c:v>
                </c:pt>
              </c:strCache>
            </c:strRef>
          </c:tx>
          <c:cat>
            <c:numRef>
              <c:f>'Vilniaus degtinė'!$B$1:$F$1</c:f>
              <c:numCache>
                <c:formatCode>General</c:formatCode>
                <c:ptCount val="5"/>
                <c:pt idx="0">
                  <c:v>2008</c:v>
                </c:pt>
                <c:pt idx="1">
                  <c:v>2009</c:v>
                </c:pt>
                <c:pt idx="2">
                  <c:v>2010</c:v>
                </c:pt>
                <c:pt idx="3">
                  <c:v>2011</c:v>
                </c:pt>
                <c:pt idx="4">
                  <c:v>2012</c:v>
                </c:pt>
              </c:numCache>
            </c:numRef>
          </c:cat>
          <c:val>
            <c:numRef>
              <c:f>'Vilniaus degtinė'!$B$10:$F$10</c:f>
              <c:numCache>
                <c:formatCode>0.00</c:formatCode>
                <c:ptCount val="5"/>
                <c:pt idx="0">
                  <c:v>1.9816317975686901E-3</c:v>
                </c:pt>
                <c:pt idx="1">
                  <c:v>2.7504779794049602E-3</c:v>
                </c:pt>
                <c:pt idx="2">
                  <c:v>1.83284457478008E-3</c:v>
                </c:pt>
                <c:pt idx="3">
                  <c:v>1.4358598356398701E-3</c:v>
                </c:pt>
                <c:pt idx="4">
                  <c:v>2.8876696505920099E-4</c:v>
                </c:pt>
              </c:numCache>
            </c:numRef>
          </c:val>
          <c:smooth val="0"/>
        </c:ser>
        <c:ser>
          <c:idx val="3"/>
          <c:order val="3"/>
          <c:tx>
            <c:strRef>
              <c:f>'Vilniaus degtinė'!$A$12</c:f>
              <c:strCache>
                <c:ptCount val="1"/>
                <c:pt idx="0">
                  <c:v>Tr. Į. apmokėjimo pinigais koeficientas</c:v>
                </c:pt>
              </c:strCache>
            </c:strRef>
          </c:tx>
          <c:dLbls>
            <c:dLbl>
              <c:idx val="0"/>
              <c:layout>
                <c:manualLayout>
                  <c:x val="-4.1666666666666699E-2"/>
                  <c:y val="-4.0404040404040401E-2"/>
                </c:manualLayout>
              </c:layout>
              <c:showLegendKey val="0"/>
              <c:showVal val="1"/>
              <c:showCatName val="0"/>
              <c:showSerName val="0"/>
              <c:showPercent val="0"/>
              <c:showBubbleSize val="0"/>
            </c:dLbl>
            <c:dLbl>
              <c:idx val="4"/>
              <c:layout>
                <c:manualLayout>
                  <c:x val="-2.2222222222222199E-2"/>
                  <c:y val="-4.61760461760461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'Vilniaus degtinė'!$B$1:$F$1</c:f>
              <c:numCache>
                <c:formatCode>General</c:formatCode>
                <c:ptCount val="5"/>
                <c:pt idx="0">
                  <c:v>2008</c:v>
                </c:pt>
                <c:pt idx="1">
                  <c:v>2009</c:v>
                </c:pt>
                <c:pt idx="2">
                  <c:v>2010</c:v>
                </c:pt>
                <c:pt idx="3">
                  <c:v>2011</c:v>
                </c:pt>
                <c:pt idx="4">
                  <c:v>2012</c:v>
                </c:pt>
              </c:numCache>
            </c:numRef>
          </c:cat>
          <c:val>
            <c:numRef>
              <c:f>'Vilniaus degtinė'!$B$12:$F$12</c:f>
              <c:numCache>
                <c:formatCode>0.00</c:formatCode>
                <c:ptCount val="5"/>
                <c:pt idx="0">
                  <c:v>4.3443466331313699E-2</c:v>
                </c:pt>
                <c:pt idx="1">
                  <c:v>0.34334015362426001</c:v>
                </c:pt>
                <c:pt idx="2">
                  <c:v>0.28933284457477998</c:v>
                </c:pt>
                <c:pt idx="3">
                  <c:v>0.14994042709192801</c:v>
                </c:pt>
                <c:pt idx="4">
                  <c:v>9.1712388102800996E-2</c:v>
                </c:pt>
              </c:numCache>
            </c:numRef>
          </c:val>
          <c:smooth val="0"/>
        </c:ser>
        <c:dLbls>
          <c:showLegendKey val="0"/>
          <c:showVal val="1"/>
          <c:showCatName val="0"/>
          <c:showSerName val="0"/>
          <c:showPercent val="0"/>
          <c:showBubbleSize val="0"/>
        </c:dLbls>
        <c:marker val="1"/>
        <c:smooth val="0"/>
        <c:axId val="212817792"/>
        <c:axId val="212853120"/>
      </c:lineChart>
      <c:catAx>
        <c:axId val="212817792"/>
        <c:scaling>
          <c:orientation val="minMax"/>
        </c:scaling>
        <c:delete val="0"/>
        <c:axPos val="b"/>
        <c:numFmt formatCode="General" sourceLinked="1"/>
        <c:majorTickMark val="none"/>
        <c:minorTickMark val="none"/>
        <c:tickLblPos val="nextTo"/>
        <c:crossAx val="212853120"/>
        <c:crosses val="autoZero"/>
        <c:auto val="1"/>
        <c:lblAlgn val="ctr"/>
        <c:lblOffset val="100"/>
        <c:noMultiLvlLbl val="0"/>
      </c:catAx>
      <c:valAx>
        <c:axId val="212853120"/>
        <c:scaling>
          <c:orientation val="minMax"/>
        </c:scaling>
        <c:delete val="0"/>
        <c:axPos val="l"/>
        <c:majorGridlines/>
        <c:numFmt formatCode="0.00" sourceLinked="1"/>
        <c:majorTickMark val="none"/>
        <c:minorTickMark val="none"/>
        <c:tickLblPos val="nextTo"/>
        <c:crossAx val="212817792"/>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Apranga!$A$9</c:f>
              <c:strCache>
                <c:ptCount val="1"/>
                <c:pt idx="0">
                  <c:v>Bendrasis likvidumas</c:v>
                </c:pt>
              </c:strCache>
            </c:strRef>
          </c:tx>
          <c:dLbls>
            <c:dLbl>
              <c:idx val="0"/>
              <c:layout>
                <c:manualLayout>
                  <c:x val="-4.4444444444444502E-2"/>
                  <c:y val="-4.1666666666666699E-2"/>
                </c:manualLayout>
              </c:layout>
              <c:showLegendKey val="0"/>
              <c:showVal val="1"/>
              <c:showCatName val="0"/>
              <c:showSerName val="0"/>
              <c:showPercent val="0"/>
              <c:showBubbleSize val="0"/>
            </c:dLbl>
            <c:dLbl>
              <c:idx val="1"/>
              <c:layout>
                <c:manualLayout>
                  <c:x val="-5.55555555555554E-2"/>
                  <c:y val="-5.0925925925925902E-2"/>
                </c:manualLayout>
              </c:layout>
              <c:showLegendKey val="0"/>
              <c:showVal val="1"/>
              <c:showCatName val="0"/>
              <c:showSerName val="0"/>
              <c:showPercent val="0"/>
              <c:showBubbleSize val="0"/>
            </c:dLbl>
            <c:dLbl>
              <c:idx val="2"/>
              <c:layout>
                <c:manualLayout>
                  <c:x val="-5.8333333333334098E-2"/>
                  <c:y val="-3.2407407407407898E-2"/>
                </c:manualLayout>
              </c:layout>
              <c:showLegendKey val="0"/>
              <c:showVal val="1"/>
              <c:showCatName val="0"/>
              <c:showSerName val="0"/>
              <c:showPercent val="0"/>
              <c:showBubbleSize val="0"/>
            </c:dLbl>
            <c:dLbl>
              <c:idx val="3"/>
              <c:layout>
                <c:manualLayout>
                  <c:x val="-0.05"/>
                  <c:y val="-4.6296296296296502E-2"/>
                </c:manualLayout>
              </c:layout>
              <c:showLegendKey val="0"/>
              <c:showVal val="1"/>
              <c:showCatName val="0"/>
              <c:showSerName val="0"/>
              <c:showPercent val="0"/>
              <c:showBubbleSize val="0"/>
            </c:dLbl>
            <c:dLbl>
              <c:idx val="4"/>
              <c:layout>
                <c:manualLayout>
                  <c:x val="-4.1666666666666699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Apranga!$B$2:$F$2</c:f>
              <c:numCache>
                <c:formatCode>General</c:formatCode>
                <c:ptCount val="5"/>
                <c:pt idx="0">
                  <c:v>2008</c:v>
                </c:pt>
                <c:pt idx="1">
                  <c:v>2009</c:v>
                </c:pt>
                <c:pt idx="2">
                  <c:v>2010</c:v>
                </c:pt>
                <c:pt idx="3">
                  <c:v>2011</c:v>
                </c:pt>
                <c:pt idx="4">
                  <c:v>2012</c:v>
                </c:pt>
              </c:numCache>
            </c:numRef>
          </c:cat>
          <c:val>
            <c:numRef>
              <c:f>Apranga!$B$9:$F$9</c:f>
              <c:numCache>
                <c:formatCode>0.00</c:formatCode>
                <c:ptCount val="5"/>
                <c:pt idx="0">
                  <c:v>0.89437071130586498</c:v>
                </c:pt>
                <c:pt idx="1">
                  <c:v>1.097090703352986</c:v>
                </c:pt>
                <c:pt idx="2">
                  <c:v>1.5741605590591441</c:v>
                </c:pt>
                <c:pt idx="3">
                  <c:v>2.2392410608971152</c:v>
                </c:pt>
                <c:pt idx="4">
                  <c:v>1.987619047619047</c:v>
                </c:pt>
              </c:numCache>
            </c:numRef>
          </c:val>
          <c:smooth val="0"/>
        </c:ser>
        <c:ser>
          <c:idx val="1"/>
          <c:order val="1"/>
          <c:tx>
            <c:strRef>
              <c:f>Apranga!$A$10</c:f>
              <c:strCache>
                <c:ptCount val="1"/>
                <c:pt idx="0">
                  <c:v>Greitasis likvidumas</c:v>
                </c:pt>
              </c:strCache>
            </c:strRef>
          </c:tx>
          <c:dLbls>
            <c:dLbl>
              <c:idx val="0"/>
              <c:layout>
                <c:manualLayout>
                  <c:x val="-4.1666666666666699E-2"/>
                  <c:y val="-4.1666666666666602E-2"/>
                </c:manualLayout>
              </c:layout>
              <c:showLegendKey val="0"/>
              <c:showVal val="1"/>
              <c:showCatName val="0"/>
              <c:showSerName val="0"/>
              <c:showPercent val="0"/>
              <c:showBubbleSize val="0"/>
            </c:dLbl>
            <c:dLbl>
              <c:idx val="1"/>
              <c:layout>
                <c:manualLayout>
                  <c:x val="-4.7222222222222297E-2"/>
                  <c:y val="-4.1666666666666699E-2"/>
                </c:manualLayout>
              </c:layout>
              <c:showLegendKey val="0"/>
              <c:showVal val="1"/>
              <c:showCatName val="0"/>
              <c:showSerName val="0"/>
              <c:showPercent val="0"/>
              <c:showBubbleSize val="0"/>
            </c:dLbl>
            <c:dLbl>
              <c:idx val="2"/>
              <c:layout>
                <c:manualLayout>
                  <c:x val="-4.1666666666666699E-2"/>
                  <c:y val="-4.1666666666666699E-2"/>
                </c:manualLayout>
              </c:layout>
              <c:showLegendKey val="0"/>
              <c:showVal val="1"/>
              <c:showCatName val="0"/>
              <c:showSerName val="0"/>
              <c:showPercent val="0"/>
              <c:showBubbleSize val="0"/>
            </c:dLbl>
            <c:dLbl>
              <c:idx val="3"/>
              <c:layout>
                <c:manualLayout>
                  <c:x val="-0.05"/>
                  <c:y val="-4.1666666666666699E-2"/>
                </c:manualLayout>
              </c:layout>
              <c:showLegendKey val="0"/>
              <c:showVal val="1"/>
              <c:showCatName val="0"/>
              <c:showSerName val="0"/>
              <c:showPercent val="0"/>
              <c:showBubbleSize val="0"/>
            </c:dLbl>
            <c:dLbl>
              <c:idx val="4"/>
              <c:layout>
                <c:manualLayout>
                  <c:x val="-4.1666666666666699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Apranga!$B$2:$F$2</c:f>
              <c:numCache>
                <c:formatCode>General</c:formatCode>
                <c:ptCount val="5"/>
                <c:pt idx="0">
                  <c:v>2008</c:v>
                </c:pt>
                <c:pt idx="1">
                  <c:v>2009</c:v>
                </c:pt>
                <c:pt idx="2">
                  <c:v>2010</c:v>
                </c:pt>
                <c:pt idx="3">
                  <c:v>2011</c:v>
                </c:pt>
                <c:pt idx="4">
                  <c:v>2012</c:v>
                </c:pt>
              </c:numCache>
            </c:numRef>
          </c:cat>
          <c:val>
            <c:numRef>
              <c:f>Apranga!$B$10:$F$10</c:f>
              <c:numCache>
                <c:formatCode>0.00</c:formatCode>
                <c:ptCount val="5"/>
                <c:pt idx="0">
                  <c:v>0.29193068734697702</c:v>
                </c:pt>
                <c:pt idx="1">
                  <c:v>0.45764099815377302</c:v>
                </c:pt>
                <c:pt idx="2">
                  <c:v>0.58708027952957298</c:v>
                </c:pt>
                <c:pt idx="3">
                  <c:v>0.99113672362079996</c:v>
                </c:pt>
                <c:pt idx="4">
                  <c:v>1.103506493506492</c:v>
                </c:pt>
              </c:numCache>
            </c:numRef>
          </c:val>
          <c:smooth val="0"/>
        </c:ser>
        <c:ser>
          <c:idx val="2"/>
          <c:order val="2"/>
          <c:tx>
            <c:strRef>
              <c:f>Apranga!$A$11</c:f>
              <c:strCache>
                <c:ptCount val="1"/>
                <c:pt idx="0">
                  <c:v>Kritinis likvidumas</c:v>
                </c:pt>
              </c:strCache>
            </c:strRef>
          </c:tx>
          <c:dLbls>
            <c:dLbl>
              <c:idx val="0"/>
              <c:layout>
                <c:manualLayout>
                  <c:x val="-4.1666666666666699E-2"/>
                  <c:y val="-2.7777777777778401E-2"/>
                </c:manualLayout>
              </c:layout>
              <c:showLegendKey val="0"/>
              <c:showVal val="1"/>
              <c:showCatName val="0"/>
              <c:showSerName val="0"/>
              <c:showPercent val="0"/>
              <c:showBubbleSize val="0"/>
            </c:dLbl>
            <c:dLbl>
              <c:idx val="1"/>
              <c:layout>
                <c:manualLayout>
                  <c:x val="-3.6111111111111198E-2"/>
                  <c:y val="4.6296296296296901E-3"/>
                </c:manualLayout>
              </c:layout>
              <c:showLegendKey val="0"/>
              <c:showVal val="1"/>
              <c:showCatName val="0"/>
              <c:showSerName val="0"/>
              <c:showPercent val="0"/>
              <c:showBubbleSize val="0"/>
            </c:dLbl>
            <c:dLbl>
              <c:idx val="2"/>
              <c:layout>
                <c:manualLayout>
                  <c:x val="-3.6111111111111198E-2"/>
                  <c:y val="-3.2407407407407898E-2"/>
                </c:manualLayout>
              </c:layout>
              <c:showLegendKey val="0"/>
              <c:showVal val="1"/>
              <c:showCatName val="0"/>
              <c:showSerName val="0"/>
              <c:showPercent val="0"/>
              <c:showBubbleSize val="0"/>
            </c:dLbl>
            <c:dLbl>
              <c:idx val="3"/>
              <c:layout>
                <c:manualLayout>
                  <c:x val="-4.1666666666666699E-2"/>
                  <c:y val="-4.1666666666666699E-2"/>
                </c:manualLayout>
              </c:layout>
              <c:showLegendKey val="0"/>
              <c:showVal val="1"/>
              <c:showCatName val="0"/>
              <c:showSerName val="0"/>
              <c:showPercent val="0"/>
              <c:showBubbleSize val="0"/>
            </c:dLbl>
            <c:dLbl>
              <c:idx val="4"/>
              <c:layout>
                <c:manualLayout>
                  <c:x val="-5.2777777777777798E-2"/>
                  <c:y val="-3.70370370370370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Apranga!$B$2:$F$2</c:f>
              <c:numCache>
                <c:formatCode>General</c:formatCode>
                <c:ptCount val="5"/>
                <c:pt idx="0">
                  <c:v>2008</c:v>
                </c:pt>
                <c:pt idx="1">
                  <c:v>2009</c:v>
                </c:pt>
                <c:pt idx="2">
                  <c:v>2010</c:v>
                </c:pt>
                <c:pt idx="3">
                  <c:v>2011</c:v>
                </c:pt>
                <c:pt idx="4">
                  <c:v>2012</c:v>
                </c:pt>
              </c:numCache>
            </c:numRef>
          </c:cat>
          <c:val>
            <c:numRef>
              <c:f>Apranga!$B$11:$F$11</c:f>
              <c:numCache>
                <c:formatCode>0.00</c:formatCode>
                <c:ptCount val="5"/>
                <c:pt idx="0">
                  <c:v>1.88833895526625E-2</c:v>
                </c:pt>
                <c:pt idx="1">
                  <c:v>1.9191828955988501E-2</c:v>
                </c:pt>
                <c:pt idx="2">
                  <c:v>4.7349582410090303E-2</c:v>
                </c:pt>
                <c:pt idx="3">
                  <c:v>0.10245003875577099</c:v>
                </c:pt>
                <c:pt idx="4">
                  <c:v>4.3268398268398303E-2</c:v>
                </c:pt>
              </c:numCache>
            </c:numRef>
          </c:val>
          <c:smooth val="0"/>
        </c:ser>
        <c:ser>
          <c:idx val="3"/>
          <c:order val="3"/>
          <c:tx>
            <c:strRef>
              <c:f>Apranga!$A$13</c:f>
              <c:strCache>
                <c:ptCount val="1"/>
                <c:pt idx="0">
                  <c:v>Tr. Į. apmokėjimo pinigais koeficientas</c:v>
                </c:pt>
              </c:strCache>
            </c:strRef>
          </c:tx>
          <c:dLbls>
            <c:dLbl>
              <c:idx val="0"/>
              <c:layout>
                <c:manualLayout>
                  <c:x val="-4.1666666666666699E-2"/>
                  <c:y val="1.38888888888891E-2"/>
                </c:manualLayout>
              </c:layout>
              <c:showLegendKey val="0"/>
              <c:showVal val="1"/>
              <c:showCatName val="0"/>
              <c:showSerName val="0"/>
              <c:showPercent val="0"/>
              <c:showBubbleSize val="0"/>
            </c:dLbl>
            <c:dLbl>
              <c:idx val="1"/>
              <c:layout>
                <c:manualLayout>
                  <c:x val="-6.3888888888888898E-2"/>
                  <c:y val="-2.7777777777778401E-2"/>
                </c:manualLayout>
              </c:layout>
              <c:showLegendKey val="0"/>
              <c:showVal val="1"/>
              <c:showCatName val="0"/>
              <c:showSerName val="0"/>
              <c:showPercent val="0"/>
              <c:showBubbleSize val="0"/>
            </c:dLbl>
            <c:dLbl>
              <c:idx val="2"/>
              <c:layout>
                <c:manualLayout>
                  <c:x val="-4.7222222222222297E-2"/>
                  <c:y val="-3.2407407407407898E-2"/>
                </c:manualLayout>
              </c:layout>
              <c:showLegendKey val="0"/>
              <c:showVal val="1"/>
              <c:showCatName val="0"/>
              <c:showSerName val="0"/>
              <c:showPercent val="0"/>
              <c:showBubbleSize val="0"/>
            </c:dLbl>
            <c:dLbl>
              <c:idx val="3"/>
              <c:layout>
                <c:manualLayout>
                  <c:x val="-3.8888888888888799E-2"/>
                  <c:y val="-4.1666666666666699E-2"/>
                </c:manualLayout>
              </c:layout>
              <c:showLegendKey val="0"/>
              <c:showVal val="1"/>
              <c:showCatName val="0"/>
              <c:showSerName val="0"/>
              <c:showPercent val="0"/>
              <c:showBubbleSize val="0"/>
            </c:dLbl>
            <c:dLbl>
              <c:idx val="4"/>
              <c:layout>
                <c:manualLayout>
                  <c:x val="-5.8333333333334098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Apranga!$B$2:$F$2</c:f>
              <c:numCache>
                <c:formatCode>General</c:formatCode>
                <c:ptCount val="5"/>
                <c:pt idx="0">
                  <c:v>2008</c:v>
                </c:pt>
                <c:pt idx="1">
                  <c:v>2009</c:v>
                </c:pt>
                <c:pt idx="2">
                  <c:v>2010</c:v>
                </c:pt>
                <c:pt idx="3">
                  <c:v>2011</c:v>
                </c:pt>
                <c:pt idx="4">
                  <c:v>2012</c:v>
                </c:pt>
              </c:numCache>
            </c:numRef>
          </c:cat>
          <c:val>
            <c:numRef>
              <c:f>Apranga!$B$13:$F$13</c:f>
              <c:numCache>
                <c:formatCode>0.00</c:formatCode>
                <c:ptCount val="5"/>
                <c:pt idx="0">
                  <c:v>-3.3552956506205101E-2</c:v>
                </c:pt>
                <c:pt idx="1">
                  <c:v>7.6112202965874606E-2</c:v>
                </c:pt>
                <c:pt idx="2">
                  <c:v>0.82720299982955503</c:v>
                </c:pt>
                <c:pt idx="3">
                  <c:v>0.42681899369798199</c:v>
                </c:pt>
                <c:pt idx="4">
                  <c:v>0.26777056277056299</c:v>
                </c:pt>
              </c:numCache>
            </c:numRef>
          </c:val>
          <c:smooth val="0"/>
        </c:ser>
        <c:dLbls>
          <c:showLegendKey val="0"/>
          <c:showVal val="1"/>
          <c:showCatName val="0"/>
          <c:showSerName val="0"/>
          <c:showPercent val="0"/>
          <c:showBubbleSize val="0"/>
        </c:dLbls>
        <c:marker val="1"/>
        <c:smooth val="0"/>
        <c:axId val="158425856"/>
        <c:axId val="158427392"/>
      </c:lineChart>
      <c:catAx>
        <c:axId val="158425856"/>
        <c:scaling>
          <c:orientation val="minMax"/>
        </c:scaling>
        <c:delete val="0"/>
        <c:axPos val="b"/>
        <c:numFmt formatCode="General" sourceLinked="1"/>
        <c:majorTickMark val="none"/>
        <c:minorTickMark val="none"/>
        <c:tickLblPos val="nextTo"/>
        <c:crossAx val="158427392"/>
        <c:crosses val="autoZero"/>
        <c:auto val="1"/>
        <c:lblAlgn val="ctr"/>
        <c:lblOffset val="100"/>
        <c:noMultiLvlLbl val="0"/>
      </c:catAx>
      <c:valAx>
        <c:axId val="158427392"/>
        <c:scaling>
          <c:orientation val="minMax"/>
        </c:scaling>
        <c:delete val="0"/>
        <c:axPos val="l"/>
        <c:majorGridlines/>
        <c:numFmt formatCode="0.00" sourceLinked="1"/>
        <c:majorTickMark val="none"/>
        <c:minorTickMark val="none"/>
        <c:tickLblPos val="nextTo"/>
        <c:crossAx val="158425856"/>
        <c:crosses val="autoZero"/>
        <c:crossBetween val="between"/>
      </c:valAx>
    </c:plotArea>
    <c:legend>
      <c:legendPos val="r"/>
      <c:overlay val="0"/>
    </c:legend>
    <c:plotVisOnly val="1"/>
    <c:dispBlanksAs val="gap"/>
    <c:showDLblsOverMax val="0"/>
  </c:chart>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'City service'!$A$9</c:f>
              <c:strCache>
                <c:ptCount val="1"/>
                <c:pt idx="0">
                  <c:v>Bendrasis likvidumas</c:v>
                </c:pt>
              </c:strCache>
            </c:strRef>
          </c:tx>
          <c:dLbls>
            <c:dLbl>
              <c:idx val="0"/>
              <c:layout>
                <c:manualLayout>
                  <c:x val="-4.1666666666666699E-2"/>
                  <c:y val="-5.0925925925925902E-2"/>
                </c:manualLayout>
              </c:layout>
              <c:showLegendKey val="0"/>
              <c:showVal val="1"/>
              <c:showCatName val="0"/>
              <c:showSerName val="0"/>
              <c:showPercent val="0"/>
              <c:showBubbleSize val="0"/>
            </c:dLbl>
            <c:dLbl>
              <c:idx val="2"/>
              <c:layout>
                <c:manualLayout>
                  <c:x val="-3.3333333333333298E-2"/>
                  <c:y val="-4.1666666666666602E-2"/>
                </c:manualLayout>
              </c:layout>
              <c:showLegendKey val="0"/>
              <c:showVal val="1"/>
              <c:showCatName val="0"/>
              <c:showSerName val="0"/>
              <c:showPercent val="0"/>
              <c:showBubbleSize val="0"/>
            </c:dLbl>
            <c:dLbl>
              <c:idx val="3"/>
              <c:layout>
                <c:manualLayout>
                  <c:x val="-4.7222222222222297E-2"/>
                  <c:y val="-3.2407407407407898E-2"/>
                </c:manualLayout>
              </c:layout>
              <c:showLegendKey val="0"/>
              <c:showVal val="1"/>
              <c:showCatName val="0"/>
              <c:showSerName val="0"/>
              <c:showPercent val="0"/>
              <c:showBubbleSize val="0"/>
            </c:dLbl>
            <c:dLbl>
              <c:idx val="4"/>
              <c:layout>
                <c:manualLayout>
                  <c:x val="-3.3333333333333298E-2"/>
                  <c:y val="-6.01851851851850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'City service'!$B$2:$F$2</c:f>
              <c:numCache>
                <c:formatCode>General</c:formatCode>
                <c:ptCount val="5"/>
                <c:pt idx="0">
                  <c:v>2008</c:v>
                </c:pt>
                <c:pt idx="1">
                  <c:v>2009</c:v>
                </c:pt>
                <c:pt idx="2">
                  <c:v>2010</c:v>
                </c:pt>
                <c:pt idx="3">
                  <c:v>2011</c:v>
                </c:pt>
                <c:pt idx="4">
                  <c:v>2012</c:v>
                </c:pt>
              </c:numCache>
            </c:numRef>
          </c:cat>
          <c:val>
            <c:numRef>
              <c:f>'City service'!$B$9:$F$9</c:f>
              <c:numCache>
                <c:formatCode>0.00</c:formatCode>
                <c:ptCount val="5"/>
                <c:pt idx="0">
                  <c:v>1.710617806473913</c:v>
                </c:pt>
                <c:pt idx="1">
                  <c:v>1.876918124262277</c:v>
                </c:pt>
                <c:pt idx="2">
                  <c:v>1.583938793483046</c:v>
                </c:pt>
                <c:pt idx="3">
                  <c:v>1.820824036888294</c:v>
                </c:pt>
                <c:pt idx="4">
                  <c:v>1.19886826305983</c:v>
                </c:pt>
              </c:numCache>
            </c:numRef>
          </c:val>
          <c:smooth val="0"/>
        </c:ser>
        <c:ser>
          <c:idx val="1"/>
          <c:order val="1"/>
          <c:tx>
            <c:strRef>
              <c:f>'City service'!$A$10</c:f>
              <c:strCache>
                <c:ptCount val="1"/>
                <c:pt idx="0">
                  <c:v>Greitasis likvidumas</c:v>
                </c:pt>
              </c:strCache>
            </c:strRef>
          </c:tx>
          <c:dLbls>
            <c:dLbl>
              <c:idx val="0"/>
              <c:layout>
                <c:manualLayout>
                  <c:x val="-3.05555555555556E-2"/>
                  <c:y val="1.8518518518518601E-2"/>
                </c:manualLayout>
              </c:layout>
              <c:showLegendKey val="0"/>
              <c:showVal val="1"/>
              <c:showCatName val="0"/>
              <c:showSerName val="0"/>
              <c:showPercent val="0"/>
              <c:showBubbleSize val="0"/>
            </c:dLbl>
            <c:dLbl>
              <c:idx val="1"/>
              <c:layout>
                <c:manualLayout>
                  <c:x val="-3.3333333333333298E-2"/>
                  <c:y val="5.55555555555554E-2"/>
                </c:manualLayout>
              </c:layout>
              <c:showLegendKey val="0"/>
              <c:showVal val="1"/>
              <c:showCatName val="0"/>
              <c:showSerName val="0"/>
              <c:showPercent val="0"/>
              <c:showBubbleSize val="0"/>
            </c:dLbl>
            <c:dLbl>
              <c:idx val="2"/>
              <c:layout>
                <c:manualLayout>
                  <c:x val="-4.1666666666666699E-2"/>
                  <c:y val="3.2407407407407898E-2"/>
                </c:manualLayout>
              </c:layout>
              <c:showLegendKey val="0"/>
              <c:showVal val="1"/>
              <c:showCatName val="0"/>
              <c:showSerName val="0"/>
              <c:showPercent val="0"/>
              <c:showBubbleSize val="0"/>
            </c:dLbl>
            <c:dLbl>
              <c:idx val="3"/>
              <c:layout>
                <c:manualLayout>
                  <c:x val="-0.05"/>
                  <c:y val="4.6296296296296502E-2"/>
                </c:manualLayout>
              </c:layout>
              <c:showLegendKey val="0"/>
              <c:showVal val="1"/>
              <c:showCatName val="0"/>
              <c:showSerName val="0"/>
              <c:showPercent val="0"/>
              <c:showBubbleSize val="0"/>
            </c:dLbl>
            <c:dLbl>
              <c:idx val="4"/>
              <c:layout>
                <c:manualLayout>
                  <c:x val="-5.2777777777777798E-2"/>
                  <c:y val="4.6296296296296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'City service'!$B$2:$F$2</c:f>
              <c:numCache>
                <c:formatCode>General</c:formatCode>
                <c:ptCount val="5"/>
                <c:pt idx="0">
                  <c:v>2008</c:v>
                </c:pt>
                <c:pt idx="1">
                  <c:v>2009</c:v>
                </c:pt>
                <c:pt idx="2">
                  <c:v>2010</c:v>
                </c:pt>
                <c:pt idx="3">
                  <c:v>2011</c:v>
                </c:pt>
                <c:pt idx="4">
                  <c:v>2012</c:v>
                </c:pt>
              </c:numCache>
            </c:numRef>
          </c:cat>
          <c:val>
            <c:numRef>
              <c:f>'City service'!$B$10:$F$10</c:f>
              <c:numCache>
                <c:formatCode>0.00</c:formatCode>
                <c:ptCount val="5"/>
                <c:pt idx="0">
                  <c:v>1.686799542205619</c:v>
                </c:pt>
                <c:pt idx="1">
                  <c:v>1.870007511535587</c:v>
                </c:pt>
                <c:pt idx="2">
                  <c:v>1.5742330838103631</c:v>
                </c:pt>
                <c:pt idx="3">
                  <c:v>1.799970251375864</c:v>
                </c:pt>
                <c:pt idx="4">
                  <c:v>1.19885446138984</c:v>
                </c:pt>
              </c:numCache>
            </c:numRef>
          </c:val>
          <c:smooth val="0"/>
        </c:ser>
        <c:ser>
          <c:idx val="2"/>
          <c:order val="2"/>
          <c:tx>
            <c:strRef>
              <c:f>'City service'!$A$11</c:f>
              <c:strCache>
                <c:ptCount val="1"/>
                <c:pt idx="0">
                  <c:v>Kritinis likvidumas</c:v>
                </c:pt>
              </c:strCache>
            </c:strRef>
          </c:tx>
          <c:cat>
            <c:numRef>
              <c:f>'City service'!$B$2:$F$2</c:f>
              <c:numCache>
                <c:formatCode>General</c:formatCode>
                <c:ptCount val="5"/>
                <c:pt idx="0">
                  <c:v>2008</c:v>
                </c:pt>
                <c:pt idx="1">
                  <c:v>2009</c:v>
                </c:pt>
                <c:pt idx="2">
                  <c:v>2010</c:v>
                </c:pt>
                <c:pt idx="3">
                  <c:v>2011</c:v>
                </c:pt>
                <c:pt idx="4">
                  <c:v>2012</c:v>
                </c:pt>
              </c:numCache>
            </c:numRef>
          </c:cat>
          <c:val>
            <c:numRef>
              <c:f>'City service'!$B$11:$F$11</c:f>
              <c:numCache>
                <c:formatCode>0.00</c:formatCode>
                <c:ptCount val="5"/>
                <c:pt idx="0">
                  <c:v>1.32371677211773E-2</c:v>
                </c:pt>
                <c:pt idx="1">
                  <c:v>9.1211503380191003E-3</c:v>
                </c:pt>
                <c:pt idx="2">
                  <c:v>5.4307940701599899E-3</c:v>
                </c:pt>
                <c:pt idx="3">
                  <c:v>6.4257028112449897E-3</c:v>
                </c:pt>
                <c:pt idx="4">
                  <c:v>1.78041543026708E-3</c:v>
                </c:pt>
              </c:numCache>
            </c:numRef>
          </c:val>
          <c:smooth val="0"/>
        </c:ser>
        <c:ser>
          <c:idx val="3"/>
          <c:order val="3"/>
          <c:tx>
            <c:strRef>
              <c:f>'City service'!$A$13</c:f>
              <c:strCache>
                <c:ptCount val="1"/>
                <c:pt idx="0">
                  <c:v>Tr. Į. apmokėjimo pinigais koeficientas</c:v>
                </c:pt>
              </c:strCache>
            </c:strRef>
          </c:tx>
          <c:dLbls>
            <c:dLbl>
              <c:idx val="0"/>
              <c:layout>
                <c:manualLayout>
                  <c:x val="-4.7222222222222297E-2"/>
                  <c:y val="-4.1666666666666699E-2"/>
                </c:manualLayout>
              </c:layout>
              <c:showLegendKey val="0"/>
              <c:showVal val="1"/>
              <c:showCatName val="0"/>
              <c:showSerName val="0"/>
              <c:showPercent val="0"/>
              <c:showBubbleSize val="0"/>
            </c:dLbl>
            <c:dLbl>
              <c:idx val="1"/>
              <c:layout>
                <c:manualLayout>
                  <c:x val="-0.05"/>
                  <c:y val="-4.6296296296296502E-2"/>
                </c:manualLayout>
              </c:layout>
              <c:showLegendKey val="0"/>
              <c:showVal val="1"/>
              <c:showCatName val="0"/>
              <c:showSerName val="0"/>
              <c:showPercent val="0"/>
              <c:showBubbleSize val="0"/>
            </c:dLbl>
            <c:dLbl>
              <c:idx val="2"/>
              <c:layout>
                <c:manualLayout>
                  <c:x val="-5.8333333333334098E-2"/>
                  <c:y val="-4.1666666666666699E-2"/>
                </c:manualLayout>
              </c:layout>
              <c:showLegendKey val="0"/>
              <c:showVal val="1"/>
              <c:showCatName val="0"/>
              <c:showSerName val="0"/>
              <c:showPercent val="0"/>
              <c:showBubbleSize val="0"/>
            </c:dLbl>
            <c:dLbl>
              <c:idx val="3"/>
              <c:layout>
                <c:manualLayout>
                  <c:x val="-4.1666666666666699E-2"/>
                  <c:y val="-3.2407407407407898E-2"/>
                </c:manualLayout>
              </c:layout>
              <c:showLegendKey val="0"/>
              <c:showVal val="1"/>
              <c:showCatName val="0"/>
              <c:showSerName val="0"/>
              <c:showPercent val="0"/>
              <c:showBubbleSize val="0"/>
            </c:dLbl>
            <c:dLbl>
              <c:idx val="4"/>
              <c:layout>
                <c:manualLayout>
                  <c:x val="-4.1666666666666699E-2"/>
                  <c:y val="-5.09259259259259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'City service'!$B$2:$F$2</c:f>
              <c:numCache>
                <c:formatCode>General</c:formatCode>
                <c:ptCount val="5"/>
                <c:pt idx="0">
                  <c:v>2008</c:v>
                </c:pt>
                <c:pt idx="1">
                  <c:v>2009</c:v>
                </c:pt>
                <c:pt idx="2">
                  <c:v>2010</c:v>
                </c:pt>
                <c:pt idx="3">
                  <c:v>2011</c:v>
                </c:pt>
                <c:pt idx="4">
                  <c:v>2012</c:v>
                </c:pt>
              </c:numCache>
            </c:numRef>
          </c:cat>
          <c:val>
            <c:numRef>
              <c:f>'City service'!$B$13:$F$13</c:f>
              <c:numCache>
                <c:formatCode>0.00</c:formatCode>
                <c:ptCount val="5"/>
                <c:pt idx="0">
                  <c:v>0.105530242501459</c:v>
                </c:pt>
                <c:pt idx="1">
                  <c:v>0.24818113531494801</c:v>
                </c:pt>
                <c:pt idx="2">
                  <c:v>0.33935124027594699</c:v>
                </c:pt>
                <c:pt idx="3">
                  <c:v>0.76962665476721703</c:v>
                </c:pt>
                <c:pt idx="4">
                  <c:v>5.6283210268442498E-2</c:v>
                </c:pt>
              </c:numCache>
            </c:numRef>
          </c:val>
          <c:smooth val="0"/>
        </c:ser>
        <c:dLbls>
          <c:showLegendKey val="0"/>
          <c:showVal val="1"/>
          <c:showCatName val="0"/>
          <c:showSerName val="0"/>
          <c:showPercent val="0"/>
          <c:showBubbleSize val="0"/>
        </c:dLbls>
        <c:marker val="1"/>
        <c:smooth val="0"/>
        <c:axId val="158696576"/>
        <c:axId val="158724096"/>
      </c:lineChart>
      <c:catAx>
        <c:axId val="158696576"/>
        <c:scaling>
          <c:orientation val="minMax"/>
        </c:scaling>
        <c:delete val="0"/>
        <c:axPos val="b"/>
        <c:numFmt formatCode="General" sourceLinked="1"/>
        <c:majorTickMark val="none"/>
        <c:minorTickMark val="none"/>
        <c:tickLblPos val="nextTo"/>
        <c:crossAx val="158724096"/>
        <c:crosses val="autoZero"/>
        <c:auto val="1"/>
        <c:lblAlgn val="ctr"/>
        <c:lblOffset val="100"/>
        <c:noMultiLvlLbl val="0"/>
      </c:catAx>
      <c:valAx>
        <c:axId val="158724096"/>
        <c:scaling>
          <c:orientation val="minMax"/>
        </c:scaling>
        <c:delete val="0"/>
        <c:axPos val="l"/>
        <c:majorGridlines/>
        <c:numFmt formatCode="0.00" sourceLinked="1"/>
        <c:majorTickMark val="none"/>
        <c:minorTickMark val="none"/>
        <c:tickLblPos val="nextTo"/>
        <c:crossAx val="158696576"/>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'Dvarčionių keramika'!$A$8</c:f>
              <c:strCache>
                <c:ptCount val="1"/>
                <c:pt idx="0">
                  <c:v>Bendrasis likvidumas</c:v>
                </c:pt>
              </c:strCache>
            </c:strRef>
          </c:tx>
          <c:dLbls>
            <c:dLbl>
              <c:idx val="0"/>
              <c:layout>
                <c:manualLayout>
                  <c:x val="-4.7222222222222297E-2"/>
                  <c:y val="-3.7037037037037097E-2"/>
                </c:manualLayout>
              </c:layout>
              <c:showLegendKey val="0"/>
              <c:showVal val="1"/>
              <c:showCatName val="0"/>
              <c:showSerName val="0"/>
              <c:showPercent val="0"/>
              <c:showBubbleSize val="0"/>
            </c:dLbl>
            <c:dLbl>
              <c:idx val="1"/>
              <c:layout>
                <c:manualLayout>
                  <c:x val="-3.6111111111111198E-2"/>
                  <c:y val="-3.2407407407407898E-2"/>
                </c:manualLayout>
              </c:layout>
              <c:showLegendKey val="0"/>
              <c:showVal val="1"/>
              <c:showCatName val="0"/>
              <c:showSerName val="0"/>
              <c:showPercent val="0"/>
              <c:showBubbleSize val="0"/>
            </c:dLbl>
            <c:dLbl>
              <c:idx val="2"/>
              <c:layout>
                <c:manualLayout>
                  <c:x val="-1.6666666666666701E-2"/>
                  <c:y val="-1.38888888888891E-2"/>
                </c:manualLayout>
              </c:layout>
              <c:showLegendKey val="0"/>
              <c:showVal val="1"/>
              <c:showCatName val="0"/>
              <c:showSerName val="0"/>
              <c:showPercent val="0"/>
              <c:showBubbleSize val="0"/>
            </c:dLbl>
            <c:dLbl>
              <c:idx val="3"/>
              <c:layout>
                <c:manualLayout>
                  <c:x val="-4.1666666666666699E-2"/>
                  <c:y val="-4.6296296296296502E-2"/>
                </c:manualLayout>
              </c:layout>
              <c:showLegendKey val="0"/>
              <c:showVal val="1"/>
              <c:showCatName val="0"/>
              <c:showSerName val="0"/>
              <c:showPercent val="0"/>
              <c:showBubbleSize val="0"/>
            </c:dLbl>
            <c:dLbl>
              <c:idx val="4"/>
              <c:layout>
                <c:manualLayout>
                  <c:x val="-3.8888888888888903E-2"/>
                  <c:y val="-4.16666666666666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'Dvarčionių keramika'!$B$1:$F$1</c:f>
              <c:numCache>
                <c:formatCode>General</c:formatCode>
                <c:ptCount val="5"/>
                <c:pt idx="0">
                  <c:v>2008</c:v>
                </c:pt>
                <c:pt idx="1">
                  <c:v>2009</c:v>
                </c:pt>
                <c:pt idx="2">
                  <c:v>2010</c:v>
                </c:pt>
                <c:pt idx="3">
                  <c:v>2011</c:v>
                </c:pt>
                <c:pt idx="4">
                  <c:v>2012</c:v>
                </c:pt>
              </c:numCache>
            </c:numRef>
          </c:cat>
          <c:val>
            <c:numRef>
              <c:f>'Dvarčionių keramika'!$B$8:$F$8</c:f>
              <c:numCache>
                <c:formatCode>0.00</c:formatCode>
                <c:ptCount val="5"/>
                <c:pt idx="0">
                  <c:v>1.1985695802185159</c:v>
                </c:pt>
                <c:pt idx="1">
                  <c:v>1.2041007869467919</c:v>
                </c:pt>
                <c:pt idx="2">
                  <c:v>0.82081892223585895</c:v>
                </c:pt>
                <c:pt idx="3">
                  <c:v>0.54441240343194297</c:v>
                </c:pt>
                <c:pt idx="4">
                  <c:v>0.51883658467627902</c:v>
                </c:pt>
              </c:numCache>
            </c:numRef>
          </c:val>
          <c:smooth val="0"/>
        </c:ser>
        <c:ser>
          <c:idx val="1"/>
          <c:order val="1"/>
          <c:tx>
            <c:strRef>
              <c:f>'Dvarčionių keramika'!$A$9</c:f>
              <c:strCache>
                <c:ptCount val="1"/>
                <c:pt idx="0">
                  <c:v>Greitasis likvidumas</c:v>
                </c:pt>
              </c:strCache>
            </c:strRef>
          </c:tx>
          <c:dLbls>
            <c:dLbl>
              <c:idx val="0"/>
              <c:layout>
                <c:manualLayout>
                  <c:x val="-5.2777777777777798E-2"/>
                  <c:y val="-3.6158179222143698E-2"/>
                </c:manualLayout>
              </c:layout>
              <c:showLegendKey val="0"/>
              <c:showVal val="1"/>
              <c:showCatName val="0"/>
              <c:showSerName val="0"/>
              <c:showPercent val="0"/>
              <c:showBubbleSize val="0"/>
            </c:dLbl>
            <c:dLbl>
              <c:idx val="1"/>
              <c:layout>
                <c:manualLayout>
                  <c:x val="-4.1666666666666699E-2"/>
                  <c:y val="4.5197724027680099E-3"/>
                </c:manualLayout>
              </c:layout>
              <c:showLegendKey val="0"/>
              <c:showVal val="1"/>
              <c:showCatName val="0"/>
              <c:showSerName val="0"/>
              <c:showPercent val="0"/>
              <c:showBubbleSize val="0"/>
            </c:dLbl>
            <c:dLbl>
              <c:idx val="2"/>
              <c:layout>
                <c:manualLayout>
                  <c:x val="-5.8333333333334098E-2"/>
                  <c:y val="2.7118634416607699E-2"/>
                </c:manualLayout>
              </c:layout>
              <c:showLegendKey val="0"/>
              <c:showVal val="1"/>
              <c:showCatName val="0"/>
              <c:showSerName val="0"/>
              <c:showPercent val="0"/>
              <c:showBubbleSize val="0"/>
            </c:dLbl>
            <c:dLbl>
              <c:idx val="3"/>
              <c:layout>
                <c:manualLayout>
                  <c:x val="-4.1666666666666699E-2"/>
                  <c:y val="-5.4237268833216001E-2"/>
                </c:manualLayout>
              </c:layout>
              <c:showLegendKey val="0"/>
              <c:showVal val="1"/>
              <c:showCatName val="0"/>
              <c:showSerName val="0"/>
              <c:showPercent val="0"/>
              <c:showBubbleSize val="0"/>
            </c:dLbl>
            <c:dLbl>
              <c:idx val="4"/>
              <c:layout>
                <c:manualLayout>
                  <c:x val="-4.1666666666666699E-2"/>
                  <c:y val="-4.06779516249115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'Dvarčionių keramika'!$B$1:$F$1</c:f>
              <c:numCache>
                <c:formatCode>General</c:formatCode>
                <c:ptCount val="5"/>
                <c:pt idx="0">
                  <c:v>2008</c:v>
                </c:pt>
                <c:pt idx="1">
                  <c:v>2009</c:v>
                </c:pt>
                <c:pt idx="2">
                  <c:v>2010</c:v>
                </c:pt>
                <c:pt idx="3">
                  <c:v>2011</c:v>
                </c:pt>
                <c:pt idx="4">
                  <c:v>2012</c:v>
                </c:pt>
              </c:numCache>
            </c:numRef>
          </c:cat>
          <c:val>
            <c:numRef>
              <c:f>'Dvarčionių keramika'!$B$9:$F$9</c:f>
              <c:numCache>
                <c:formatCode>0.00</c:formatCode>
                <c:ptCount val="5"/>
                <c:pt idx="0">
                  <c:v>0.30732461184589599</c:v>
                </c:pt>
                <c:pt idx="1">
                  <c:v>0.39130748682406202</c:v>
                </c:pt>
                <c:pt idx="2">
                  <c:v>0.26023652794823199</c:v>
                </c:pt>
                <c:pt idx="3">
                  <c:v>0.13414503898323199</c:v>
                </c:pt>
                <c:pt idx="4">
                  <c:v>0.14185750636132299</c:v>
                </c:pt>
              </c:numCache>
            </c:numRef>
          </c:val>
          <c:smooth val="0"/>
        </c:ser>
        <c:ser>
          <c:idx val="2"/>
          <c:order val="2"/>
          <c:tx>
            <c:strRef>
              <c:f>'Dvarčionių keramika'!$A$10</c:f>
              <c:strCache>
                <c:ptCount val="1"/>
                <c:pt idx="0">
                  <c:v>Kritinis likvidumas</c:v>
                </c:pt>
              </c:strCache>
            </c:strRef>
          </c:tx>
          <c:dLbls>
            <c:dLbl>
              <c:idx val="0"/>
              <c:layout>
                <c:manualLayout>
                  <c:x val="-4.7222222222222297E-2"/>
                  <c:y val="1.80790896110718E-2"/>
                </c:manualLayout>
              </c:layout>
              <c:showLegendKey val="0"/>
              <c:showVal val="1"/>
              <c:showCatName val="0"/>
              <c:showSerName val="0"/>
              <c:showPercent val="0"/>
              <c:showBubbleSize val="0"/>
            </c:dLbl>
            <c:dLbl>
              <c:idx val="1"/>
              <c:layout>
                <c:manualLayout>
                  <c:x val="-0.05"/>
                  <c:y val="4.5197724027680099E-3"/>
                </c:manualLayout>
              </c:layout>
              <c:showLegendKey val="0"/>
              <c:showVal val="1"/>
              <c:showCatName val="0"/>
              <c:showSerName val="0"/>
              <c:showPercent val="0"/>
              <c:showBubbleSize val="0"/>
            </c:dLbl>
            <c:dLbl>
              <c:idx val="2"/>
              <c:layout>
                <c:manualLayout>
                  <c:x val="-4.1666666666666699E-2"/>
                  <c:y val="4.5197724027680099E-3"/>
                </c:manualLayout>
              </c:layout>
              <c:showLegendKey val="0"/>
              <c:showVal val="1"/>
              <c:showCatName val="0"/>
              <c:showSerName val="0"/>
              <c:showPercent val="0"/>
              <c:showBubbleSize val="0"/>
            </c:dLbl>
            <c:dLbl>
              <c:idx val="3"/>
              <c:layout>
                <c:manualLayout>
                  <c:x val="-5.5555555555555497E-3"/>
                  <c:y val="2.7118634416607699E-2"/>
                </c:manualLayout>
              </c:layout>
              <c:showLegendKey val="0"/>
              <c:showVal val="1"/>
              <c:showCatName val="0"/>
              <c:showSerName val="0"/>
              <c:showPercent val="0"/>
              <c:showBubbleSize val="0"/>
            </c:dLbl>
            <c:dLbl>
              <c:idx val="4"/>
              <c:layout>
                <c:manualLayout>
                  <c:x val="5.5555555555555497E-3"/>
                  <c:y val="1.3559317208303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'Dvarčionių keramika'!$B$1:$F$1</c:f>
              <c:numCache>
                <c:formatCode>General</c:formatCode>
                <c:ptCount val="5"/>
                <c:pt idx="0">
                  <c:v>2008</c:v>
                </c:pt>
                <c:pt idx="1">
                  <c:v>2009</c:v>
                </c:pt>
                <c:pt idx="2">
                  <c:v>2010</c:v>
                </c:pt>
                <c:pt idx="3">
                  <c:v>2011</c:v>
                </c:pt>
                <c:pt idx="4">
                  <c:v>2012</c:v>
                </c:pt>
              </c:numCache>
            </c:numRef>
          </c:cat>
          <c:val>
            <c:numRef>
              <c:f>'Dvarčionių keramika'!$B$10:$F$10</c:f>
              <c:numCache>
                <c:formatCode>0.00</c:formatCode>
                <c:ptCount val="5"/>
                <c:pt idx="0">
                  <c:v>7.7630822311673398E-3</c:v>
                </c:pt>
                <c:pt idx="1">
                  <c:v>7.7972709551656898E-3</c:v>
                </c:pt>
                <c:pt idx="2">
                  <c:v>5.9689835992413299E-3</c:v>
                </c:pt>
                <c:pt idx="3">
                  <c:v>4.3077361244615404E-3</c:v>
                </c:pt>
                <c:pt idx="4">
                  <c:v>2.0144189991518199E-3</c:v>
                </c:pt>
              </c:numCache>
            </c:numRef>
          </c:val>
          <c:smooth val="0"/>
        </c:ser>
        <c:ser>
          <c:idx val="3"/>
          <c:order val="3"/>
          <c:tx>
            <c:strRef>
              <c:f>'Dvarčionių keramika'!$A$12</c:f>
              <c:strCache>
                <c:ptCount val="1"/>
                <c:pt idx="0">
                  <c:v>Tr. Į. apmokėjimo pinigais koeficientas</c:v>
                </c:pt>
              </c:strCache>
            </c:strRef>
          </c:tx>
          <c:dLbls>
            <c:dLbl>
              <c:idx val="0"/>
              <c:layout>
                <c:manualLayout>
                  <c:x val="-5.55555555555554E-2"/>
                  <c:y val="-4.5197724027679499E-2"/>
                </c:manualLayout>
              </c:layout>
              <c:showLegendKey val="0"/>
              <c:showVal val="1"/>
              <c:showCatName val="0"/>
              <c:showSerName val="0"/>
              <c:showPercent val="0"/>
              <c:showBubbleSize val="0"/>
            </c:dLbl>
            <c:dLbl>
              <c:idx val="1"/>
              <c:layout>
                <c:manualLayout>
                  <c:x val="-5.2777777777777798E-2"/>
                  <c:y val="-4.0677951624911501E-2"/>
                </c:manualLayout>
              </c:layout>
              <c:showLegendKey val="0"/>
              <c:showVal val="1"/>
              <c:showCatName val="0"/>
              <c:showSerName val="0"/>
              <c:showPercent val="0"/>
              <c:showBubbleSize val="0"/>
            </c:dLbl>
            <c:dLbl>
              <c:idx val="2"/>
              <c:layout>
                <c:manualLayout>
                  <c:x val="-4.1666666666666699E-2"/>
                  <c:y val="-4.0677951624911599E-2"/>
                </c:manualLayout>
              </c:layout>
              <c:showLegendKey val="0"/>
              <c:showVal val="1"/>
              <c:showCatName val="0"/>
              <c:showSerName val="0"/>
              <c:showPercent val="0"/>
              <c:showBubbleSize val="0"/>
            </c:dLbl>
            <c:dLbl>
              <c:idx val="3"/>
              <c:layout>
                <c:manualLayout>
                  <c:x val="-2.7777777777778401E-2"/>
                  <c:y val="-1.35593172083039E-2"/>
                </c:manualLayout>
              </c:layout>
              <c:showLegendKey val="0"/>
              <c:showVal val="1"/>
              <c:showCatName val="0"/>
              <c:showSerName val="0"/>
              <c:showPercent val="0"/>
              <c:showBubbleSize val="0"/>
            </c:dLbl>
            <c:dLbl>
              <c:idx val="4"/>
              <c:layout>
                <c:manualLayout>
                  <c:x val="-4.1666666666666699E-2"/>
                  <c:y val="-1.8079089611071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'Dvarčionių keramika'!$B$1:$F$1</c:f>
              <c:numCache>
                <c:formatCode>General</c:formatCode>
                <c:ptCount val="5"/>
                <c:pt idx="0">
                  <c:v>2008</c:v>
                </c:pt>
                <c:pt idx="1">
                  <c:v>2009</c:v>
                </c:pt>
                <c:pt idx="2">
                  <c:v>2010</c:v>
                </c:pt>
                <c:pt idx="3">
                  <c:v>2011</c:v>
                </c:pt>
                <c:pt idx="4">
                  <c:v>2012</c:v>
                </c:pt>
              </c:numCache>
            </c:numRef>
          </c:cat>
          <c:val>
            <c:numRef>
              <c:f>'Dvarčionių keramika'!$B$12:$F$12</c:f>
              <c:numCache>
                <c:formatCode>0.00</c:formatCode>
                <c:ptCount val="5"/>
                <c:pt idx="0">
                  <c:v>7.1628809660724199E-2</c:v>
                </c:pt>
                <c:pt idx="1">
                  <c:v>0.47057974153491</c:v>
                </c:pt>
                <c:pt idx="2">
                  <c:v>0.27574472832756902</c:v>
                </c:pt>
                <c:pt idx="3">
                  <c:v>1.73377478728328E-2</c:v>
                </c:pt>
                <c:pt idx="4">
                  <c:v>3.6047497879559401E-3</c:v>
                </c:pt>
              </c:numCache>
            </c:numRef>
          </c:val>
          <c:smooth val="0"/>
        </c:ser>
        <c:dLbls>
          <c:showLegendKey val="0"/>
          <c:showVal val="1"/>
          <c:showCatName val="0"/>
          <c:showSerName val="0"/>
          <c:showPercent val="0"/>
          <c:showBubbleSize val="0"/>
        </c:dLbls>
        <c:marker val="1"/>
        <c:smooth val="0"/>
        <c:axId val="158756224"/>
        <c:axId val="159073408"/>
      </c:lineChart>
      <c:catAx>
        <c:axId val="158756224"/>
        <c:scaling>
          <c:orientation val="minMax"/>
        </c:scaling>
        <c:delete val="0"/>
        <c:axPos val="b"/>
        <c:numFmt formatCode="General" sourceLinked="1"/>
        <c:majorTickMark val="none"/>
        <c:minorTickMark val="none"/>
        <c:tickLblPos val="nextTo"/>
        <c:crossAx val="159073408"/>
        <c:crosses val="autoZero"/>
        <c:auto val="1"/>
        <c:lblAlgn val="ctr"/>
        <c:lblOffset val="100"/>
        <c:noMultiLvlLbl val="0"/>
      </c:catAx>
      <c:valAx>
        <c:axId val="159073408"/>
        <c:scaling>
          <c:orientation val="minMax"/>
        </c:scaling>
        <c:delete val="0"/>
        <c:axPos val="l"/>
        <c:majorGridlines/>
        <c:numFmt formatCode="0.00" sourceLinked="1"/>
        <c:majorTickMark val="none"/>
        <c:minorTickMark val="none"/>
        <c:tickLblPos val="nextTo"/>
        <c:crossAx val="15875622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Grigiškės!$A$9</c:f>
              <c:strCache>
                <c:ptCount val="1"/>
                <c:pt idx="0">
                  <c:v>Bendrasis likvidumas</c:v>
                </c:pt>
              </c:strCache>
            </c:strRef>
          </c:tx>
          <c:dLbls>
            <c:dLbl>
              <c:idx val="0"/>
              <c:layout>
                <c:manualLayout>
                  <c:x val="-5.2777777777777798E-2"/>
                  <c:y val="-4.1666666666666699E-2"/>
                </c:manualLayout>
              </c:layout>
              <c:showLegendKey val="0"/>
              <c:showVal val="1"/>
              <c:showCatName val="0"/>
              <c:showSerName val="0"/>
              <c:showPercent val="0"/>
              <c:showBubbleSize val="0"/>
            </c:dLbl>
            <c:dLbl>
              <c:idx val="1"/>
              <c:layout>
                <c:manualLayout>
                  <c:x val="-3.6111111111111198E-2"/>
                  <c:y val="-2.7777777777778401E-2"/>
                </c:manualLayout>
              </c:layout>
              <c:showLegendKey val="0"/>
              <c:showVal val="1"/>
              <c:showCatName val="0"/>
              <c:showSerName val="0"/>
              <c:showPercent val="0"/>
              <c:showBubbleSize val="0"/>
            </c:dLbl>
            <c:dLbl>
              <c:idx val="2"/>
              <c:layout>
                <c:manualLayout>
                  <c:x val="-3.8888888888888903E-2"/>
                  <c:y val="-4.6296296296296502E-2"/>
                </c:manualLayout>
              </c:layout>
              <c:showLegendKey val="0"/>
              <c:showVal val="1"/>
              <c:showCatName val="0"/>
              <c:showSerName val="0"/>
              <c:showPercent val="0"/>
              <c:showBubbleSize val="0"/>
            </c:dLbl>
            <c:dLbl>
              <c:idx val="3"/>
              <c:layout>
                <c:manualLayout>
                  <c:x val="-4.1666666666666699E-2"/>
                  <c:y val="-3.7037037037037097E-2"/>
                </c:manualLayout>
              </c:layout>
              <c:showLegendKey val="0"/>
              <c:showVal val="1"/>
              <c:showCatName val="0"/>
              <c:showSerName val="0"/>
              <c:showPercent val="0"/>
              <c:showBubbleSize val="0"/>
            </c:dLbl>
            <c:dLbl>
              <c:idx val="4"/>
              <c:layout>
                <c:manualLayout>
                  <c:x val="-4.4444444444444502E-2"/>
                  <c:y val="-5.5555555555555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Grigiškės!$B$2:$F$2</c:f>
              <c:numCache>
                <c:formatCode>General</c:formatCode>
                <c:ptCount val="5"/>
                <c:pt idx="0">
                  <c:v>2008</c:v>
                </c:pt>
                <c:pt idx="1">
                  <c:v>2009</c:v>
                </c:pt>
                <c:pt idx="2">
                  <c:v>2010</c:v>
                </c:pt>
                <c:pt idx="3">
                  <c:v>2011</c:v>
                </c:pt>
                <c:pt idx="4">
                  <c:v>2012</c:v>
                </c:pt>
              </c:numCache>
            </c:numRef>
          </c:cat>
          <c:val>
            <c:numRef>
              <c:f>Grigiškės!$B$9:$F$9</c:f>
              <c:numCache>
                <c:formatCode>0.00</c:formatCode>
                <c:ptCount val="5"/>
                <c:pt idx="0">
                  <c:v>0.87541379044881895</c:v>
                </c:pt>
                <c:pt idx="1">
                  <c:v>1.1177569317615961</c:v>
                </c:pt>
                <c:pt idx="2">
                  <c:v>0.71445911466720002</c:v>
                </c:pt>
                <c:pt idx="3">
                  <c:v>0.68426801378980795</c:v>
                </c:pt>
                <c:pt idx="4">
                  <c:v>0.63478207974695</c:v>
                </c:pt>
              </c:numCache>
            </c:numRef>
          </c:val>
          <c:smooth val="0"/>
        </c:ser>
        <c:ser>
          <c:idx val="1"/>
          <c:order val="1"/>
          <c:tx>
            <c:strRef>
              <c:f>Grigiškės!$A$10</c:f>
              <c:strCache>
                <c:ptCount val="1"/>
                <c:pt idx="0">
                  <c:v>Greitasis likvidumas</c:v>
                </c:pt>
              </c:strCache>
            </c:strRef>
          </c:tx>
          <c:dLbls>
            <c:dLbl>
              <c:idx val="0"/>
              <c:layout>
                <c:manualLayout>
                  <c:x val="-4.7222222222222297E-2"/>
                  <c:y val="-5.0925925925925902E-2"/>
                </c:manualLayout>
              </c:layout>
              <c:showLegendKey val="0"/>
              <c:showVal val="1"/>
              <c:showCatName val="0"/>
              <c:showSerName val="0"/>
              <c:showPercent val="0"/>
              <c:showBubbleSize val="0"/>
            </c:dLbl>
            <c:dLbl>
              <c:idx val="1"/>
              <c:layout>
                <c:manualLayout>
                  <c:x val="-4.1666666666666699E-2"/>
                  <c:y val="1.38888888888891E-2"/>
                </c:manualLayout>
              </c:layout>
              <c:showLegendKey val="0"/>
              <c:showVal val="1"/>
              <c:showCatName val="0"/>
              <c:showSerName val="0"/>
              <c:showPercent val="0"/>
              <c:showBubbleSize val="0"/>
            </c:dLbl>
            <c:dLbl>
              <c:idx val="2"/>
              <c:layout>
                <c:manualLayout>
                  <c:x val="-3.8888888888888903E-2"/>
                  <c:y val="-4.1666666666666699E-2"/>
                </c:manualLayout>
              </c:layout>
              <c:showLegendKey val="0"/>
              <c:showVal val="1"/>
              <c:showCatName val="0"/>
              <c:showSerName val="0"/>
              <c:showPercent val="0"/>
              <c:showBubbleSize val="0"/>
            </c:dLbl>
            <c:dLbl>
              <c:idx val="3"/>
              <c:layout>
                <c:manualLayout>
                  <c:x val="-4.4444444444444502E-2"/>
                  <c:y val="-3.7037037037037097E-2"/>
                </c:manualLayout>
              </c:layout>
              <c:showLegendKey val="0"/>
              <c:showVal val="1"/>
              <c:showCatName val="0"/>
              <c:showSerName val="0"/>
              <c:showPercent val="0"/>
              <c:showBubbleSize val="0"/>
            </c:dLbl>
            <c:dLbl>
              <c:idx val="4"/>
              <c:layout>
                <c:manualLayout>
                  <c:x val="-4.7222222222222297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Grigiškės!$B$2:$F$2</c:f>
              <c:numCache>
                <c:formatCode>General</c:formatCode>
                <c:ptCount val="5"/>
                <c:pt idx="0">
                  <c:v>2008</c:v>
                </c:pt>
                <c:pt idx="1">
                  <c:v>2009</c:v>
                </c:pt>
                <c:pt idx="2">
                  <c:v>2010</c:v>
                </c:pt>
                <c:pt idx="3">
                  <c:v>2011</c:v>
                </c:pt>
                <c:pt idx="4">
                  <c:v>2012</c:v>
                </c:pt>
              </c:numCache>
            </c:numRef>
          </c:cat>
          <c:val>
            <c:numRef>
              <c:f>Grigiškės!$B$10:$F$10</c:f>
              <c:numCache>
                <c:formatCode>0.00</c:formatCode>
                <c:ptCount val="5"/>
                <c:pt idx="0">
                  <c:v>0.55315763812260998</c:v>
                </c:pt>
                <c:pt idx="1">
                  <c:v>0.74468703304002004</c:v>
                </c:pt>
                <c:pt idx="2">
                  <c:v>0.467710371819966</c:v>
                </c:pt>
                <c:pt idx="3">
                  <c:v>0.49377069324504802</c:v>
                </c:pt>
                <c:pt idx="4">
                  <c:v>0.43045713069132302</c:v>
                </c:pt>
              </c:numCache>
            </c:numRef>
          </c:val>
          <c:smooth val="0"/>
        </c:ser>
        <c:ser>
          <c:idx val="2"/>
          <c:order val="2"/>
          <c:tx>
            <c:strRef>
              <c:f>Grigiškės!$A$11</c:f>
              <c:strCache>
                <c:ptCount val="1"/>
                <c:pt idx="0">
                  <c:v>Kritinis likvidumas</c:v>
                </c:pt>
              </c:strCache>
            </c:strRef>
          </c:tx>
          <c:dLbls>
            <c:dLbl>
              <c:idx val="0"/>
              <c:layout>
                <c:manualLayout>
                  <c:x val="-4.4444444444444502E-2"/>
                  <c:y val="-3.7037037037037097E-2"/>
                </c:manualLayout>
              </c:layout>
              <c:showLegendKey val="0"/>
              <c:showVal val="1"/>
              <c:showCatName val="0"/>
              <c:showSerName val="0"/>
              <c:showPercent val="0"/>
              <c:showBubbleSize val="0"/>
            </c:dLbl>
            <c:dLbl>
              <c:idx val="1"/>
              <c:layout>
                <c:manualLayout>
                  <c:x val="-3.8888888888888903E-2"/>
                  <c:y val="-3.2407407407407898E-2"/>
                </c:manualLayout>
              </c:layout>
              <c:showLegendKey val="0"/>
              <c:showVal val="1"/>
              <c:showCatName val="0"/>
              <c:showSerName val="0"/>
              <c:showPercent val="0"/>
              <c:showBubbleSize val="0"/>
            </c:dLbl>
            <c:dLbl>
              <c:idx val="2"/>
              <c:layout>
                <c:manualLayout>
                  <c:x val="-4.7222222222222297E-2"/>
                  <c:y val="-3.7037037037037097E-2"/>
                </c:manualLayout>
              </c:layout>
              <c:showLegendKey val="0"/>
              <c:showVal val="1"/>
              <c:showCatName val="0"/>
              <c:showSerName val="0"/>
              <c:showPercent val="0"/>
              <c:showBubbleSize val="0"/>
            </c:dLbl>
            <c:dLbl>
              <c:idx val="3"/>
              <c:layout>
                <c:manualLayout>
                  <c:x val="-4.7222222222222297E-2"/>
                  <c:y val="-3.7037037037037097E-2"/>
                </c:manualLayout>
              </c:layout>
              <c:showLegendKey val="0"/>
              <c:showVal val="1"/>
              <c:showCatName val="0"/>
              <c:showSerName val="0"/>
              <c:showPercent val="0"/>
              <c:showBubbleSize val="0"/>
            </c:dLbl>
            <c:dLbl>
              <c:idx val="4"/>
              <c:layout>
                <c:manualLayout>
                  <c:x val="-4.1666666666666699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Grigiškės!$B$2:$F$2</c:f>
              <c:numCache>
                <c:formatCode>General</c:formatCode>
                <c:ptCount val="5"/>
                <c:pt idx="0">
                  <c:v>2008</c:v>
                </c:pt>
                <c:pt idx="1">
                  <c:v>2009</c:v>
                </c:pt>
                <c:pt idx="2">
                  <c:v>2010</c:v>
                </c:pt>
                <c:pt idx="3">
                  <c:v>2011</c:v>
                </c:pt>
                <c:pt idx="4">
                  <c:v>2012</c:v>
                </c:pt>
              </c:numCache>
            </c:numRef>
          </c:cat>
          <c:val>
            <c:numRef>
              <c:f>Grigiškės!$B$11:$F$11</c:f>
              <c:numCache>
                <c:formatCode>0.00</c:formatCode>
                <c:ptCount val="5"/>
                <c:pt idx="0">
                  <c:v>2.8997408196258598E-3</c:v>
                </c:pt>
                <c:pt idx="1">
                  <c:v>6.5581935912337004E-3</c:v>
                </c:pt>
                <c:pt idx="2">
                  <c:v>8.94250538779757E-3</c:v>
                </c:pt>
                <c:pt idx="3">
                  <c:v>2.42345632658635E-3</c:v>
                </c:pt>
                <c:pt idx="4">
                  <c:v>5.9612518628912098E-3</c:v>
                </c:pt>
              </c:numCache>
            </c:numRef>
          </c:val>
          <c:smooth val="0"/>
        </c:ser>
        <c:ser>
          <c:idx val="3"/>
          <c:order val="3"/>
          <c:tx>
            <c:strRef>
              <c:f>Grigiškės!$A$13</c:f>
              <c:strCache>
                <c:ptCount val="1"/>
                <c:pt idx="0">
                  <c:v>Tr. Į. apmokėjimo pinigais koeficientas</c:v>
                </c:pt>
              </c:strCache>
            </c:strRef>
          </c:tx>
          <c:dLbls>
            <c:dLbl>
              <c:idx val="0"/>
              <c:layout>
                <c:manualLayout>
                  <c:x val="-5.8333333333334098E-2"/>
                  <c:y val="-5.0925925925925902E-2"/>
                </c:manualLayout>
              </c:layout>
              <c:showLegendKey val="0"/>
              <c:showVal val="1"/>
              <c:showCatName val="0"/>
              <c:showSerName val="0"/>
              <c:showPercent val="0"/>
              <c:showBubbleSize val="0"/>
            </c:dLbl>
            <c:dLbl>
              <c:idx val="1"/>
              <c:layout>
                <c:manualLayout>
                  <c:x val="-5.2777777777777798E-2"/>
                  <c:y val="-3.2407407407407898E-2"/>
                </c:manualLayout>
              </c:layout>
              <c:showLegendKey val="0"/>
              <c:showVal val="1"/>
              <c:showCatName val="0"/>
              <c:showSerName val="0"/>
              <c:showPercent val="0"/>
              <c:showBubbleSize val="0"/>
            </c:dLbl>
            <c:dLbl>
              <c:idx val="2"/>
              <c:layout>
                <c:manualLayout>
                  <c:x val="-3.6111111111111198E-2"/>
                  <c:y val="-2.7777777777778401E-2"/>
                </c:manualLayout>
              </c:layout>
              <c:showLegendKey val="0"/>
              <c:showVal val="1"/>
              <c:showCatName val="0"/>
              <c:showSerName val="0"/>
              <c:showPercent val="0"/>
              <c:showBubbleSize val="0"/>
            </c:dLbl>
            <c:dLbl>
              <c:idx val="3"/>
              <c:layout>
                <c:manualLayout>
                  <c:x val="-3.3333333333333298E-2"/>
                  <c:y val="-2.7777777777778401E-2"/>
                </c:manualLayout>
              </c:layout>
              <c:showLegendKey val="0"/>
              <c:showVal val="1"/>
              <c:showCatName val="0"/>
              <c:showSerName val="0"/>
              <c:showPercent val="0"/>
              <c:showBubbleSize val="0"/>
            </c:dLbl>
            <c:dLbl>
              <c:idx val="4"/>
              <c:layout>
                <c:manualLayout>
                  <c:x val="-4.1666666666666699E-2"/>
                  <c:y val="-2.31481481481480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Grigiškės!$B$2:$F$2</c:f>
              <c:numCache>
                <c:formatCode>General</c:formatCode>
                <c:ptCount val="5"/>
                <c:pt idx="0">
                  <c:v>2008</c:v>
                </c:pt>
                <c:pt idx="1">
                  <c:v>2009</c:v>
                </c:pt>
                <c:pt idx="2">
                  <c:v>2010</c:v>
                </c:pt>
                <c:pt idx="3">
                  <c:v>2011</c:v>
                </c:pt>
                <c:pt idx="4">
                  <c:v>2012</c:v>
                </c:pt>
              </c:numCache>
            </c:numRef>
          </c:cat>
          <c:val>
            <c:numRef>
              <c:f>Grigiškės!$B$13:$F$13</c:f>
              <c:numCache>
                <c:formatCode>0.00</c:formatCode>
                <c:ptCount val="5"/>
                <c:pt idx="0">
                  <c:v>0.25492057789525602</c:v>
                </c:pt>
                <c:pt idx="1">
                  <c:v>0.79291881122364305</c:v>
                </c:pt>
                <c:pt idx="2">
                  <c:v>0.58849612326290002</c:v>
                </c:pt>
                <c:pt idx="3">
                  <c:v>0.57592927603510002</c:v>
                </c:pt>
                <c:pt idx="4">
                  <c:v>0.58417226801301803</c:v>
                </c:pt>
              </c:numCache>
            </c:numRef>
          </c:val>
          <c:smooth val="0"/>
        </c:ser>
        <c:dLbls>
          <c:showLegendKey val="0"/>
          <c:showVal val="1"/>
          <c:showCatName val="0"/>
          <c:showSerName val="0"/>
          <c:showPercent val="0"/>
          <c:showBubbleSize val="0"/>
        </c:dLbls>
        <c:marker val="1"/>
        <c:smooth val="0"/>
        <c:axId val="168198528"/>
        <c:axId val="168200064"/>
      </c:lineChart>
      <c:catAx>
        <c:axId val="168198528"/>
        <c:scaling>
          <c:orientation val="minMax"/>
        </c:scaling>
        <c:delete val="0"/>
        <c:axPos val="b"/>
        <c:numFmt formatCode="General" sourceLinked="1"/>
        <c:majorTickMark val="none"/>
        <c:minorTickMark val="none"/>
        <c:tickLblPos val="nextTo"/>
        <c:crossAx val="168200064"/>
        <c:crosses val="autoZero"/>
        <c:auto val="1"/>
        <c:lblAlgn val="ctr"/>
        <c:lblOffset val="100"/>
        <c:noMultiLvlLbl val="0"/>
      </c:catAx>
      <c:valAx>
        <c:axId val="168200064"/>
        <c:scaling>
          <c:orientation val="minMax"/>
        </c:scaling>
        <c:delete val="0"/>
        <c:axPos val="l"/>
        <c:majorGridlines/>
        <c:numFmt formatCode="0.00" sourceLinked="1"/>
        <c:majorTickMark val="none"/>
        <c:minorTickMark val="none"/>
        <c:tickLblPos val="nextTo"/>
        <c:crossAx val="16819852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Gubernija!$A$8</c:f>
              <c:strCache>
                <c:ptCount val="1"/>
                <c:pt idx="0">
                  <c:v>Bendrasis likvidumas</c:v>
                </c:pt>
              </c:strCache>
            </c:strRef>
          </c:tx>
          <c:dLbls>
            <c:dLbl>
              <c:idx val="0"/>
              <c:layout>
                <c:manualLayout>
                  <c:x val="-5.2777777777777798E-2"/>
                  <c:y val="-4.1666666666666699E-2"/>
                </c:manualLayout>
              </c:layout>
              <c:showLegendKey val="0"/>
              <c:showVal val="1"/>
              <c:showCatName val="0"/>
              <c:showSerName val="0"/>
              <c:showPercent val="0"/>
              <c:showBubbleSize val="0"/>
            </c:dLbl>
            <c:dLbl>
              <c:idx val="1"/>
              <c:layout>
                <c:manualLayout>
                  <c:x val="-4.1666666666666699E-2"/>
                  <c:y val="-3.7037037037037097E-2"/>
                </c:manualLayout>
              </c:layout>
              <c:showLegendKey val="0"/>
              <c:showVal val="1"/>
              <c:showCatName val="0"/>
              <c:showSerName val="0"/>
              <c:showPercent val="0"/>
              <c:showBubbleSize val="0"/>
            </c:dLbl>
            <c:dLbl>
              <c:idx val="2"/>
              <c:layout>
                <c:manualLayout>
                  <c:x val="-0.05"/>
                  <c:y val="-4.1666666666666699E-2"/>
                </c:manualLayout>
              </c:layout>
              <c:showLegendKey val="0"/>
              <c:showVal val="1"/>
              <c:showCatName val="0"/>
              <c:showSerName val="0"/>
              <c:showPercent val="0"/>
              <c:showBubbleSize val="0"/>
            </c:dLbl>
            <c:dLbl>
              <c:idx val="3"/>
              <c:layout>
                <c:manualLayout>
                  <c:x val="-4.4444444444444398E-2"/>
                  <c:y val="-4.6296296296296502E-2"/>
                </c:manualLayout>
              </c:layout>
              <c:showLegendKey val="0"/>
              <c:showVal val="1"/>
              <c:showCatName val="0"/>
              <c:showSerName val="0"/>
              <c:showPercent val="0"/>
              <c:showBubbleSize val="0"/>
            </c:dLbl>
            <c:dLbl>
              <c:idx val="4"/>
              <c:layout>
                <c:manualLayout>
                  <c:x val="-4.4444444444444502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Gubernija!$B$1:$F$1</c:f>
              <c:numCache>
                <c:formatCode>General</c:formatCode>
                <c:ptCount val="5"/>
                <c:pt idx="0">
                  <c:v>2008</c:v>
                </c:pt>
                <c:pt idx="1">
                  <c:v>2009</c:v>
                </c:pt>
                <c:pt idx="2">
                  <c:v>2010</c:v>
                </c:pt>
                <c:pt idx="3">
                  <c:v>2011</c:v>
                </c:pt>
                <c:pt idx="4">
                  <c:v>2012</c:v>
                </c:pt>
              </c:numCache>
            </c:numRef>
          </c:cat>
          <c:val>
            <c:numRef>
              <c:f>Gubernija!$B$8:$F$8</c:f>
              <c:numCache>
                <c:formatCode>0.00</c:formatCode>
                <c:ptCount val="5"/>
                <c:pt idx="0">
                  <c:v>0.404095563139934</c:v>
                </c:pt>
                <c:pt idx="1">
                  <c:v>0.21719130822834801</c:v>
                </c:pt>
                <c:pt idx="2">
                  <c:v>0.30505421184320602</c:v>
                </c:pt>
                <c:pt idx="3">
                  <c:v>0.37537673297167501</c:v>
                </c:pt>
                <c:pt idx="4">
                  <c:v>0.28787079495191698</c:v>
                </c:pt>
              </c:numCache>
            </c:numRef>
          </c:val>
          <c:smooth val="0"/>
        </c:ser>
        <c:ser>
          <c:idx val="1"/>
          <c:order val="1"/>
          <c:tx>
            <c:strRef>
              <c:f>Gubernija!$A$9</c:f>
              <c:strCache>
                <c:ptCount val="1"/>
                <c:pt idx="0">
                  <c:v>Greitasis likvidumas</c:v>
                </c:pt>
              </c:strCache>
            </c:strRef>
          </c:tx>
          <c:dLbls>
            <c:dLbl>
              <c:idx val="0"/>
              <c:layout>
                <c:manualLayout>
                  <c:x val="-4.4444444444444502E-2"/>
                  <c:y val="-3.2407407407407898E-2"/>
                </c:manualLayout>
              </c:layout>
              <c:showLegendKey val="0"/>
              <c:showVal val="1"/>
              <c:showCatName val="0"/>
              <c:showSerName val="0"/>
              <c:showPercent val="0"/>
              <c:showBubbleSize val="0"/>
            </c:dLbl>
            <c:dLbl>
              <c:idx val="1"/>
              <c:layout>
                <c:manualLayout>
                  <c:x val="-2.5000000000000001E-2"/>
                  <c:y val="-3.2407407407407898E-2"/>
                </c:manualLayout>
              </c:layout>
              <c:showLegendKey val="0"/>
              <c:showVal val="1"/>
              <c:showCatName val="0"/>
              <c:showSerName val="0"/>
              <c:showPercent val="0"/>
              <c:showBubbleSize val="0"/>
            </c:dLbl>
            <c:dLbl>
              <c:idx val="2"/>
              <c:layout>
                <c:manualLayout>
                  <c:x val="-2.7777777777778401E-2"/>
                  <c:y val="-3.7037037037037097E-2"/>
                </c:manualLayout>
              </c:layout>
              <c:showLegendKey val="0"/>
              <c:showVal val="1"/>
              <c:showCatName val="0"/>
              <c:showSerName val="0"/>
              <c:showPercent val="0"/>
              <c:showBubbleSize val="0"/>
            </c:dLbl>
            <c:dLbl>
              <c:idx val="3"/>
              <c:layout>
                <c:manualLayout>
                  <c:x val="-4.4444444444444398E-2"/>
                  <c:y val="-3.70370370370370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Gubernija!$B$1:$F$1</c:f>
              <c:numCache>
                <c:formatCode>General</c:formatCode>
                <c:ptCount val="5"/>
                <c:pt idx="0">
                  <c:v>2008</c:v>
                </c:pt>
                <c:pt idx="1">
                  <c:v>2009</c:v>
                </c:pt>
                <c:pt idx="2">
                  <c:v>2010</c:v>
                </c:pt>
                <c:pt idx="3">
                  <c:v>2011</c:v>
                </c:pt>
                <c:pt idx="4">
                  <c:v>2012</c:v>
                </c:pt>
              </c:numCache>
            </c:numRef>
          </c:cat>
          <c:val>
            <c:numRef>
              <c:f>Gubernija!$B$9:$F$9</c:f>
              <c:numCache>
                <c:formatCode>0.00</c:formatCode>
                <c:ptCount val="5"/>
                <c:pt idx="0">
                  <c:v>0.237910212654241</c:v>
                </c:pt>
                <c:pt idx="1">
                  <c:v>0.127596031718788</c:v>
                </c:pt>
                <c:pt idx="2">
                  <c:v>0.19582985821517901</c:v>
                </c:pt>
                <c:pt idx="3">
                  <c:v>0.21138487040385801</c:v>
                </c:pt>
                <c:pt idx="4">
                  <c:v>0.13999918841050399</c:v>
                </c:pt>
              </c:numCache>
            </c:numRef>
          </c:val>
          <c:smooth val="0"/>
        </c:ser>
        <c:ser>
          <c:idx val="2"/>
          <c:order val="2"/>
          <c:tx>
            <c:strRef>
              <c:f>Gubernija!$A$10</c:f>
              <c:strCache>
                <c:ptCount val="1"/>
                <c:pt idx="0">
                  <c:v>Kritinis likvidumas</c:v>
                </c:pt>
              </c:strCache>
            </c:strRef>
          </c:tx>
          <c:dLbls>
            <c:dLbl>
              <c:idx val="0"/>
              <c:layout>
                <c:manualLayout>
                  <c:x val="-4.1666666666666699E-2"/>
                  <c:y val="-3.7037037037037097E-2"/>
                </c:manualLayout>
              </c:layout>
              <c:showLegendKey val="0"/>
              <c:showVal val="1"/>
              <c:showCatName val="0"/>
              <c:showSerName val="0"/>
              <c:showPercent val="0"/>
              <c:showBubbleSize val="0"/>
            </c:dLbl>
            <c:dLbl>
              <c:idx val="1"/>
              <c:layout>
                <c:manualLayout>
                  <c:x val="-4.1666666666666699E-2"/>
                  <c:y val="-3.2407407407407898E-2"/>
                </c:manualLayout>
              </c:layout>
              <c:showLegendKey val="0"/>
              <c:showVal val="1"/>
              <c:showCatName val="0"/>
              <c:showSerName val="0"/>
              <c:showPercent val="0"/>
              <c:showBubbleSize val="0"/>
            </c:dLbl>
            <c:dLbl>
              <c:idx val="2"/>
              <c:layout>
                <c:manualLayout>
                  <c:x val="-2.7777777777778401E-2"/>
                  <c:y val="0"/>
                </c:manualLayout>
              </c:layout>
              <c:showLegendKey val="0"/>
              <c:showVal val="1"/>
              <c:showCatName val="0"/>
              <c:showSerName val="0"/>
              <c:showPercent val="0"/>
              <c:showBubbleSize val="0"/>
            </c:dLbl>
            <c:dLbl>
              <c:idx val="3"/>
              <c:layout>
                <c:manualLayout>
                  <c:x val="-4.1666666666666602E-2"/>
                  <c:y val="0"/>
                </c:manualLayout>
              </c:layout>
              <c:showLegendKey val="0"/>
              <c:showVal val="1"/>
              <c:showCatName val="0"/>
              <c:showSerName val="0"/>
              <c:showPercent val="0"/>
              <c:showBubbleSize val="0"/>
            </c:dLbl>
            <c:dLbl>
              <c:idx val="4"/>
              <c:layout>
                <c:manualLayout>
                  <c:x val="-4.1666666666666699E-2"/>
                  <c:y val="-9.259259259259430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Gubernija!$B$1:$F$1</c:f>
              <c:numCache>
                <c:formatCode>General</c:formatCode>
                <c:ptCount val="5"/>
                <c:pt idx="0">
                  <c:v>2008</c:v>
                </c:pt>
                <c:pt idx="1">
                  <c:v>2009</c:v>
                </c:pt>
                <c:pt idx="2">
                  <c:v>2010</c:v>
                </c:pt>
                <c:pt idx="3">
                  <c:v>2011</c:v>
                </c:pt>
                <c:pt idx="4">
                  <c:v>2012</c:v>
                </c:pt>
              </c:numCache>
            </c:numRef>
          </c:cat>
          <c:val>
            <c:numRef>
              <c:f>Gubernija!$B$10:$F$10</c:f>
              <c:numCache>
                <c:formatCode>0.00</c:formatCode>
                <c:ptCount val="5"/>
                <c:pt idx="0">
                  <c:v>5.6182725124704798E-3</c:v>
                </c:pt>
                <c:pt idx="1">
                  <c:v>2.7462153719405701E-3</c:v>
                </c:pt>
                <c:pt idx="2">
                  <c:v>1.70141784820685E-3</c:v>
                </c:pt>
                <c:pt idx="3">
                  <c:v>2.8631705846895901E-3</c:v>
                </c:pt>
                <c:pt idx="4">
                  <c:v>1.1930365621069E-2</c:v>
                </c:pt>
              </c:numCache>
            </c:numRef>
          </c:val>
          <c:smooth val="0"/>
        </c:ser>
        <c:ser>
          <c:idx val="3"/>
          <c:order val="3"/>
          <c:tx>
            <c:strRef>
              <c:f>Gubernija!$A$12</c:f>
              <c:strCache>
                <c:ptCount val="1"/>
                <c:pt idx="0">
                  <c:v>Tr. Į. apmokėjimo pinigais koeficientas</c:v>
                </c:pt>
              </c:strCache>
            </c:strRef>
          </c:tx>
          <c:dLbls>
            <c:dLbl>
              <c:idx val="0"/>
              <c:layout>
                <c:manualLayout>
                  <c:x val="-4.7222222222222297E-2"/>
                  <c:y val="1.38888888888891E-2"/>
                </c:manualLayout>
              </c:layout>
              <c:showLegendKey val="0"/>
              <c:showVal val="1"/>
              <c:showCatName val="0"/>
              <c:showSerName val="0"/>
              <c:showPercent val="0"/>
              <c:showBubbleSize val="0"/>
            </c:dLbl>
            <c:dLbl>
              <c:idx val="1"/>
              <c:layout>
                <c:manualLayout>
                  <c:x val="-1.94444444444444E-2"/>
                  <c:y val="2.7777777777778401E-2"/>
                </c:manualLayout>
              </c:layout>
              <c:showLegendKey val="0"/>
              <c:showVal val="1"/>
              <c:showCatName val="0"/>
              <c:showSerName val="0"/>
              <c:showPercent val="0"/>
              <c:showBubbleSize val="0"/>
            </c:dLbl>
            <c:dLbl>
              <c:idx val="2"/>
              <c:layout>
                <c:manualLayout>
                  <c:x val="-4.7222222222222297E-2"/>
                  <c:y val="-2.3148148148148098E-2"/>
                </c:manualLayout>
              </c:layout>
              <c:showLegendKey val="0"/>
              <c:showVal val="1"/>
              <c:showCatName val="0"/>
              <c:showSerName val="0"/>
              <c:showPercent val="0"/>
              <c:showBubbleSize val="0"/>
            </c:dLbl>
            <c:dLbl>
              <c:idx val="3"/>
              <c:layout>
                <c:manualLayout>
                  <c:x val="-4.72222222222222E-2"/>
                  <c:y val="-9.259259259259430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Gubernija!$B$1:$F$1</c:f>
              <c:numCache>
                <c:formatCode>General</c:formatCode>
                <c:ptCount val="5"/>
                <c:pt idx="0">
                  <c:v>2008</c:v>
                </c:pt>
                <c:pt idx="1">
                  <c:v>2009</c:v>
                </c:pt>
                <c:pt idx="2">
                  <c:v>2010</c:v>
                </c:pt>
                <c:pt idx="3">
                  <c:v>2011</c:v>
                </c:pt>
                <c:pt idx="4">
                  <c:v>2012</c:v>
                </c:pt>
              </c:numCache>
            </c:numRef>
          </c:cat>
          <c:val>
            <c:numRef>
              <c:f>Gubernija!$B$12:$F$12</c:f>
              <c:numCache>
                <c:formatCode>0.00</c:formatCode>
                <c:ptCount val="5"/>
                <c:pt idx="0">
                  <c:v>-0.71819375164085097</c:v>
                </c:pt>
                <c:pt idx="1">
                  <c:v>-0.25687412035289198</c:v>
                </c:pt>
                <c:pt idx="2">
                  <c:v>4.8440366972477E-2</c:v>
                </c:pt>
                <c:pt idx="3">
                  <c:v>0.11610910186859601</c:v>
                </c:pt>
                <c:pt idx="4">
                  <c:v>0.139674552611289</c:v>
                </c:pt>
              </c:numCache>
            </c:numRef>
          </c:val>
          <c:smooth val="0"/>
        </c:ser>
        <c:dLbls>
          <c:showLegendKey val="0"/>
          <c:showVal val="1"/>
          <c:showCatName val="0"/>
          <c:showSerName val="0"/>
          <c:showPercent val="0"/>
          <c:showBubbleSize val="0"/>
        </c:dLbls>
        <c:marker val="1"/>
        <c:smooth val="0"/>
        <c:axId val="168257024"/>
        <c:axId val="168258560"/>
      </c:lineChart>
      <c:catAx>
        <c:axId val="168257024"/>
        <c:scaling>
          <c:orientation val="minMax"/>
        </c:scaling>
        <c:delete val="0"/>
        <c:axPos val="b"/>
        <c:numFmt formatCode="General" sourceLinked="1"/>
        <c:majorTickMark val="none"/>
        <c:minorTickMark val="none"/>
        <c:tickLblPos val="nextTo"/>
        <c:crossAx val="168258560"/>
        <c:crosses val="autoZero"/>
        <c:auto val="1"/>
        <c:lblAlgn val="ctr"/>
        <c:lblOffset val="100"/>
        <c:noMultiLvlLbl val="0"/>
      </c:catAx>
      <c:valAx>
        <c:axId val="168258560"/>
        <c:scaling>
          <c:orientation val="minMax"/>
        </c:scaling>
        <c:delete val="0"/>
        <c:axPos val="l"/>
        <c:majorGridlines/>
        <c:numFmt formatCode="0.00" sourceLinked="1"/>
        <c:majorTickMark val="none"/>
        <c:minorTickMark val="none"/>
        <c:tickLblPos val="nextTo"/>
        <c:crossAx val="16825702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Alita!$A$8</c:f>
              <c:strCache>
                <c:ptCount val="1"/>
                <c:pt idx="0">
                  <c:v>Bendrasis likvidumas</c:v>
                </c:pt>
              </c:strCache>
            </c:strRef>
          </c:tx>
          <c:dLbls>
            <c:dLbl>
              <c:idx val="0"/>
              <c:layout>
                <c:manualLayout>
                  <c:x val="-4.4444444444444502E-2"/>
                  <c:y val="-4.1666666666666699E-2"/>
                </c:manualLayout>
              </c:layout>
              <c:showLegendKey val="0"/>
              <c:showVal val="1"/>
              <c:showCatName val="0"/>
              <c:showSerName val="0"/>
              <c:showPercent val="0"/>
              <c:showBubbleSize val="0"/>
            </c:dLbl>
            <c:dLbl>
              <c:idx val="1"/>
              <c:layout>
                <c:manualLayout>
                  <c:x val="-0.05"/>
                  <c:y val="-6.9444444444444503E-2"/>
                </c:manualLayout>
              </c:layout>
              <c:showLegendKey val="0"/>
              <c:showVal val="1"/>
              <c:showCatName val="0"/>
              <c:showSerName val="0"/>
              <c:showPercent val="0"/>
              <c:showBubbleSize val="0"/>
            </c:dLbl>
            <c:dLbl>
              <c:idx val="2"/>
              <c:layout>
                <c:manualLayout>
                  <c:x val="-5.8333333333334098E-2"/>
                  <c:y val="-4.1666666666666699E-2"/>
                </c:manualLayout>
              </c:layout>
              <c:showLegendKey val="0"/>
              <c:showVal val="1"/>
              <c:showCatName val="0"/>
              <c:showSerName val="0"/>
              <c:showPercent val="0"/>
              <c:showBubbleSize val="0"/>
            </c:dLbl>
            <c:dLbl>
              <c:idx val="3"/>
              <c:layout>
                <c:manualLayout>
                  <c:x val="-4.7222222222222297E-2"/>
                  <c:y val="-5.09259259259259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Alita!$C$1:$F$1</c:f>
              <c:numCache>
                <c:formatCode>General</c:formatCode>
                <c:ptCount val="4"/>
                <c:pt idx="0">
                  <c:v>2009</c:v>
                </c:pt>
                <c:pt idx="1">
                  <c:v>2010</c:v>
                </c:pt>
                <c:pt idx="2">
                  <c:v>2011</c:v>
                </c:pt>
                <c:pt idx="3">
                  <c:v>2012</c:v>
                </c:pt>
              </c:numCache>
            </c:numRef>
          </c:cat>
          <c:val>
            <c:numRef>
              <c:f>Alita!$C$8:$F$8</c:f>
              <c:numCache>
                <c:formatCode>0.00</c:formatCode>
                <c:ptCount val="4"/>
                <c:pt idx="0">
                  <c:v>0.58836116100134095</c:v>
                </c:pt>
                <c:pt idx="1">
                  <c:v>0.24188890118402301</c:v>
                </c:pt>
                <c:pt idx="2">
                  <c:v>0.91899818045595605</c:v>
                </c:pt>
                <c:pt idx="3">
                  <c:v>0.96076813275046802</c:v>
                </c:pt>
              </c:numCache>
            </c:numRef>
          </c:val>
          <c:smooth val="0"/>
        </c:ser>
        <c:ser>
          <c:idx val="1"/>
          <c:order val="1"/>
          <c:tx>
            <c:strRef>
              <c:f>Alita!$A$9</c:f>
              <c:strCache>
                <c:ptCount val="1"/>
                <c:pt idx="0">
                  <c:v>Greitasis likvidumas</c:v>
                </c:pt>
              </c:strCache>
            </c:strRef>
          </c:tx>
          <c:dLbls>
            <c:dLbl>
              <c:idx val="0"/>
              <c:layout>
                <c:manualLayout>
                  <c:x val="-4.7222222222222297E-2"/>
                  <c:y val="-4.1666666666666602E-2"/>
                </c:manualLayout>
              </c:layout>
              <c:showLegendKey val="0"/>
              <c:showVal val="1"/>
              <c:showCatName val="0"/>
              <c:showSerName val="0"/>
              <c:showPercent val="0"/>
              <c:showBubbleSize val="0"/>
            </c:dLbl>
            <c:dLbl>
              <c:idx val="1"/>
              <c:layout>
                <c:manualLayout>
                  <c:x val="-0.05"/>
                  <c:y val="-4.1666666666666803E-2"/>
                </c:manualLayout>
              </c:layout>
              <c:showLegendKey val="0"/>
              <c:showVal val="1"/>
              <c:showCatName val="0"/>
              <c:showSerName val="0"/>
              <c:showPercent val="0"/>
              <c:showBubbleSize val="0"/>
            </c:dLbl>
            <c:dLbl>
              <c:idx val="2"/>
              <c:layout>
                <c:manualLayout>
                  <c:x val="-4.1666666666666699E-2"/>
                  <c:y val="-4.1666666666666699E-2"/>
                </c:manualLayout>
              </c:layout>
              <c:showLegendKey val="0"/>
              <c:showVal val="1"/>
              <c:showCatName val="0"/>
              <c:showSerName val="0"/>
              <c:showPercent val="0"/>
              <c:showBubbleSize val="0"/>
            </c:dLbl>
            <c:dLbl>
              <c:idx val="3"/>
              <c:layout>
                <c:manualLayout>
                  <c:x val="-4.4444444444444502E-2"/>
                  <c:y val="-6.48148148148157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Alita!$C$1:$F$1</c:f>
              <c:numCache>
                <c:formatCode>General</c:formatCode>
                <c:ptCount val="4"/>
                <c:pt idx="0">
                  <c:v>2009</c:v>
                </c:pt>
                <c:pt idx="1">
                  <c:v>2010</c:v>
                </c:pt>
                <c:pt idx="2">
                  <c:v>2011</c:v>
                </c:pt>
                <c:pt idx="3">
                  <c:v>2012</c:v>
                </c:pt>
              </c:numCache>
            </c:numRef>
          </c:cat>
          <c:val>
            <c:numRef>
              <c:f>Alita!$C$9:$F$9</c:f>
              <c:numCache>
                <c:formatCode>0.00</c:formatCode>
                <c:ptCount val="4"/>
                <c:pt idx="0">
                  <c:v>0.38161600035477999</c:v>
                </c:pt>
                <c:pt idx="1">
                  <c:v>0.16679207701670901</c:v>
                </c:pt>
                <c:pt idx="2">
                  <c:v>0.63870277212887605</c:v>
                </c:pt>
                <c:pt idx="3">
                  <c:v>0.61245427781247297</c:v>
                </c:pt>
              </c:numCache>
            </c:numRef>
          </c:val>
          <c:smooth val="0"/>
        </c:ser>
        <c:ser>
          <c:idx val="2"/>
          <c:order val="2"/>
          <c:tx>
            <c:strRef>
              <c:f>Alita!$A$10</c:f>
              <c:strCache>
                <c:ptCount val="1"/>
                <c:pt idx="0">
                  <c:v>Kritinis likvidumas</c:v>
                </c:pt>
              </c:strCache>
            </c:strRef>
          </c:tx>
          <c:dLbls>
            <c:dLbl>
              <c:idx val="0"/>
              <c:layout>
                <c:manualLayout>
                  <c:x val="-1.94444444444444E-2"/>
                  <c:y val="0"/>
                </c:manualLayout>
              </c:layout>
              <c:showLegendKey val="0"/>
              <c:showVal val="1"/>
              <c:showCatName val="0"/>
              <c:showSerName val="0"/>
              <c:showPercent val="0"/>
              <c:showBubbleSize val="0"/>
            </c:dLbl>
            <c:dLbl>
              <c:idx val="3"/>
              <c:layout>
                <c:manualLayout>
                  <c:x val="-4.7222222222222297E-2"/>
                  <c:y val="-4.1666666666666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Alita!$C$1:$F$1</c:f>
              <c:numCache>
                <c:formatCode>General</c:formatCode>
                <c:ptCount val="4"/>
                <c:pt idx="0">
                  <c:v>2009</c:v>
                </c:pt>
                <c:pt idx="1">
                  <c:v>2010</c:v>
                </c:pt>
                <c:pt idx="2">
                  <c:v>2011</c:v>
                </c:pt>
                <c:pt idx="3">
                  <c:v>2012</c:v>
                </c:pt>
              </c:numCache>
            </c:numRef>
          </c:cat>
          <c:val>
            <c:numRef>
              <c:f>Alita!$C$10:$F$10</c:f>
              <c:numCache>
                <c:formatCode>0.00</c:formatCode>
                <c:ptCount val="4"/>
                <c:pt idx="0">
                  <c:v>1.4412736424311001E-4</c:v>
                </c:pt>
                <c:pt idx="1">
                  <c:v>3.3196857364169703E-5</c:v>
                </c:pt>
                <c:pt idx="2">
                  <c:v>2.0336080488066101E-2</c:v>
                </c:pt>
                <c:pt idx="3">
                  <c:v>5.2346328842894099E-2</c:v>
                </c:pt>
              </c:numCache>
            </c:numRef>
          </c:val>
          <c:smooth val="0"/>
        </c:ser>
        <c:ser>
          <c:idx val="3"/>
          <c:order val="3"/>
          <c:tx>
            <c:strRef>
              <c:f>Alita!$A$12</c:f>
              <c:strCache>
                <c:ptCount val="1"/>
                <c:pt idx="0">
                  <c:v>Tr. Į. apmokėjimo pinigais koeficientas</c:v>
                </c:pt>
              </c:strCache>
            </c:strRef>
          </c:tx>
          <c:dLbls>
            <c:dLbl>
              <c:idx val="0"/>
              <c:layout>
                <c:manualLayout>
                  <c:x val="-0.05"/>
                  <c:y val="-4.1666666666666699E-2"/>
                </c:manualLayout>
              </c:layout>
              <c:showLegendKey val="0"/>
              <c:showVal val="1"/>
              <c:showCatName val="0"/>
              <c:showSerName val="0"/>
              <c:showPercent val="0"/>
              <c:showBubbleSize val="0"/>
            </c:dLbl>
            <c:dLbl>
              <c:idx val="1"/>
              <c:layout>
                <c:manualLayout>
                  <c:x val="-4.4444444444444502E-2"/>
                  <c:y val="-2.3148148148148098E-2"/>
                </c:manualLayout>
              </c:layout>
              <c:showLegendKey val="0"/>
              <c:showVal val="1"/>
              <c:showCatName val="0"/>
              <c:showSerName val="0"/>
              <c:showPercent val="0"/>
              <c:showBubbleSize val="0"/>
            </c:dLbl>
            <c:dLbl>
              <c:idx val="2"/>
              <c:layout>
                <c:manualLayout>
                  <c:x val="-3.3333333333333298E-2"/>
                  <c:y val="-4.1666666666666803E-2"/>
                </c:manualLayout>
              </c:layout>
              <c:showLegendKey val="0"/>
              <c:showVal val="1"/>
              <c:showCatName val="0"/>
              <c:showSerName val="0"/>
              <c:showPercent val="0"/>
              <c:showBubbleSize val="0"/>
            </c:dLbl>
            <c:dLbl>
              <c:idx val="3"/>
              <c:layout>
                <c:manualLayout>
                  <c:x val="-4.7222222222222297E-2"/>
                  <c:y val="3.70370370370370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Alita!$C$1:$F$1</c:f>
              <c:numCache>
                <c:formatCode>General</c:formatCode>
                <c:ptCount val="4"/>
                <c:pt idx="0">
                  <c:v>2009</c:v>
                </c:pt>
                <c:pt idx="1">
                  <c:v>2010</c:v>
                </c:pt>
                <c:pt idx="2">
                  <c:v>2011</c:v>
                </c:pt>
                <c:pt idx="3">
                  <c:v>2012</c:v>
                </c:pt>
              </c:numCache>
            </c:numRef>
          </c:cat>
          <c:val>
            <c:numRef>
              <c:f>Alita!$C$12:$F$12</c:f>
              <c:numCache>
                <c:formatCode>0.00</c:formatCode>
                <c:ptCount val="4"/>
                <c:pt idx="0">
                  <c:v>5.0045455553338197E-2</c:v>
                </c:pt>
                <c:pt idx="1">
                  <c:v>7.2966692486445398E-2</c:v>
                </c:pt>
                <c:pt idx="2">
                  <c:v>0.260558707053411</c:v>
                </c:pt>
                <c:pt idx="3">
                  <c:v>3.3611383709519299E-2</c:v>
                </c:pt>
              </c:numCache>
            </c:numRef>
          </c:val>
          <c:smooth val="0"/>
        </c:ser>
        <c:dLbls>
          <c:showLegendKey val="0"/>
          <c:showVal val="1"/>
          <c:showCatName val="0"/>
          <c:showSerName val="0"/>
          <c:showPercent val="0"/>
          <c:showBubbleSize val="0"/>
        </c:dLbls>
        <c:marker val="1"/>
        <c:smooth val="0"/>
        <c:axId val="180898816"/>
        <c:axId val="180929280"/>
      </c:lineChart>
      <c:catAx>
        <c:axId val="180898816"/>
        <c:scaling>
          <c:orientation val="minMax"/>
        </c:scaling>
        <c:delete val="0"/>
        <c:axPos val="b"/>
        <c:numFmt formatCode="General" sourceLinked="1"/>
        <c:majorTickMark val="none"/>
        <c:minorTickMark val="none"/>
        <c:tickLblPos val="nextTo"/>
        <c:crossAx val="180929280"/>
        <c:crosses val="autoZero"/>
        <c:auto val="1"/>
        <c:lblAlgn val="ctr"/>
        <c:lblOffset val="100"/>
        <c:noMultiLvlLbl val="0"/>
      </c:catAx>
      <c:valAx>
        <c:axId val="180929280"/>
        <c:scaling>
          <c:orientation val="minMax"/>
        </c:scaling>
        <c:delete val="0"/>
        <c:axPos val="l"/>
        <c:majorGridlines/>
        <c:numFmt formatCode="0.00" sourceLinked="1"/>
        <c:majorTickMark val="none"/>
        <c:minorTickMark val="none"/>
        <c:tickLblPos val="nextTo"/>
        <c:crossAx val="180898816"/>
        <c:crosses val="autoZero"/>
        <c:crossBetween val="between"/>
      </c:valAx>
    </c:plotArea>
    <c:legend>
      <c:legendPos val="r"/>
      <c:layout>
        <c:manualLayout>
          <c:xMode val="edge"/>
          <c:yMode val="edge"/>
          <c:x val="0.66466666666666696"/>
          <c:y val="0.28570975503062102"/>
          <c:w val="0.31866666666667198"/>
          <c:h val="0.55862642169728804"/>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'Kauno energija'!$A$8</c:f>
              <c:strCache>
                <c:ptCount val="1"/>
                <c:pt idx="0">
                  <c:v>Bendrasis likvidumas</c:v>
                </c:pt>
              </c:strCache>
            </c:strRef>
          </c:tx>
          <c:dLbls>
            <c:dLbl>
              <c:idx val="0"/>
              <c:layout>
                <c:manualLayout>
                  <c:x val="-0.05"/>
                  <c:y val="-4.1666666666666699E-2"/>
                </c:manualLayout>
              </c:layout>
              <c:showLegendKey val="0"/>
              <c:showVal val="1"/>
              <c:showCatName val="0"/>
              <c:showSerName val="0"/>
              <c:showPercent val="0"/>
              <c:showBubbleSize val="0"/>
            </c:dLbl>
            <c:dLbl>
              <c:idx val="1"/>
              <c:layout>
                <c:manualLayout>
                  <c:x val="-4.4444444444444398E-2"/>
                  <c:y val="-5.0925925925925902E-2"/>
                </c:manualLayout>
              </c:layout>
              <c:showLegendKey val="0"/>
              <c:showVal val="1"/>
              <c:showCatName val="0"/>
              <c:showSerName val="0"/>
              <c:showPercent val="0"/>
              <c:showBubbleSize val="0"/>
            </c:dLbl>
            <c:dLbl>
              <c:idx val="2"/>
              <c:layout>
                <c:manualLayout>
                  <c:x val="-4.1666666666666699E-2"/>
                  <c:y val="-5.0925925925925902E-2"/>
                </c:manualLayout>
              </c:layout>
              <c:showLegendKey val="0"/>
              <c:showVal val="1"/>
              <c:showCatName val="0"/>
              <c:showSerName val="0"/>
              <c:showPercent val="0"/>
              <c:showBubbleSize val="0"/>
            </c:dLbl>
            <c:dLbl>
              <c:idx val="3"/>
              <c:layout>
                <c:manualLayout>
                  <c:x val="-4.1666666666666699E-2"/>
                  <c:y val="-4.6296296296296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'Kauno energija'!$B$1:$F$1</c:f>
              <c:numCache>
                <c:formatCode>General</c:formatCode>
                <c:ptCount val="5"/>
                <c:pt idx="0">
                  <c:v>2008</c:v>
                </c:pt>
                <c:pt idx="1">
                  <c:v>2009</c:v>
                </c:pt>
                <c:pt idx="2">
                  <c:v>2010</c:v>
                </c:pt>
                <c:pt idx="3">
                  <c:v>2011</c:v>
                </c:pt>
                <c:pt idx="4">
                  <c:v>2012</c:v>
                </c:pt>
              </c:numCache>
            </c:numRef>
          </c:cat>
          <c:val>
            <c:numRef>
              <c:f>'Kauno energija'!$B$8:$F$8</c:f>
              <c:numCache>
                <c:formatCode>0.00</c:formatCode>
                <c:ptCount val="5"/>
                <c:pt idx="0">
                  <c:v>0.90823631409462502</c:v>
                </c:pt>
                <c:pt idx="1">
                  <c:v>1.046775184714104</c:v>
                </c:pt>
                <c:pt idx="2">
                  <c:v>0.93444788042778004</c:v>
                </c:pt>
                <c:pt idx="3">
                  <c:v>0.96533901657755405</c:v>
                </c:pt>
                <c:pt idx="4">
                  <c:v>0.85998601520846096</c:v>
                </c:pt>
              </c:numCache>
            </c:numRef>
          </c:val>
          <c:smooth val="0"/>
        </c:ser>
        <c:ser>
          <c:idx val="1"/>
          <c:order val="1"/>
          <c:tx>
            <c:strRef>
              <c:f>'Kauno energija'!$A$9</c:f>
              <c:strCache>
                <c:ptCount val="1"/>
                <c:pt idx="0">
                  <c:v>Greitasis likvidumas</c:v>
                </c:pt>
              </c:strCache>
            </c:strRef>
          </c:tx>
          <c:dLbls>
            <c:dLbl>
              <c:idx val="0"/>
              <c:layout>
                <c:manualLayout>
                  <c:x val="-3.3333333333333298E-2"/>
                  <c:y val="5.55555555555554E-2"/>
                </c:manualLayout>
              </c:layout>
              <c:showLegendKey val="0"/>
              <c:showVal val="1"/>
              <c:showCatName val="0"/>
              <c:showSerName val="0"/>
              <c:showPercent val="0"/>
              <c:showBubbleSize val="0"/>
            </c:dLbl>
            <c:dLbl>
              <c:idx val="1"/>
              <c:layout>
                <c:manualLayout>
                  <c:x val="-3.3333333333333298E-2"/>
                  <c:y val="5.0925925925925999E-2"/>
                </c:manualLayout>
              </c:layout>
              <c:showLegendKey val="0"/>
              <c:showVal val="1"/>
              <c:showCatName val="0"/>
              <c:showSerName val="0"/>
              <c:showPercent val="0"/>
              <c:showBubbleSize val="0"/>
            </c:dLbl>
            <c:dLbl>
              <c:idx val="2"/>
              <c:layout>
                <c:manualLayout>
                  <c:x val="-3.8888888888888903E-2"/>
                  <c:y val="5.55555555555554E-2"/>
                </c:manualLayout>
              </c:layout>
              <c:showLegendKey val="0"/>
              <c:showVal val="1"/>
              <c:showCatName val="0"/>
              <c:showSerName val="0"/>
              <c:showPercent val="0"/>
              <c:showBubbleSize val="0"/>
            </c:dLbl>
            <c:dLbl>
              <c:idx val="3"/>
              <c:layout>
                <c:manualLayout>
                  <c:x val="-3.6111111111111198E-2"/>
                  <c:y val="6.0185185185185099E-2"/>
                </c:manualLayout>
              </c:layout>
              <c:showLegendKey val="0"/>
              <c:showVal val="1"/>
              <c:showCatName val="0"/>
              <c:showSerName val="0"/>
              <c:showPercent val="0"/>
              <c:showBubbleSize val="0"/>
            </c:dLbl>
            <c:dLbl>
              <c:idx val="4"/>
              <c:layout>
                <c:manualLayout>
                  <c:x val="-4.1666666666666699E-2"/>
                  <c:y val="6.944407990667840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'Kauno energija'!$B$1:$F$1</c:f>
              <c:numCache>
                <c:formatCode>General</c:formatCode>
                <c:ptCount val="5"/>
                <c:pt idx="0">
                  <c:v>2008</c:v>
                </c:pt>
                <c:pt idx="1">
                  <c:v>2009</c:v>
                </c:pt>
                <c:pt idx="2">
                  <c:v>2010</c:v>
                </c:pt>
                <c:pt idx="3">
                  <c:v>2011</c:v>
                </c:pt>
                <c:pt idx="4">
                  <c:v>2012</c:v>
                </c:pt>
              </c:numCache>
            </c:numRef>
          </c:cat>
          <c:val>
            <c:numRef>
              <c:f>'Kauno energija'!$B$9:$F$9</c:f>
              <c:numCache>
                <c:formatCode>0.00</c:formatCode>
                <c:ptCount val="5"/>
                <c:pt idx="0">
                  <c:v>0.83960862026258098</c:v>
                </c:pt>
                <c:pt idx="1">
                  <c:v>0.97208923441899897</c:v>
                </c:pt>
                <c:pt idx="2">
                  <c:v>0.87921444830992601</c:v>
                </c:pt>
                <c:pt idx="3">
                  <c:v>0.90635408823491903</c:v>
                </c:pt>
                <c:pt idx="4">
                  <c:v>0.82366925968010496</c:v>
                </c:pt>
              </c:numCache>
            </c:numRef>
          </c:val>
          <c:smooth val="0"/>
        </c:ser>
        <c:ser>
          <c:idx val="2"/>
          <c:order val="2"/>
          <c:tx>
            <c:strRef>
              <c:f>'Kauno energija'!$A$10</c:f>
              <c:strCache>
                <c:ptCount val="1"/>
                <c:pt idx="0">
                  <c:v>Kritinis likvidumas</c:v>
                </c:pt>
              </c:strCache>
            </c:strRef>
          </c:tx>
          <c:dLbls>
            <c:dLbl>
              <c:idx val="0"/>
              <c:layout>
                <c:manualLayout>
                  <c:x val="-4.4444444444444502E-2"/>
                  <c:y val="-1.8518518518518601E-2"/>
                </c:manualLayout>
              </c:layout>
              <c:showLegendKey val="0"/>
              <c:showVal val="1"/>
              <c:showCatName val="0"/>
              <c:showSerName val="0"/>
              <c:showPercent val="0"/>
              <c:showBubbleSize val="0"/>
            </c:dLbl>
            <c:dLbl>
              <c:idx val="1"/>
              <c:layout>
                <c:manualLayout>
                  <c:x val="-4.1666666666666699E-2"/>
                  <c:y val="-2.7777777777778401E-2"/>
                </c:manualLayout>
              </c:layout>
              <c:showLegendKey val="0"/>
              <c:showVal val="1"/>
              <c:showCatName val="0"/>
              <c:showSerName val="0"/>
              <c:showPercent val="0"/>
              <c:showBubbleSize val="0"/>
            </c:dLbl>
            <c:dLbl>
              <c:idx val="2"/>
              <c:layout>
                <c:manualLayout>
                  <c:x val="-4.7222222222222297E-2"/>
                  <c:y val="-3.7037037037037097E-2"/>
                </c:manualLayout>
              </c:layout>
              <c:showLegendKey val="0"/>
              <c:showVal val="1"/>
              <c:showCatName val="0"/>
              <c:showSerName val="0"/>
              <c:showPercent val="0"/>
              <c:showBubbleSize val="0"/>
            </c:dLbl>
            <c:dLbl>
              <c:idx val="3"/>
              <c:layout>
                <c:manualLayout>
                  <c:x val="-4.1666666666666699E-2"/>
                  <c:y val="-4.1666666666666803E-2"/>
                </c:manualLayout>
              </c:layout>
              <c:showLegendKey val="0"/>
              <c:showVal val="1"/>
              <c:showCatName val="0"/>
              <c:showSerName val="0"/>
              <c:showPercent val="0"/>
              <c:showBubbleSize val="0"/>
            </c:dLbl>
            <c:dLbl>
              <c:idx val="4"/>
              <c:layout>
                <c:manualLayout>
                  <c:x val="-4.1666666666666699E-2"/>
                  <c:y val="-2.77777777777784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'Kauno energija'!$B$1:$F$1</c:f>
              <c:numCache>
                <c:formatCode>General</c:formatCode>
                <c:ptCount val="5"/>
                <c:pt idx="0">
                  <c:v>2008</c:v>
                </c:pt>
                <c:pt idx="1">
                  <c:v>2009</c:v>
                </c:pt>
                <c:pt idx="2">
                  <c:v>2010</c:v>
                </c:pt>
                <c:pt idx="3">
                  <c:v>2011</c:v>
                </c:pt>
                <c:pt idx="4">
                  <c:v>2012</c:v>
                </c:pt>
              </c:numCache>
            </c:numRef>
          </c:cat>
          <c:val>
            <c:numRef>
              <c:f>'Kauno energija'!$B$10:$F$10</c:f>
              <c:numCache>
                <c:formatCode>0.00</c:formatCode>
                <c:ptCount val="5"/>
                <c:pt idx="0">
                  <c:v>4.46371067624474E-2</c:v>
                </c:pt>
                <c:pt idx="1">
                  <c:v>4.4217055149843899E-2</c:v>
                </c:pt>
                <c:pt idx="2">
                  <c:v>3.7838766481982603E-2</c:v>
                </c:pt>
                <c:pt idx="3">
                  <c:v>7.5281716203626906E-2</c:v>
                </c:pt>
                <c:pt idx="4">
                  <c:v>7.3201643213005901E-2</c:v>
                </c:pt>
              </c:numCache>
            </c:numRef>
          </c:val>
          <c:smooth val="0"/>
        </c:ser>
        <c:ser>
          <c:idx val="3"/>
          <c:order val="3"/>
          <c:tx>
            <c:strRef>
              <c:f>'Kauno energija'!$A$12</c:f>
              <c:strCache>
                <c:ptCount val="1"/>
                <c:pt idx="0">
                  <c:v>Tr. Į. apmokėjimo pinigais koeficientas</c:v>
                </c:pt>
              </c:strCache>
            </c:strRef>
          </c:tx>
          <c:dLbls>
            <c:dLbl>
              <c:idx val="4"/>
              <c:layout>
                <c:manualLayout>
                  <c:x val="-3.6111111111111198E-2"/>
                  <c:y val="-4.166666666666680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'Kauno energija'!$B$1:$F$1</c:f>
              <c:numCache>
                <c:formatCode>General</c:formatCode>
                <c:ptCount val="5"/>
                <c:pt idx="0">
                  <c:v>2008</c:v>
                </c:pt>
                <c:pt idx="1">
                  <c:v>2009</c:v>
                </c:pt>
                <c:pt idx="2">
                  <c:v>2010</c:v>
                </c:pt>
                <c:pt idx="3">
                  <c:v>2011</c:v>
                </c:pt>
                <c:pt idx="4">
                  <c:v>2012</c:v>
                </c:pt>
              </c:numCache>
            </c:numRef>
          </c:cat>
          <c:val>
            <c:numRef>
              <c:f>'Kauno energija'!$B$12:$F$12</c:f>
              <c:numCache>
                <c:formatCode>0.00</c:formatCode>
                <c:ptCount val="5"/>
                <c:pt idx="0">
                  <c:v>0.23435719593757701</c:v>
                </c:pt>
                <c:pt idx="1">
                  <c:v>0.26147228216598101</c:v>
                </c:pt>
                <c:pt idx="2">
                  <c:v>0.307380921702535</c:v>
                </c:pt>
                <c:pt idx="3">
                  <c:v>0.50380939011472903</c:v>
                </c:pt>
                <c:pt idx="4">
                  <c:v>0.16158552574075599</c:v>
                </c:pt>
              </c:numCache>
            </c:numRef>
          </c:val>
          <c:smooth val="0"/>
        </c:ser>
        <c:dLbls>
          <c:showLegendKey val="0"/>
          <c:showVal val="1"/>
          <c:showCatName val="0"/>
          <c:showSerName val="0"/>
          <c:showPercent val="0"/>
          <c:showBubbleSize val="0"/>
        </c:dLbls>
        <c:marker val="1"/>
        <c:smooth val="0"/>
        <c:axId val="181297536"/>
        <c:axId val="181299072"/>
      </c:lineChart>
      <c:catAx>
        <c:axId val="181297536"/>
        <c:scaling>
          <c:orientation val="minMax"/>
        </c:scaling>
        <c:delete val="0"/>
        <c:axPos val="b"/>
        <c:numFmt formatCode="General" sourceLinked="1"/>
        <c:majorTickMark val="none"/>
        <c:minorTickMark val="none"/>
        <c:tickLblPos val="nextTo"/>
        <c:crossAx val="181299072"/>
        <c:crosses val="autoZero"/>
        <c:auto val="1"/>
        <c:lblAlgn val="ctr"/>
        <c:lblOffset val="100"/>
        <c:noMultiLvlLbl val="0"/>
      </c:catAx>
      <c:valAx>
        <c:axId val="181299072"/>
        <c:scaling>
          <c:orientation val="minMax"/>
        </c:scaling>
        <c:delete val="0"/>
        <c:axPos val="l"/>
        <c:majorGridlines/>
        <c:numFmt formatCode="0.00" sourceLinked="1"/>
        <c:majorTickMark val="none"/>
        <c:minorTickMark val="none"/>
        <c:tickLblPos val="nextTo"/>
        <c:crossAx val="181297536"/>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55CFD0-5360-4C95-89EA-E251AE4032D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lt-LT"/>
        </a:p>
      </dgm:t>
    </dgm:pt>
    <dgm:pt modelId="{950403ED-877C-4962-980A-611DBC18DBFE}">
      <dgm:prSet phldrT="[Text]" custT="1"/>
      <dgm:spPr/>
      <dgm:t>
        <a:bodyPr/>
        <a:lstStyle/>
        <a:p>
          <a:r>
            <a:rPr lang="lt-LT" sz="1000"/>
            <a:t>1</a:t>
          </a:r>
        </a:p>
      </dgm:t>
    </dgm:pt>
    <dgm:pt modelId="{1A9F2662-CD1C-4225-B875-ACFD1A513263}" type="parTrans" cxnId="{409D839A-ED3F-4E5D-BFD2-8A4927D1B3DB}">
      <dgm:prSet/>
      <dgm:spPr/>
      <dgm:t>
        <a:bodyPr/>
        <a:lstStyle/>
        <a:p>
          <a:endParaRPr lang="lt-LT" sz="1000"/>
        </a:p>
      </dgm:t>
    </dgm:pt>
    <dgm:pt modelId="{94C839E7-AABE-45E2-A0EA-A8F92B3445B1}" type="sibTrans" cxnId="{409D839A-ED3F-4E5D-BFD2-8A4927D1B3DB}">
      <dgm:prSet/>
      <dgm:spPr/>
      <dgm:t>
        <a:bodyPr/>
        <a:lstStyle/>
        <a:p>
          <a:endParaRPr lang="lt-LT" sz="1000"/>
        </a:p>
      </dgm:t>
    </dgm:pt>
    <dgm:pt modelId="{D05C46FF-4F25-43CC-8E9B-3C764B8DA2F7}">
      <dgm:prSet phldrT="[Text]" custT="1"/>
      <dgm:spPr/>
      <dgm:t>
        <a:bodyPr/>
        <a:lstStyle/>
        <a:p>
          <a:r>
            <a:rPr lang="lt-LT" sz="1000">
              <a:latin typeface="Times New Roman" pitchFamily="18" charset="0"/>
              <a:cs typeface="Times New Roman" pitchFamily="18" charset="0"/>
            </a:rPr>
            <a:t>2</a:t>
          </a:r>
        </a:p>
      </dgm:t>
    </dgm:pt>
    <dgm:pt modelId="{B16C0207-D894-49F4-AD2B-38372CB3D932}" type="parTrans" cxnId="{3B04772A-9817-482D-BF0E-E236023105BD}">
      <dgm:prSet/>
      <dgm:spPr/>
      <dgm:t>
        <a:bodyPr/>
        <a:lstStyle/>
        <a:p>
          <a:endParaRPr lang="lt-LT" sz="1000"/>
        </a:p>
      </dgm:t>
    </dgm:pt>
    <dgm:pt modelId="{6C184D12-4CC4-47C9-84BE-B9D4C6441FC2}" type="sibTrans" cxnId="{3B04772A-9817-482D-BF0E-E236023105BD}">
      <dgm:prSet/>
      <dgm:spPr/>
      <dgm:t>
        <a:bodyPr/>
        <a:lstStyle/>
        <a:p>
          <a:endParaRPr lang="lt-LT" sz="1000"/>
        </a:p>
      </dgm:t>
    </dgm:pt>
    <dgm:pt modelId="{2123283F-7EF6-4CB3-88A9-F28C33D1D83A}">
      <dgm:prSet phldrT="[Text]" custT="1"/>
      <dgm:spPr/>
      <dgm:t>
        <a:bodyPr/>
        <a:lstStyle/>
        <a:p>
          <a:r>
            <a:rPr lang="lt-LT" sz="1000">
              <a:latin typeface="Times New Roman" pitchFamily="18" charset="0"/>
              <a:cs typeface="Times New Roman" pitchFamily="18" charset="0"/>
            </a:rPr>
            <a:t>būtinybė parduoti tam tikrą turto dalį tam, kad būtų padengti trumpalaikiai įsipareigojimai</a:t>
          </a:r>
        </a:p>
      </dgm:t>
    </dgm:pt>
    <dgm:pt modelId="{4472CDBB-50A1-4533-8591-A7627B8F706C}" type="parTrans" cxnId="{A55CC5EB-04DB-43B9-A2C2-91EDAEE48272}">
      <dgm:prSet/>
      <dgm:spPr/>
      <dgm:t>
        <a:bodyPr/>
        <a:lstStyle/>
        <a:p>
          <a:endParaRPr lang="lt-LT" sz="1000"/>
        </a:p>
      </dgm:t>
    </dgm:pt>
    <dgm:pt modelId="{CE7847A3-E6BD-4AB1-B686-94D5BF14F3B9}" type="sibTrans" cxnId="{A55CC5EB-04DB-43B9-A2C2-91EDAEE48272}">
      <dgm:prSet/>
      <dgm:spPr/>
      <dgm:t>
        <a:bodyPr/>
        <a:lstStyle/>
        <a:p>
          <a:endParaRPr lang="lt-LT" sz="1000"/>
        </a:p>
      </dgm:t>
    </dgm:pt>
    <dgm:pt modelId="{580A6E7E-2044-4AE6-AF2E-3EB2021899A1}">
      <dgm:prSet phldrT="[Text]" custT="1"/>
      <dgm:spPr/>
      <dgm:t>
        <a:bodyPr/>
        <a:lstStyle/>
        <a:p>
          <a:r>
            <a:rPr lang="lt-LT" sz="1000">
              <a:latin typeface="Times New Roman" pitchFamily="18" charset="0"/>
              <a:cs typeface="Times New Roman" pitchFamily="18" charset="0"/>
            </a:rPr>
            <a:t>blogėjantys santykiai su tiekėjais ir partneriais dėl sutarčių sąlygų nesilaikymo</a:t>
          </a:r>
        </a:p>
      </dgm:t>
    </dgm:pt>
    <dgm:pt modelId="{4E52A6DA-19B0-4F0F-9A49-14113196C104}" type="sibTrans" cxnId="{039A8D27-5911-4801-9D96-6A767A1085C5}">
      <dgm:prSet/>
      <dgm:spPr/>
      <dgm:t>
        <a:bodyPr/>
        <a:lstStyle/>
        <a:p>
          <a:endParaRPr lang="lt-LT" sz="1000"/>
        </a:p>
      </dgm:t>
    </dgm:pt>
    <dgm:pt modelId="{4C5C5230-214C-42E2-BEDD-10FB2B798C52}" type="parTrans" cxnId="{039A8D27-5911-4801-9D96-6A767A1085C5}">
      <dgm:prSet/>
      <dgm:spPr/>
      <dgm:t>
        <a:bodyPr/>
        <a:lstStyle/>
        <a:p>
          <a:endParaRPr lang="lt-LT" sz="1000"/>
        </a:p>
      </dgm:t>
    </dgm:pt>
    <dgm:pt modelId="{699358DA-2B3A-4292-BEF8-7C2566B89B34}">
      <dgm:prSet phldrT="[Text]" custT="1"/>
      <dgm:spPr/>
      <dgm:t>
        <a:bodyPr/>
        <a:lstStyle/>
        <a:p>
          <a:r>
            <a:rPr lang="lt-LT" sz="1000">
              <a:latin typeface="Times New Roman" pitchFamily="18" charset="0"/>
              <a:cs typeface="Times New Roman" pitchFamily="18" charset="0"/>
            </a:rPr>
            <a:t>5</a:t>
          </a:r>
        </a:p>
      </dgm:t>
    </dgm:pt>
    <dgm:pt modelId="{B0FD29E1-FB43-4F1B-BD53-75168ADC57F2}" type="parTrans" cxnId="{B6855F4F-36B3-4C4F-8465-79735170BC4E}">
      <dgm:prSet/>
      <dgm:spPr/>
      <dgm:t>
        <a:bodyPr/>
        <a:lstStyle/>
        <a:p>
          <a:endParaRPr lang="lt-LT" sz="1000"/>
        </a:p>
      </dgm:t>
    </dgm:pt>
    <dgm:pt modelId="{967E7127-7534-4CE7-BF40-D018A0ED7E5A}" type="sibTrans" cxnId="{B6855F4F-36B3-4C4F-8465-79735170BC4E}">
      <dgm:prSet/>
      <dgm:spPr/>
      <dgm:t>
        <a:bodyPr/>
        <a:lstStyle/>
        <a:p>
          <a:endParaRPr lang="lt-LT" sz="1000"/>
        </a:p>
      </dgm:t>
    </dgm:pt>
    <dgm:pt modelId="{D011D31B-47A0-4EDF-AA57-9068E024B555}">
      <dgm:prSet phldrT="[Text]" custT="1"/>
      <dgm:spPr/>
      <dgm:t>
        <a:bodyPr/>
        <a:lstStyle/>
        <a:p>
          <a:r>
            <a:rPr lang="lt-LT" sz="1000">
              <a:latin typeface="Times New Roman" pitchFamily="18" charset="0"/>
              <a:cs typeface="Times New Roman" pitchFamily="18" charset="0"/>
            </a:rPr>
            <a:t>3</a:t>
          </a:r>
        </a:p>
      </dgm:t>
    </dgm:pt>
    <dgm:pt modelId="{3D5D2F8B-3CE4-44EA-995C-5C9504D70C20}" type="parTrans" cxnId="{D79B027C-C704-4451-B9C1-566F6FB907F0}">
      <dgm:prSet/>
      <dgm:spPr/>
      <dgm:t>
        <a:bodyPr/>
        <a:lstStyle/>
        <a:p>
          <a:endParaRPr lang="lt-LT" sz="1000"/>
        </a:p>
      </dgm:t>
    </dgm:pt>
    <dgm:pt modelId="{7A4180B3-15AA-4740-B25D-FC1E0307C0B9}" type="sibTrans" cxnId="{D79B027C-C704-4451-B9C1-566F6FB907F0}">
      <dgm:prSet/>
      <dgm:spPr/>
      <dgm:t>
        <a:bodyPr/>
        <a:lstStyle/>
        <a:p>
          <a:endParaRPr lang="lt-LT" sz="1000"/>
        </a:p>
      </dgm:t>
    </dgm:pt>
    <dgm:pt modelId="{5E81A92B-E986-4AC7-B50E-DAF34509A875}">
      <dgm:prSet phldrT="[Text]" custT="1"/>
      <dgm:spPr/>
      <dgm:t>
        <a:bodyPr/>
        <a:lstStyle/>
        <a:p>
          <a:r>
            <a:rPr lang="lt-LT" sz="1000">
              <a:latin typeface="Times New Roman" pitchFamily="18" charset="0"/>
              <a:cs typeface="Times New Roman" pitchFamily="18" charset="0"/>
            </a:rPr>
            <a:t>4</a:t>
          </a:r>
        </a:p>
      </dgm:t>
    </dgm:pt>
    <dgm:pt modelId="{60823651-71AD-4366-9608-9E7386370ADD}" type="parTrans" cxnId="{C24DF396-4B0C-461B-98E4-EA17570599CA}">
      <dgm:prSet/>
      <dgm:spPr/>
      <dgm:t>
        <a:bodyPr/>
        <a:lstStyle/>
        <a:p>
          <a:endParaRPr lang="lt-LT" sz="1000"/>
        </a:p>
      </dgm:t>
    </dgm:pt>
    <dgm:pt modelId="{811D6EF7-77F0-4E48-B4BD-9B253B939D2E}" type="sibTrans" cxnId="{C24DF396-4B0C-461B-98E4-EA17570599CA}">
      <dgm:prSet/>
      <dgm:spPr/>
      <dgm:t>
        <a:bodyPr/>
        <a:lstStyle/>
        <a:p>
          <a:endParaRPr lang="lt-LT" sz="1000"/>
        </a:p>
      </dgm:t>
    </dgm:pt>
    <dgm:pt modelId="{F16A7BFB-E869-401F-863C-EFB3E9511885}">
      <dgm:prSet custT="1"/>
      <dgm:spPr/>
      <dgm:t>
        <a:bodyPr/>
        <a:lstStyle/>
        <a:p>
          <a:r>
            <a:rPr lang="lt-LT" sz="1000">
              <a:latin typeface="Times New Roman" pitchFamily="18" charset="0"/>
              <a:cs typeface="Times New Roman" pitchFamily="18" charset="0"/>
            </a:rPr>
            <a:t>mokėjimų atidėjimas dėl paskolų palūkanų pasikeitimo </a:t>
          </a:r>
        </a:p>
      </dgm:t>
    </dgm:pt>
    <dgm:pt modelId="{3ED2168E-EC5A-46FE-9464-8C619EFD3111}" type="parTrans" cxnId="{8A5108C6-1A9C-4740-BF8D-3E6D7192A5C3}">
      <dgm:prSet/>
      <dgm:spPr/>
      <dgm:t>
        <a:bodyPr/>
        <a:lstStyle/>
        <a:p>
          <a:endParaRPr lang="lt-LT" sz="1000"/>
        </a:p>
      </dgm:t>
    </dgm:pt>
    <dgm:pt modelId="{8FD81C83-E97F-45BC-AC13-A77FAA4C4519}" type="sibTrans" cxnId="{8A5108C6-1A9C-4740-BF8D-3E6D7192A5C3}">
      <dgm:prSet/>
      <dgm:spPr/>
      <dgm:t>
        <a:bodyPr/>
        <a:lstStyle/>
        <a:p>
          <a:endParaRPr lang="lt-LT" sz="1000"/>
        </a:p>
      </dgm:t>
    </dgm:pt>
    <dgm:pt modelId="{92DB24B6-6BCC-4248-B14B-A0968533B058}">
      <dgm:prSet phldrT="[Text]" custT="1"/>
      <dgm:spPr/>
      <dgm:t>
        <a:bodyPr/>
        <a:lstStyle/>
        <a:p>
          <a:r>
            <a:rPr lang="lt-LT" sz="1000">
              <a:latin typeface="Times New Roman" pitchFamily="18" charset="0"/>
              <a:cs typeface="Times New Roman" pitchFamily="18" charset="0"/>
            </a:rPr>
            <a:t>galimybės praleidimas įsigyti mažesnėmis kainomis</a:t>
          </a:r>
        </a:p>
      </dgm:t>
    </dgm:pt>
    <dgm:pt modelId="{FFE7E9F4-2DB6-4B43-8882-5DE01BF3049B}" type="sibTrans" cxnId="{18CD0257-AD42-4D4E-BEE9-06D32E26B51F}">
      <dgm:prSet/>
      <dgm:spPr/>
      <dgm:t>
        <a:bodyPr/>
        <a:lstStyle/>
        <a:p>
          <a:endParaRPr lang="lt-LT" sz="1000"/>
        </a:p>
      </dgm:t>
    </dgm:pt>
    <dgm:pt modelId="{9E0D5E19-8E38-4BDA-9D2F-BBE0B09C0DBD}" type="parTrans" cxnId="{18CD0257-AD42-4D4E-BEE9-06D32E26B51F}">
      <dgm:prSet/>
      <dgm:spPr/>
      <dgm:t>
        <a:bodyPr/>
        <a:lstStyle/>
        <a:p>
          <a:endParaRPr lang="lt-LT" sz="1000"/>
        </a:p>
      </dgm:t>
    </dgm:pt>
    <dgm:pt modelId="{02885561-5017-4BAF-9B7C-D0AB9343C489}">
      <dgm:prSet custT="1"/>
      <dgm:spPr/>
      <dgm:t>
        <a:bodyPr/>
        <a:lstStyle/>
        <a:p>
          <a:r>
            <a:rPr lang="lt-LT" sz="1000">
              <a:latin typeface="Times New Roman" pitchFamily="18" charset="0"/>
              <a:cs typeface="Times New Roman" pitchFamily="18" charset="0"/>
            </a:rPr>
            <a:t>sunkumai gauti naujų kreditų</a:t>
          </a:r>
        </a:p>
      </dgm:t>
    </dgm:pt>
    <dgm:pt modelId="{AB9FDC29-EF25-457C-89F6-297B83EB9D95}" type="parTrans" cxnId="{18745E12-6E78-410B-9315-79BBF4FBB2B2}">
      <dgm:prSet/>
      <dgm:spPr/>
      <dgm:t>
        <a:bodyPr/>
        <a:lstStyle/>
        <a:p>
          <a:endParaRPr lang="lt-LT" sz="1000"/>
        </a:p>
      </dgm:t>
    </dgm:pt>
    <dgm:pt modelId="{0C2902D1-DA1F-4101-BD71-E07A942766A3}" type="sibTrans" cxnId="{18745E12-6E78-410B-9315-79BBF4FBB2B2}">
      <dgm:prSet/>
      <dgm:spPr/>
      <dgm:t>
        <a:bodyPr/>
        <a:lstStyle/>
        <a:p>
          <a:endParaRPr lang="lt-LT" sz="1000"/>
        </a:p>
      </dgm:t>
    </dgm:pt>
    <dgm:pt modelId="{FDC3894C-5EAE-41A4-A01D-DD9428E1793F}" type="pres">
      <dgm:prSet presAssocID="{5655CFD0-5360-4C95-89EA-E251AE4032DB}" presName="linearFlow" presStyleCnt="0">
        <dgm:presLayoutVars>
          <dgm:dir/>
          <dgm:animLvl val="lvl"/>
          <dgm:resizeHandles val="exact"/>
        </dgm:presLayoutVars>
      </dgm:prSet>
      <dgm:spPr/>
      <dgm:t>
        <a:bodyPr/>
        <a:lstStyle/>
        <a:p>
          <a:endParaRPr lang="lt-LT"/>
        </a:p>
      </dgm:t>
    </dgm:pt>
    <dgm:pt modelId="{729B5B17-C93E-473B-989B-6A9EC958BC19}" type="pres">
      <dgm:prSet presAssocID="{950403ED-877C-4962-980A-611DBC18DBFE}" presName="composite" presStyleCnt="0"/>
      <dgm:spPr/>
    </dgm:pt>
    <dgm:pt modelId="{B7959A69-2598-4EFE-B749-89C56CB361E4}" type="pres">
      <dgm:prSet presAssocID="{950403ED-877C-4962-980A-611DBC18DBFE}" presName="parentText" presStyleLbl="alignNode1" presStyleIdx="0" presStyleCnt="5">
        <dgm:presLayoutVars>
          <dgm:chMax val="1"/>
          <dgm:bulletEnabled val="1"/>
        </dgm:presLayoutVars>
      </dgm:prSet>
      <dgm:spPr/>
      <dgm:t>
        <a:bodyPr/>
        <a:lstStyle/>
        <a:p>
          <a:endParaRPr lang="lt-LT"/>
        </a:p>
      </dgm:t>
    </dgm:pt>
    <dgm:pt modelId="{13B236CF-E781-4F2E-BF4F-D877C0BC7AFD}" type="pres">
      <dgm:prSet presAssocID="{950403ED-877C-4962-980A-611DBC18DBFE}" presName="descendantText" presStyleLbl="alignAcc1" presStyleIdx="0" presStyleCnt="5">
        <dgm:presLayoutVars>
          <dgm:bulletEnabled val="1"/>
        </dgm:presLayoutVars>
      </dgm:prSet>
      <dgm:spPr/>
      <dgm:t>
        <a:bodyPr/>
        <a:lstStyle/>
        <a:p>
          <a:endParaRPr lang="lt-LT"/>
        </a:p>
      </dgm:t>
    </dgm:pt>
    <dgm:pt modelId="{DA22E494-9573-4E97-956E-942628DBCF58}" type="pres">
      <dgm:prSet presAssocID="{94C839E7-AABE-45E2-A0EA-A8F92B3445B1}" presName="sp" presStyleCnt="0"/>
      <dgm:spPr/>
    </dgm:pt>
    <dgm:pt modelId="{F2D188FD-6BAB-48B3-A06D-B65C6D7292E4}" type="pres">
      <dgm:prSet presAssocID="{D05C46FF-4F25-43CC-8E9B-3C764B8DA2F7}" presName="composite" presStyleCnt="0"/>
      <dgm:spPr/>
    </dgm:pt>
    <dgm:pt modelId="{014895E2-4B01-4FFC-8538-B66FFDBEEA3A}" type="pres">
      <dgm:prSet presAssocID="{D05C46FF-4F25-43CC-8E9B-3C764B8DA2F7}" presName="parentText" presStyleLbl="alignNode1" presStyleIdx="1" presStyleCnt="5">
        <dgm:presLayoutVars>
          <dgm:chMax val="1"/>
          <dgm:bulletEnabled val="1"/>
        </dgm:presLayoutVars>
      </dgm:prSet>
      <dgm:spPr/>
      <dgm:t>
        <a:bodyPr/>
        <a:lstStyle/>
        <a:p>
          <a:endParaRPr lang="lt-LT"/>
        </a:p>
      </dgm:t>
    </dgm:pt>
    <dgm:pt modelId="{41D95430-D5CD-4392-8323-6A831B53B384}" type="pres">
      <dgm:prSet presAssocID="{D05C46FF-4F25-43CC-8E9B-3C764B8DA2F7}" presName="descendantText" presStyleLbl="alignAcc1" presStyleIdx="1" presStyleCnt="5">
        <dgm:presLayoutVars>
          <dgm:bulletEnabled val="1"/>
        </dgm:presLayoutVars>
      </dgm:prSet>
      <dgm:spPr/>
      <dgm:t>
        <a:bodyPr/>
        <a:lstStyle/>
        <a:p>
          <a:endParaRPr lang="lt-LT"/>
        </a:p>
      </dgm:t>
    </dgm:pt>
    <dgm:pt modelId="{18B6007A-4FBF-4BA9-8073-E539DFFBCD39}" type="pres">
      <dgm:prSet presAssocID="{6C184D12-4CC4-47C9-84BE-B9D4C6441FC2}" presName="sp" presStyleCnt="0"/>
      <dgm:spPr/>
    </dgm:pt>
    <dgm:pt modelId="{C4CF7756-578D-4BEB-A639-95A9D2A5DF80}" type="pres">
      <dgm:prSet presAssocID="{D011D31B-47A0-4EDF-AA57-9068E024B555}" presName="composite" presStyleCnt="0"/>
      <dgm:spPr/>
    </dgm:pt>
    <dgm:pt modelId="{6C47CD5D-EAA8-437E-9321-EF47312DB238}" type="pres">
      <dgm:prSet presAssocID="{D011D31B-47A0-4EDF-AA57-9068E024B555}" presName="parentText" presStyleLbl="alignNode1" presStyleIdx="2" presStyleCnt="5">
        <dgm:presLayoutVars>
          <dgm:chMax val="1"/>
          <dgm:bulletEnabled val="1"/>
        </dgm:presLayoutVars>
      </dgm:prSet>
      <dgm:spPr/>
      <dgm:t>
        <a:bodyPr/>
        <a:lstStyle/>
        <a:p>
          <a:endParaRPr lang="lt-LT"/>
        </a:p>
      </dgm:t>
    </dgm:pt>
    <dgm:pt modelId="{F4D368C3-0378-423D-8727-FFBFA69AE3E2}" type="pres">
      <dgm:prSet presAssocID="{D011D31B-47A0-4EDF-AA57-9068E024B555}" presName="descendantText" presStyleLbl="alignAcc1" presStyleIdx="2" presStyleCnt="5">
        <dgm:presLayoutVars>
          <dgm:bulletEnabled val="1"/>
        </dgm:presLayoutVars>
      </dgm:prSet>
      <dgm:spPr/>
      <dgm:t>
        <a:bodyPr/>
        <a:lstStyle/>
        <a:p>
          <a:endParaRPr lang="lt-LT"/>
        </a:p>
      </dgm:t>
    </dgm:pt>
    <dgm:pt modelId="{8AEAC4D4-75D9-4017-B722-F1CCAB232BAE}" type="pres">
      <dgm:prSet presAssocID="{7A4180B3-15AA-4740-B25D-FC1E0307C0B9}" presName="sp" presStyleCnt="0"/>
      <dgm:spPr/>
    </dgm:pt>
    <dgm:pt modelId="{C3678D5B-B263-43F1-8A82-3799AD74DF77}" type="pres">
      <dgm:prSet presAssocID="{5E81A92B-E986-4AC7-B50E-DAF34509A875}" presName="composite" presStyleCnt="0"/>
      <dgm:spPr/>
    </dgm:pt>
    <dgm:pt modelId="{28796541-DE45-47A8-8D09-BD930D4EB08B}" type="pres">
      <dgm:prSet presAssocID="{5E81A92B-E986-4AC7-B50E-DAF34509A875}" presName="parentText" presStyleLbl="alignNode1" presStyleIdx="3" presStyleCnt="5">
        <dgm:presLayoutVars>
          <dgm:chMax val="1"/>
          <dgm:bulletEnabled val="1"/>
        </dgm:presLayoutVars>
      </dgm:prSet>
      <dgm:spPr/>
      <dgm:t>
        <a:bodyPr/>
        <a:lstStyle/>
        <a:p>
          <a:endParaRPr lang="lt-LT"/>
        </a:p>
      </dgm:t>
    </dgm:pt>
    <dgm:pt modelId="{E3B96514-69F5-4814-AB11-1DC59F50A20E}" type="pres">
      <dgm:prSet presAssocID="{5E81A92B-E986-4AC7-B50E-DAF34509A875}" presName="descendantText" presStyleLbl="alignAcc1" presStyleIdx="3" presStyleCnt="5">
        <dgm:presLayoutVars>
          <dgm:bulletEnabled val="1"/>
        </dgm:presLayoutVars>
      </dgm:prSet>
      <dgm:spPr/>
      <dgm:t>
        <a:bodyPr/>
        <a:lstStyle/>
        <a:p>
          <a:endParaRPr lang="lt-LT"/>
        </a:p>
      </dgm:t>
    </dgm:pt>
    <dgm:pt modelId="{7540A433-0B49-4E35-89EC-C713FB3F58AE}" type="pres">
      <dgm:prSet presAssocID="{811D6EF7-77F0-4E48-B4BD-9B253B939D2E}" presName="sp" presStyleCnt="0"/>
      <dgm:spPr/>
    </dgm:pt>
    <dgm:pt modelId="{FD6399C4-9A98-41BA-A639-01E474BAB9C8}" type="pres">
      <dgm:prSet presAssocID="{699358DA-2B3A-4292-BEF8-7C2566B89B34}" presName="composite" presStyleCnt="0"/>
      <dgm:spPr/>
    </dgm:pt>
    <dgm:pt modelId="{05B30A67-BD30-4D95-99B7-597CBA3740AF}" type="pres">
      <dgm:prSet presAssocID="{699358DA-2B3A-4292-BEF8-7C2566B89B34}" presName="parentText" presStyleLbl="alignNode1" presStyleIdx="4" presStyleCnt="5">
        <dgm:presLayoutVars>
          <dgm:chMax val="1"/>
          <dgm:bulletEnabled val="1"/>
        </dgm:presLayoutVars>
      </dgm:prSet>
      <dgm:spPr/>
      <dgm:t>
        <a:bodyPr/>
        <a:lstStyle/>
        <a:p>
          <a:endParaRPr lang="lt-LT"/>
        </a:p>
      </dgm:t>
    </dgm:pt>
    <dgm:pt modelId="{43DA3104-040C-4CCA-AF8A-D4957839F47A}" type="pres">
      <dgm:prSet presAssocID="{699358DA-2B3A-4292-BEF8-7C2566B89B34}" presName="descendantText" presStyleLbl="alignAcc1" presStyleIdx="4" presStyleCnt="5">
        <dgm:presLayoutVars>
          <dgm:bulletEnabled val="1"/>
        </dgm:presLayoutVars>
      </dgm:prSet>
      <dgm:spPr/>
      <dgm:t>
        <a:bodyPr/>
        <a:lstStyle/>
        <a:p>
          <a:endParaRPr lang="lt-LT"/>
        </a:p>
      </dgm:t>
    </dgm:pt>
  </dgm:ptLst>
  <dgm:cxnLst>
    <dgm:cxn modelId="{926E3944-9840-4003-BC28-77FD7BC2490C}" type="presOf" srcId="{D05C46FF-4F25-43CC-8E9B-3C764B8DA2F7}" destId="{014895E2-4B01-4FFC-8538-B66FFDBEEA3A}" srcOrd="0" destOrd="0" presId="urn:microsoft.com/office/officeart/2005/8/layout/chevron2"/>
    <dgm:cxn modelId="{344BF3DB-9B5E-4136-A56B-AF241B7E4045}" type="presOf" srcId="{92DB24B6-6BCC-4248-B14B-A0968533B058}" destId="{13B236CF-E781-4F2E-BF4F-D877C0BC7AFD}" srcOrd="0" destOrd="0" presId="urn:microsoft.com/office/officeart/2005/8/layout/chevron2"/>
    <dgm:cxn modelId="{8A5108C6-1A9C-4740-BF8D-3E6D7192A5C3}" srcId="{D011D31B-47A0-4EDF-AA57-9068E024B555}" destId="{F16A7BFB-E869-401F-863C-EFB3E9511885}" srcOrd="0" destOrd="0" parTransId="{3ED2168E-EC5A-46FE-9464-8C619EFD3111}" sibTransId="{8FD81C83-E97F-45BC-AC13-A77FAA4C4519}"/>
    <dgm:cxn modelId="{039A8D27-5911-4801-9D96-6A767A1085C5}" srcId="{D05C46FF-4F25-43CC-8E9B-3C764B8DA2F7}" destId="{580A6E7E-2044-4AE6-AF2E-3EB2021899A1}" srcOrd="0" destOrd="0" parTransId="{4C5C5230-214C-42E2-BEDD-10FB2B798C52}" sibTransId="{4E52A6DA-19B0-4F0F-9A49-14113196C104}"/>
    <dgm:cxn modelId="{A55CC5EB-04DB-43B9-A2C2-91EDAEE48272}" srcId="{699358DA-2B3A-4292-BEF8-7C2566B89B34}" destId="{2123283F-7EF6-4CB3-88A9-F28C33D1D83A}" srcOrd="0" destOrd="0" parTransId="{4472CDBB-50A1-4533-8591-A7627B8F706C}" sibTransId="{CE7847A3-E6BD-4AB1-B686-94D5BF14F3B9}"/>
    <dgm:cxn modelId="{409D839A-ED3F-4E5D-BFD2-8A4927D1B3DB}" srcId="{5655CFD0-5360-4C95-89EA-E251AE4032DB}" destId="{950403ED-877C-4962-980A-611DBC18DBFE}" srcOrd="0" destOrd="0" parTransId="{1A9F2662-CD1C-4225-B875-ACFD1A513263}" sibTransId="{94C839E7-AABE-45E2-A0EA-A8F92B3445B1}"/>
    <dgm:cxn modelId="{7D5109BA-75FF-4B36-8949-B874226D9F41}" type="presOf" srcId="{5E81A92B-E986-4AC7-B50E-DAF34509A875}" destId="{28796541-DE45-47A8-8D09-BD930D4EB08B}" srcOrd="0" destOrd="0" presId="urn:microsoft.com/office/officeart/2005/8/layout/chevron2"/>
    <dgm:cxn modelId="{D79B027C-C704-4451-B9C1-566F6FB907F0}" srcId="{5655CFD0-5360-4C95-89EA-E251AE4032DB}" destId="{D011D31B-47A0-4EDF-AA57-9068E024B555}" srcOrd="2" destOrd="0" parTransId="{3D5D2F8B-3CE4-44EA-995C-5C9504D70C20}" sibTransId="{7A4180B3-15AA-4740-B25D-FC1E0307C0B9}"/>
    <dgm:cxn modelId="{C24DF396-4B0C-461B-98E4-EA17570599CA}" srcId="{5655CFD0-5360-4C95-89EA-E251AE4032DB}" destId="{5E81A92B-E986-4AC7-B50E-DAF34509A875}" srcOrd="3" destOrd="0" parTransId="{60823651-71AD-4366-9608-9E7386370ADD}" sibTransId="{811D6EF7-77F0-4E48-B4BD-9B253B939D2E}"/>
    <dgm:cxn modelId="{18745E12-6E78-410B-9315-79BBF4FBB2B2}" srcId="{5E81A92B-E986-4AC7-B50E-DAF34509A875}" destId="{02885561-5017-4BAF-9B7C-D0AB9343C489}" srcOrd="0" destOrd="0" parTransId="{AB9FDC29-EF25-457C-89F6-297B83EB9D95}" sibTransId="{0C2902D1-DA1F-4101-BD71-E07A942766A3}"/>
    <dgm:cxn modelId="{97914690-C99C-44C8-8984-3B45FB892865}" type="presOf" srcId="{D011D31B-47A0-4EDF-AA57-9068E024B555}" destId="{6C47CD5D-EAA8-437E-9321-EF47312DB238}" srcOrd="0" destOrd="0" presId="urn:microsoft.com/office/officeart/2005/8/layout/chevron2"/>
    <dgm:cxn modelId="{18CD0257-AD42-4D4E-BEE9-06D32E26B51F}" srcId="{950403ED-877C-4962-980A-611DBC18DBFE}" destId="{92DB24B6-6BCC-4248-B14B-A0968533B058}" srcOrd="0" destOrd="0" parTransId="{9E0D5E19-8E38-4BDA-9D2F-BBE0B09C0DBD}" sibTransId="{FFE7E9F4-2DB6-4B43-8882-5DE01BF3049B}"/>
    <dgm:cxn modelId="{072472FA-7E72-4F3B-93AF-8463BEFEA0F2}" type="presOf" srcId="{699358DA-2B3A-4292-BEF8-7C2566B89B34}" destId="{05B30A67-BD30-4D95-99B7-597CBA3740AF}" srcOrd="0" destOrd="0" presId="urn:microsoft.com/office/officeart/2005/8/layout/chevron2"/>
    <dgm:cxn modelId="{373BACE6-753F-4997-9BE2-31314ECC4FFC}" type="presOf" srcId="{02885561-5017-4BAF-9B7C-D0AB9343C489}" destId="{E3B96514-69F5-4814-AB11-1DC59F50A20E}" srcOrd="0" destOrd="0" presId="urn:microsoft.com/office/officeart/2005/8/layout/chevron2"/>
    <dgm:cxn modelId="{E1421B70-0CEA-4EF7-BEE4-7AE9813C6C53}" type="presOf" srcId="{2123283F-7EF6-4CB3-88A9-F28C33D1D83A}" destId="{43DA3104-040C-4CCA-AF8A-D4957839F47A}" srcOrd="0" destOrd="0" presId="urn:microsoft.com/office/officeart/2005/8/layout/chevron2"/>
    <dgm:cxn modelId="{79E5A99F-6978-46FA-BE79-283BFED830EF}" type="presOf" srcId="{F16A7BFB-E869-401F-863C-EFB3E9511885}" destId="{F4D368C3-0378-423D-8727-FFBFA69AE3E2}" srcOrd="0" destOrd="0" presId="urn:microsoft.com/office/officeart/2005/8/layout/chevron2"/>
    <dgm:cxn modelId="{C406DB20-1791-40E4-A855-63CC7B9C6BFA}" type="presOf" srcId="{580A6E7E-2044-4AE6-AF2E-3EB2021899A1}" destId="{41D95430-D5CD-4392-8323-6A831B53B384}" srcOrd="0" destOrd="0" presId="urn:microsoft.com/office/officeart/2005/8/layout/chevron2"/>
    <dgm:cxn modelId="{1D7CDE81-1717-4B95-A93F-A20FC3AEE1FE}" type="presOf" srcId="{950403ED-877C-4962-980A-611DBC18DBFE}" destId="{B7959A69-2598-4EFE-B749-89C56CB361E4}" srcOrd="0" destOrd="0" presId="urn:microsoft.com/office/officeart/2005/8/layout/chevron2"/>
    <dgm:cxn modelId="{3B04772A-9817-482D-BF0E-E236023105BD}" srcId="{5655CFD0-5360-4C95-89EA-E251AE4032DB}" destId="{D05C46FF-4F25-43CC-8E9B-3C764B8DA2F7}" srcOrd="1" destOrd="0" parTransId="{B16C0207-D894-49F4-AD2B-38372CB3D932}" sibTransId="{6C184D12-4CC4-47C9-84BE-B9D4C6441FC2}"/>
    <dgm:cxn modelId="{DBB400D2-6239-4335-8D29-B80A689C6CAA}" type="presOf" srcId="{5655CFD0-5360-4C95-89EA-E251AE4032DB}" destId="{FDC3894C-5EAE-41A4-A01D-DD9428E1793F}" srcOrd="0" destOrd="0" presId="urn:microsoft.com/office/officeart/2005/8/layout/chevron2"/>
    <dgm:cxn modelId="{B6855F4F-36B3-4C4F-8465-79735170BC4E}" srcId="{5655CFD0-5360-4C95-89EA-E251AE4032DB}" destId="{699358DA-2B3A-4292-BEF8-7C2566B89B34}" srcOrd="4" destOrd="0" parTransId="{B0FD29E1-FB43-4F1B-BD53-75168ADC57F2}" sibTransId="{967E7127-7534-4CE7-BF40-D018A0ED7E5A}"/>
    <dgm:cxn modelId="{A626DA1D-65A8-41BA-93DF-626FA2B60AD1}" type="presParOf" srcId="{FDC3894C-5EAE-41A4-A01D-DD9428E1793F}" destId="{729B5B17-C93E-473B-989B-6A9EC958BC19}" srcOrd="0" destOrd="0" presId="urn:microsoft.com/office/officeart/2005/8/layout/chevron2"/>
    <dgm:cxn modelId="{1AFE022E-1486-4485-9384-1E7575E1F9AC}" type="presParOf" srcId="{729B5B17-C93E-473B-989B-6A9EC958BC19}" destId="{B7959A69-2598-4EFE-B749-89C56CB361E4}" srcOrd="0" destOrd="0" presId="urn:microsoft.com/office/officeart/2005/8/layout/chevron2"/>
    <dgm:cxn modelId="{E1437980-312C-49EA-A743-6F0DD60F13F5}" type="presParOf" srcId="{729B5B17-C93E-473B-989B-6A9EC958BC19}" destId="{13B236CF-E781-4F2E-BF4F-D877C0BC7AFD}" srcOrd="1" destOrd="0" presId="urn:microsoft.com/office/officeart/2005/8/layout/chevron2"/>
    <dgm:cxn modelId="{ECF8B54C-1724-4945-B4AC-7C36FDBB082A}" type="presParOf" srcId="{FDC3894C-5EAE-41A4-A01D-DD9428E1793F}" destId="{DA22E494-9573-4E97-956E-942628DBCF58}" srcOrd="1" destOrd="0" presId="urn:microsoft.com/office/officeart/2005/8/layout/chevron2"/>
    <dgm:cxn modelId="{0AB62026-2ED5-4841-94EA-AF489962EF06}" type="presParOf" srcId="{FDC3894C-5EAE-41A4-A01D-DD9428E1793F}" destId="{F2D188FD-6BAB-48B3-A06D-B65C6D7292E4}" srcOrd="2" destOrd="0" presId="urn:microsoft.com/office/officeart/2005/8/layout/chevron2"/>
    <dgm:cxn modelId="{3CEA3D53-B687-4564-9D98-9EE9872BACB0}" type="presParOf" srcId="{F2D188FD-6BAB-48B3-A06D-B65C6D7292E4}" destId="{014895E2-4B01-4FFC-8538-B66FFDBEEA3A}" srcOrd="0" destOrd="0" presId="urn:microsoft.com/office/officeart/2005/8/layout/chevron2"/>
    <dgm:cxn modelId="{78CFB9F3-3F01-4E33-A400-0859348295A1}" type="presParOf" srcId="{F2D188FD-6BAB-48B3-A06D-B65C6D7292E4}" destId="{41D95430-D5CD-4392-8323-6A831B53B384}" srcOrd="1" destOrd="0" presId="urn:microsoft.com/office/officeart/2005/8/layout/chevron2"/>
    <dgm:cxn modelId="{8C22A397-1469-4C19-80EF-7ABC09DE9D0D}" type="presParOf" srcId="{FDC3894C-5EAE-41A4-A01D-DD9428E1793F}" destId="{18B6007A-4FBF-4BA9-8073-E539DFFBCD39}" srcOrd="3" destOrd="0" presId="urn:microsoft.com/office/officeart/2005/8/layout/chevron2"/>
    <dgm:cxn modelId="{C7B5FE16-C258-482C-8D2B-5913DC24242C}" type="presParOf" srcId="{FDC3894C-5EAE-41A4-A01D-DD9428E1793F}" destId="{C4CF7756-578D-4BEB-A639-95A9D2A5DF80}" srcOrd="4" destOrd="0" presId="urn:microsoft.com/office/officeart/2005/8/layout/chevron2"/>
    <dgm:cxn modelId="{56A16FAD-00CB-4236-86D0-61BD15AC6297}" type="presParOf" srcId="{C4CF7756-578D-4BEB-A639-95A9D2A5DF80}" destId="{6C47CD5D-EAA8-437E-9321-EF47312DB238}" srcOrd="0" destOrd="0" presId="urn:microsoft.com/office/officeart/2005/8/layout/chevron2"/>
    <dgm:cxn modelId="{54B86A14-F416-4991-BDD0-E6568735848F}" type="presParOf" srcId="{C4CF7756-578D-4BEB-A639-95A9D2A5DF80}" destId="{F4D368C3-0378-423D-8727-FFBFA69AE3E2}" srcOrd="1" destOrd="0" presId="urn:microsoft.com/office/officeart/2005/8/layout/chevron2"/>
    <dgm:cxn modelId="{14548B4D-712B-43A8-B19A-BF40DFE97348}" type="presParOf" srcId="{FDC3894C-5EAE-41A4-A01D-DD9428E1793F}" destId="{8AEAC4D4-75D9-4017-B722-F1CCAB232BAE}" srcOrd="5" destOrd="0" presId="urn:microsoft.com/office/officeart/2005/8/layout/chevron2"/>
    <dgm:cxn modelId="{211D518A-44D4-4521-A2F2-723C6F4A74EB}" type="presParOf" srcId="{FDC3894C-5EAE-41A4-A01D-DD9428E1793F}" destId="{C3678D5B-B263-43F1-8A82-3799AD74DF77}" srcOrd="6" destOrd="0" presId="urn:microsoft.com/office/officeart/2005/8/layout/chevron2"/>
    <dgm:cxn modelId="{5046FFFC-2503-4E8C-96BF-37A872C948E4}" type="presParOf" srcId="{C3678D5B-B263-43F1-8A82-3799AD74DF77}" destId="{28796541-DE45-47A8-8D09-BD930D4EB08B}" srcOrd="0" destOrd="0" presId="urn:microsoft.com/office/officeart/2005/8/layout/chevron2"/>
    <dgm:cxn modelId="{F999D4A0-D0AB-400A-96E8-A652926C6C84}" type="presParOf" srcId="{C3678D5B-B263-43F1-8A82-3799AD74DF77}" destId="{E3B96514-69F5-4814-AB11-1DC59F50A20E}" srcOrd="1" destOrd="0" presId="urn:microsoft.com/office/officeart/2005/8/layout/chevron2"/>
    <dgm:cxn modelId="{42AA23DF-66FD-4FD3-A936-984765604EDE}" type="presParOf" srcId="{FDC3894C-5EAE-41A4-A01D-DD9428E1793F}" destId="{7540A433-0B49-4E35-89EC-C713FB3F58AE}" srcOrd="7" destOrd="0" presId="urn:microsoft.com/office/officeart/2005/8/layout/chevron2"/>
    <dgm:cxn modelId="{FF9C9437-05EF-44E9-90EA-210D5E22E76C}" type="presParOf" srcId="{FDC3894C-5EAE-41A4-A01D-DD9428E1793F}" destId="{FD6399C4-9A98-41BA-A639-01E474BAB9C8}" srcOrd="8" destOrd="0" presId="urn:microsoft.com/office/officeart/2005/8/layout/chevron2"/>
    <dgm:cxn modelId="{9D1BAFC3-B434-42CA-A948-ED3919671737}" type="presParOf" srcId="{FD6399C4-9A98-41BA-A639-01E474BAB9C8}" destId="{05B30A67-BD30-4D95-99B7-597CBA3740AF}" srcOrd="0" destOrd="0" presId="urn:microsoft.com/office/officeart/2005/8/layout/chevron2"/>
    <dgm:cxn modelId="{1C75003D-E091-4BE3-9620-5B5D9F7E1136}" type="presParOf" srcId="{FD6399C4-9A98-41BA-A639-01E474BAB9C8}" destId="{43DA3104-040C-4CCA-AF8A-D4957839F47A}"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F936C7-7320-4FC0-9ED1-61A03A4EA6B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lt-LT"/>
        </a:p>
      </dgm:t>
    </dgm:pt>
    <dgm:pt modelId="{86031A5D-E52D-4067-91E9-87D33ACE0AB4}">
      <dgm:prSet phldrT="[Text]" custT="1"/>
      <dgm:spPr/>
      <dgm:t>
        <a:bodyPr/>
        <a:lstStyle/>
        <a:p>
          <a:pPr algn="ctr"/>
          <a:r>
            <a:rPr lang="lt-LT" sz="1000">
              <a:latin typeface="Times New Roman" pitchFamily="18" charset="0"/>
              <a:cs typeface="Times New Roman" pitchFamily="18" charset="0"/>
            </a:rPr>
            <a:t>Pinigai</a:t>
          </a:r>
        </a:p>
      </dgm:t>
    </dgm:pt>
    <dgm:pt modelId="{25CE1FB6-A115-42F7-8391-000AFE375309}" type="parTrans" cxnId="{01AE84F7-EC18-457E-AEA9-682DEC9CE10C}">
      <dgm:prSet/>
      <dgm:spPr/>
      <dgm:t>
        <a:bodyPr/>
        <a:lstStyle/>
        <a:p>
          <a:pPr algn="ctr"/>
          <a:endParaRPr lang="lt-LT"/>
        </a:p>
      </dgm:t>
    </dgm:pt>
    <dgm:pt modelId="{8EA040C7-2BAD-49FC-86C3-D847C4CF7854}" type="sibTrans" cxnId="{01AE84F7-EC18-457E-AEA9-682DEC9CE10C}">
      <dgm:prSet/>
      <dgm:spPr/>
      <dgm:t>
        <a:bodyPr/>
        <a:lstStyle/>
        <a:p>
          <a:pPr algn="ctr"/>
          <a:endParaRPr lang="lt-LT"/>
        </a:p>
      </dgm:t>
    </dgm:pt>
    <dgm:pt modelId="{839AF581-26B8-429C-BD2A-D867B0776F1D}">
      <dgm:prSet phldrT="[Text]" custT="1"/>
      <dgm:spPr/>
      <dgm:t>
        <a:bodyPr/>
        <a:lstStyle/>
        <a:p>
          <a:pPr algn="ctr"/>
          <a:r>
            <a:rPr lang="lt-LT" sz="1000">
              <a:latin typeface="Times New Roman" pitchFamily="18" charset="0"/>
              <a:cs typeface="Times New Roman" pitchFamily="18" charset="0"/>
            </a:rPr>
            <a:t>Pirkimai</a:t>
          </a:r>
        </a:p>
      </dgm:t>
    </dgm:pt>
    <dgm:pt modelId="{522A3E13-B0DF-4AA2-A0D3-72122D1F9EEE}" type="parTrans" cxnId="{490E4497-0532-4EEF-B8D5-ED9EE1F02CBE}">
      <dgm:prSet/>
      <dgm:spPr/>
      <dgm:t>
        <a:bodyPr/>
        <a:lstStyle/>
        <a:p>
          <a:pPr algn="ctr"/>
          <a:endParaRPr lang="lt-LT"/>
        </a:p>
      </dgm:t>
    </dgm:pt>
    <dgm:pt modelId="{6B4958BF-8E06-4BB4-9F01-316C9577AAC6}" type="sibTrans" cxnId="{490E4497-0532-4EEF-B8D5-ED9EE1F02CBE}">
      <dgm:prSet/>
      <dgm:spPr/>
      <dgm:t>
        <a:bodyPr/>
        <a:lstStyle/>
        <a:p>
          <a:pPr algn="ctr"/>
          <a:endParaRPr lang="lt-LT"/>
        </a:p>
      </dgm:t>
    </dgm:pt>
    <dgm:pt modelId="{BDE49CCB-518A-49FF-AD00-D6CA1C89DB81}">
      <dgm:prSet phldrT="[Text]" custT="1"/>
      <dgm:spPr/>
      <dgm:t>
        <a:bodyPr/>
        <a:lstStyle/>
        <a:p>
          <a:pPr algn="ctr"/>
          <a:r>
            <a:rPr lang="lt-LT" sz="1000">
              <a:latin typeface="Times New Roman" pitchFamily="18" charset="0"/>
              <a:cs typeface="Times New Roman" pitchFamily="18" charset="0"/>
            </a:rPr>
            <a:t>Produktai</a:t>
          </a:r>
        </a:p>
      </dgm:t>
    </dgm:pt>
    <dgm:pt modelId="{93BCB520-17EB-4978-9CF7-40B09FEED49D}" type="parTrans" cxnId="{17A27BD4-F830-414A-82D2-F61ACE2DAE51}">
      <dgm:prSet/>
      <dgm:spPr/>
      <dgm:t>
        <a:bodyPr/>
        <a:lstStyle/>
        <a:p>
          <a:pPr algn="ctr"/>
          <a:endParaRPr lang="lt-LT"/>
        </a:p>
      </dgm:t>
    </dgm:pt>
    <dgm:pt modelId="{DECD4623-A4E1-49A4-BFD3-891B5DFC464A}" type="sibTrans" cxnId="{17A27BD4-F830-414A-82D2-F61ACE2DAE51}">
      <dgm:prSet/>
      <dgm:spPr/>
      <dgm:t>
        <a:bodyPr/>
        <a:lstStyle/>
        <a:p>
          <a:pPr algn="ctr"/>
          <a:endParaRPr lang="lt-LT"/>
        </a:p>
      </dgm:t>
    </dgm:pt>
    <dgm:pt modelId="{B9F15FC5-591E-4189-BF8A-BC5AA28EE56B}">
      <dgm:prSet phldrT="[Text]" custT="1"/>
      <dgm:spPr/>
      <dgm:t>
        <a:bodyPr/>
        <a:lstStyle/>
        <a:p>
          <a:pPr algn="ctr"/>
          <a:r>
            <a:rPr lang="lt-LT" sz="1000">
              <a:latin typeface="Times New Roman" pitchFamily="18" charset="0"/>
              <a:cs typeface="Times New Roman" pitchFamily="18" charset="0"/>
            </a:rPr>
            <a:t>Pardavimai</a:t>
          </a:r>
        </a:p>
      </dgm:t>
    </dgm:pt>
    <dgm:pt modelId="{94617576-5E77-43B8-8479-4BE78A41D049}" type="parTrans" cxnId="{D7CD25F5-DEA7-4B5A-A047-CD8806F040D9}">
      <dgm:prSet/>
      <dgm:spPr/>
      <dgm:t>
        <a:bodyPr/>
        <a:lstStyle/>
        <a:p>
          <a:pPr algn="ctr"/>
          <a:endParaRPr lang="lt-LT"/>
        </a:p>
      </dgm:t>
    </dgm:pt>
    <dgm:pt modelId="{10259075-F322-4FD1-BCB0-ED2CF8EBF0D7}" type="sibTrans" cxnId="{D7CD25F5-DEA7-4B5A-A047-CD8806F040D9}">
      <dgm:prSet/>
      <dgm:spPr/>
      <dgm:t>
        <a:bodyPr/>
        <a:lstStyle/>
        <a:p>
          <a:pPr algn="ctr"/>
          <a:endParaRPr lang="lt-LT"/>
        </a:p>
      </dgm:t>
    </dgm:pt>
    <dgm:pt modelId="{BD94F330-5678-41CE-AA3E-BDF6346CA30D}" type="pres">
      <dgm:prSet presAssocID="{E3F936C7-7320-4FC0-9ED1-61A03A4EA6BD}" presName="cycle" presStyleCnt="0">
        <dgm:presLayoutVars>
          <dgm:dir/>
          <dgm:resizeHandles val="exact"/>
        </dgm:presLayoutVars>
      </dgm:prSet>
      <dgm:spPr/>
      <dgm:t>
        <a:bodyPr/>
        <a:lstStyle/>
        <a:p>
          <a:endParaRPr lang="lt-LT"/>
        </a:p>
      </dgm:t>
    </dgm:pt>
    <dgm:pt modelId="{4ED72FBC-24F3-45E5-8A0B-ACA52D9E78E0}" type="pres">
      <dgm:prSet presAssocID="{86031A5D-E52D-4067-91E9-87D33ACE0AB4}" presName="node" presStyleLbl="node1" presStyleIdx="0" presStyleCnt="4">
        <dgm:presLayoutVars>
          <dgm:bulletEnabled val="1"/>
        </dgm:presLayoutVars>
      </dgm:prSet>
      <dgm:spPr/>
      <dgm:t>
        <a:bodyPr/>
        <a:lstStyle/>
        <a:p>
          <a:endParaRPr lang="lt-LT"/>
        </a:p>
      </dgm:t>
    </dgm:pt>
    <dgm:pt modelId="{3A882CE4-5F8E-4A9A-B763-D785639426A4}" type="pres">
      <dgm:prSet presAssocID="{8EA040C7-2BAD-49FC-86C3-D847C4CF7854}" presName="sibTrans" presStyleLbl="sibTrans2D1" presStyleIdx="0" presStyleCnt="4"/>
      <dgm:spPr/>
      <dgm:t>
        <a:bodyPr/>
        <a:lstStyle/>
        <a:p>
          <a:endParaRPr lang="lt-LT"/>
        </a:p>
      </dgm:t>
    </dgm:pt>
    <dgm:pt modelId="{9F5FA1F1-B0FB-45CD-8D47-D2F6E29D5D18}" type="pres">
      <dgm:prSet presAssocID="{8EA040C7-2BAD-49FC-86C3-D847C4CF7854}" presName="connectorText" presStyleLbl="sibTrans2D1" presStyleIdx="0" presStyleCnt="4"/>
      <dgm:spPr/>
      <dgm:t>
        <a:bodyPr/>
        <a:lstStyle/>
        <a:p>
          <a:endParaRPr lang="lt-LT"/>
        </a:p>
      </dgm:t>
    </dgm:pt>
    <dgm:pt modelId="{BEC7FC40-78F2-4398-8A73-3EA216B61361}" type="pres">
      <dgm:prSet presAssocID="{839AF581-26B8-429C-BD2A-D867B0776F1D}" presName="node" presStyleLbl="node1" presStyleIdx="1" presStyleCnt="4">
        <dgm:presLayoutVars>
          <dgm:bulletEnabled val="1"/>
        </dgm:presLayoutVars>
      </dgm:prSet>
      <dgm:spPr/>
      <dgm:t>
        <a:bodyPr/>
        <a:lstStyle/>
        <a:p>
          <a:endParaRPr lang="lt-LT"/>
        </a:p>
      </dgm:t>
    </dgm:pt>
    <dgm:pt modelId="{3C5AD625-FD03-4A66-939D-708DB06C971C}" type="pres">
      <dgm:prSet presAssocID="{6B4958BF-8E06-4BB4-9F01-316C9577AAC6}" presName="sibTrans" presStyleLbl="sibTrans2D1" presStyleIdx="1" presStyleCnt="4"/>
      <dgm:spPr/>
      <dgm:t>
        <a:bodyPr/>
        <a:lstStyle/>
        <a:p>
          <a:endParaRPr lang="lt-LT"/>
        </a:p>
      </dgm:t>
    </dgm:pt>
    <dgm:pt modelId="{46A767B4-AA52-48B0-B0D7-D9E1D0408B1F}" type="pres">
      <dgm:prSet presAssocID="{6B4958BF-8E06-4BB4-9F01-316C9577AAC6}" presName="connectorText" presStyleLbl="sibTrans2D1" presStyleIdx="1" presStyleCnt="4"/>
      <dgm:spPr/>
      <dgm:t>
        <a:bodyPr/>
        <a:lstStyle/>
        <a:p>
          <a:endParaRPr lang="lt-LT"/>
        </a:p>
      </dgm:t>
    </dgm:pt>
    <dgm:pt modelId="{5A51F6AA-1F88-4ED7-9ABC-F1B46DB3F272}" type="pres">
      <dgm:prSet presAssocID="{BDE49CCB-518A-49FF-AD00-D6CA1C89DB81}" presName="node" presStyleLbl="node1" presStyleIdx="2" presStyleCnt="4">
        <dgm:presLayoutVars>
          <dgm:bulletEnabled val="1"/>
        </dgm:presLayoutVars>
      </dgm:prSet>
      <dgm:spPr/>
      <dgm:t>
        <a:bodyPr/>
        <a:lstStyle/>
        <a:p>
          <a:endParaRPr lang="lt-LT"/>
        </a:p>
      </dgm:t>
    </dgm:pt>
    <dgm:pt modelId="{7A470545-4AE3-47F4-A7B8-1BEE0FE4FD34}" type="pres">
      <dgm:prSet presAssocID="{DECD4623-A4E1-49A4-BFD3-891B5DFC464A}" presName="sibTrans" presStyleLbl="sibTrans2D1" presStyleIdx="2" presStyleCnt="4"/>
      <dgm:spPr/>
      <dgm:t>
        <a:bodyPr/>
        <a:lstStyle/>
        <a:p>
          <a:endParaRPr lang="lt-LT"/>
        </a:p>
      </dgm:t>
    </dgm:pt>
    <dgm:pt modelId="{E2B0A9BB-5456-4767-9754-7F4AACFA5E10}" type="pres">
      <dgm:prSet presAssocID="{DECD4623-A4E1-49A4-BFD3-891B5DFC464A}" presName="connectorText" presStyleLbl="sibTrans2D1" presStyleIdx="2" presStyleCnt="4"/>
      <dgm:spPr/>
      <dgm:t>
        <a:bodyPr/>
        <a:lstStyle/>
        <a:p>
          <a:endParaRPr lang="lt-LT"/>
        </a:p>
      </dgm:t>
    </dgm:pt>
    <dgm:pt modelId="{5811B5F5-2ECF-457D-B09E-72D1BDB0FB04}" type="pres">
      <dgm:prSet presAssocID="{B9F15FC5-591E-4189-BF8A-BC5AA28EE56B}" presName="node" presStyleLbl="node1" presStyleIdx="3" presStyleCnt="4">
        <dgm:presLayoutVars>
          <dgm:bulletEnabled val="1"/>
        </dgm:presLayoutVars>
      </dgm:prSet>
      <dgm:spPr/>
      <dgm:t>
        <a:bodyPr/>
        <a:lstStyle/>
        <a:p>
          <a:endParaRPr lang="lt-LT"/>
        </a:p>
      </dgm:t>
    </dgm:pt>
    <dgm:pt modelId="{E2CB92DD-55F7-43F7-BE3F-C29505AFCD28}" type="pres">
      <dgm:prSet presAssocID="{10259075-F322-4FD1-BCB0-ED2CF8EBF0D7}" presName="sibTrans" presStyleLbl="sibTrans2D1" presStyleIdx="3" presStyleCnt="4"/>
      <dgm:spPr/>
      <dgm:t>
        <a:bodyPr/>
        <a:lstStyle/>
        <a:p>
          <a:endParaRPr lang="lt-LT"/>
        </a:p>
      </dgm:t>
    </dgm:pt>
    <dgm:pt modelId="{B663EC27-C965-4F12-A325-FE3DC14DB3B5}" type="pres">
      <dgm:prSet presAssocID="{10259075-F322-4FD1-BCB0-ED2CF8EBF0D7}" presName="connectorText" presStyleLbl="sibTrans2D1" presStyleIdx="3" presStyleCnt="4"/>
      <dgm:spPr/>
      <dgm:t>
        <a:bodyPr/>
        <a:lstStyle/>
        <a:p>
          <a:endParaRPr lang="lt-LT"/>
        </a:p>
      </dgm:t>
    </dgm:pt>
  </dgm:ptLst>
  <dgm:cxnLst>
    <dgm:cxn modelId="{17A27BD4-F830-414A-82D2-F61ACE2DAE51}" srcId="{E3F936C7-7320-4FC0-9ED1-61A03A4EA6BD}" destId="{BDE49CCB-518A-49FF-AD00-D6CA1C89DB81}" srcOrd="2" destOrd="0" parTransId="{93BCB520-17EB-4978-9CF7-40B09FEED49D}" sibTransId="{DECD4623-A4E1-49A4-BFD3-891B5DFC464A}"/>
    <dgm:cxn modelId="{D7CD25F5-DEA7-4B5A-A047-CD8806F040D9}" srcId="{E3F936C7-7320-4FC0-9ED1-61A03A4EA6BD}" destId="{B9F15FC5-591E-4189-BF8A-BC5AA28EE56B}" srcOrd="3" destOrd="0" parTransId="{94617576-5E77-43B8-8479-4BE78A41D049}" sibTransId="{10259075-F322-4FD1-BCB0-ED2CF8EBF0D7}"/>
    <dgm:cxn modelId="{D85B41A4-220B-4840-8783-67674D9C6612}" type="presOf" srcId="{8EA040C7-2BAD-49FC-86C3-D847C4CF7854}" destId="{3A882CE4-5F8E-4A9A-B763-D785639426A4}" srcOrd="0" destOrd="0" presId="urn:microsoft.com/office/officeart/2005/8/layout/cycle2"/>
    <dgm:cxn modelId="{490E4497-0532-4EEF-B8D5-ED9EE1F02CBE}" srcId="{E3F936C7-7320-4FC0-9ED1-61A03A4EA6BD}" destId="{839AF581-26B8-429C-BD2A-D867B0776F1D}" srcOrd="1" destOrd="0" parTransId="{522A3E13-B0DF-4AA2-A0D3-72122D1F9EEE}" sibTransId="{6B4958BF-8E06-4BB4-9F01-316C9577AAC6}"/>
    <dgm:cxn modelId="{5BAADF9B-523E-4784-9034-0F9AA76978F7}" type="presOf" srcId="{6B4958BF-8E06-4BB4-9F01-316C9577AAC6}" destId="{3C5AD625-FD03-4A66-939D-708DB06C971C}" srcOrd="0" destOrd="0" presId="urn:microsoft.com/office/officeart/2005/8/layout/cycle2"/>
    <dgm:cxn modelId="{270EE67B-8C7A-493F-B9E6-23C12311D447}" type="presOf" srcId="{10259075-F322-4FD1-BCB0-ED2CF8EBF0D7}" destId="{B663EC27-C965-4F12-A325-FE3DC14DB3B5}" srcOrd="1" destOrd="0" presId="urn:microsoft.com/office/officeart/2005/8/layout/cycle2"/>
    <dgm:cxn modelId="{E4F307BF-F4AF-4441-9C1D-3966CB183D27}" type="presOf" srcId="{8EA040C7-2BAD-49FC-86C3-D847C4CF7854}" destId="{9F5FA1F1-B0FB-45CD-8D47-D2F6E29D5D18}" srcOrd="1" destOrd="0" presId="urn:microsoft.com/office/officeart/2005/8/layout/cycle2"/>
    <dgm:cxn modelId="{0498A61F-B6A4-49DE-A113-5CFD7DDA7AAC}" type="presOf" srcId="{E3F936C7-7320-4FC0-9ED1-61A03A4EA6BD}" destId="{BD94F330-5678-41CE-AA3E-BDF6346CA30D}" srcOrd="0" destOrd="0" presId="urn:microsoft.com/office/officeart/2005/8/layout/cycle2"/>
    <dgm:cxn modelId="{19C235C1-D35E-4A5C-B535-90054C875524}" type="presOf" srcId="{DECD4623-A4E1-49A4-BFD3-891B5DFC464A}" destId="{E2B0A9BB-5456-4767-9754-7F4AACFA5E10}" srcOrd="1" destOrd="0" presId="urn:microsoft.com/office/officeart/2005/8/layout/cycle2"/>
    <dgm:cxn modelId="{54743016-741D-47A2-BAD7-96EC1E2E319C}" type="presOf" srcId="{86031A5D-E52D-4067-91E9-87D33ACE0AB4}" destId="{4ED72FBC-24F3-45E5-8A0B-ACA52D9E78E0}" srcOrd="0" destOrd="0" presId="urn:microsoft.com/office/officeart/2005/8/layout/cycle2"/>
    <dgm:cxn modelId="{410695D4-6AB8-49A9-82C4-267FDAC3070A}" type="presOf" srcId="{DECD4623-A4E1-49A4-BFD3-891B5DFC464A}" destId="{7A470545-4AE3-47F4-A7B8-1BEE0FE4FD34}" srcOrd="0" destOrd="0" presId="urn:microsoft.com/office/officeart/2005/8/layout/cycle2"/>
    <dgm:cxn modelId="{20A54F79-0151-4643-8862-43C1DC81F94C}" type="presOf" srcId="{BDE49CCB-518A-49FF-AD00-D6CA1C89DB81}" destId="{5A51F6AA-1F88-4ED7-9ABC-F1B46DB3F272}" srcOrd="0" destOrd="0" presId="urn:microsoft.com/office/officeart/2005/8/layout/cycle2"/>
    <dgm:cxn modelId="{01AE84F7-EC18-457E-AEA9-682DEC9CE10C}" srcId="{E3F936C7-7320-4FC0-9ED1-61A03A4EA6BD}" destId="{86031A5D-E52D-4067-91E9-87D33ACE0AB4}" srcOrd="0" destOrd="0" parTransId="{25CE1FB6-A115-42F7-8391-000AFE375309}" sibTransId="{8EA040C7-2BAD-49FC-86C3-D847C4CF7854}"/>
    <dgm:cxn modelId="{5AF3E18D-E3D4-4B58-BB7C-1941309434BF}" type="presOf" srcId="{B9F15FC5-591E-4189-BF8A-BC5AA28EE56B}" destId="{5811B5F5-2ECF-457D-B09E-72D1BDB0FB04}" srcOrd="0" destOrd="0" presId="urn:microsoft.com/office/officeart/2005/8/layout/cycle2"/>
    <dgm:cxn modelId="{6C050214-DC0B-408D-A18A-391429DE8E11}" type="presOf" srcId="{10259075-F322-4FD1-BCB0-ED2CF8EBF0D7}" destId="{E2CB92DD-55F7-43F7-BE3F-C29505AFCD28}" srcOrd="0" destOrd="0" presId="urn:microsoft.com/office/officeart/2005/8/layout/cycle2"/>
    <dgm:cxn modelId="{72BC7657-5754-4F93-9364-DC111B9CE4A5}" type="presOf" srcId="{6B4958BF-8E06-4BB4-9F01-316C9577AAC6}" destId="{46A767B4-AA52-48B0-B0D7-D9E1D0408B1F}" srcOrd="1" destOrd="0" presId="urn:microsoft.com/office/officeart/2005/8/layout/cycle2"/>
    <dgm:cxn modelId="{3923EFE6-8B5D-4A3A-BB20-0823A56F2982}" type="presOf" srcId="{839AF581-26B8-429C-BD2A-D867B0776F1D}" destId="{BEC7FC40-78F2-4398-8A73-3EA216B61361}" srcOrd="0" destOrd="0" presId="urn:microsoft.com/office/officeart/2005/8/layout/cycle2"/>
    <dgm:cxn modelId="{A1B4C331-CAC3-4FA1-84B0-87954C435E6C}" type="presParOf" srcId="{BD94F330-5678-41CE-AA3E-BDF6346CA30D}" destId="{4ED72FBC-24F3-45E5-8A0B-ACA52D9E78E0}" srcOrd="0" destOrd="0" presId="urn:microsoft.com/office/officeart/2005/8/layout/cycle2"/>
    <dgm:cxn modelId="{F9E15B52-A02F-4025-9E5A-5674DF69E64B}" type="presParOf" srcId="{BD94F330-5678-41CE-AA3E-BDF6346CA30D}" destId="{3A882CE4-5F8E-4A9A-B763-D785639426A4}" srcOrd="1" destOrd="0" presId="urn:microsoft.com/office/officeart/2005/8/layout/cycle2"/>
    <dgm:cxn modelId="{DECD7EA3-61FE-459F-ADAD-42BC60D437CD}" type="presParOf" srcId="{3A882CE4-5F8E-4A9A-B763-D785639426A4}" destId="{9F5FA1F1-B0FB-45CD-8D47-D2F6E29D5D18}" srcOrd="0" destOrd="0" presId="urn:microsoft.com/office/officeart/2005/8/layout/cycle2"/>
    <dgm:cxn modelId="{C3C6AA8E-7423-4B36-8EC3-534F6428FA2D}" type="presParOf" srcId="{BD94F330-5678-41CE-AA3E-BDF6346CA30D}" destId="{BEC7FC40-78F2-4398-8A73-3EA216B61361}" srcOrd="2" destOrd="0" presId="urn:microsoft.com/office/officeart/2005/8/layout/cycle2"/>
    <dgm:cxn modelId="{A5D27B55-CF57-4D0B-8802-535662963B11}" type="presParOf" srcId="{BD94F330-5678-41CE-AA3E-BDF6346CA30D}" destId="{3C5AD625-FD03-4A66-939D-708DB06C971C}" srcOrd="3" destOrd="0" presId="urn:microsoft.com/office/officeart/2005/8/layout/cycle2"/>
    <dgm:cxn modelId="{A5FB4FE3-EFA0-4C1A-95B6-4620A4F0139A}" type="presParOf" srcId="{3C5AD625-FD03-4A66-939D-708DB06C971C}" destId="{46A767B4-AA52-48B0-B0D7-D9E1D0408B1F}" srcOrd="0" destOrd="0" presId="urn:microsoft.com/office/officeart/2005/8/layout/cycle2"/>
    <dgm:cxn modelId="{26176F28-B39B-40E8-813E-A2739BF9F472}" type="presParOf" srcId="{BD94F330-5678-41CE-AA3E-BDF6346CA30D}" destId="{5A51F6AA-1F88-4ED7-9ABC-F1B46DB3F272}" srcOrd="4" destOrd="0" presId="urn:microsoft.com/office/officeart/2005/8/layout/cycle2"/>
    <dgm:cxn modelId="{E4C998DF-6F89-4368-B72D-BE335A7EAFFB}" type="presParOf" srcId="{BD94F330-5678-41CE-AA3E-BDF6346CA30D}" destId="{7A470545-4AE3-47F4-A7B8-1BEE0FE4FD34}" srcOrd="5" destOrd="0" presId="urn:microsoft.com/office/officeart/2005/8/layout/cycle2"/>
    <dgm:cxn modelId="{540E2DFF-CFF3-46E4-B0FB-DFF709414889}" type="presParOf" srcId="{7A470545-4AE3-47F4-A7B8-1BEE0FE4FD34}" destId="{E2B0A9BB-5456-4767-9754-7F4AACFA5E10}" srcOrd="0" destOrd="0" presId="urn:microsoft.com/office/officeart/2005/8/layout/cycle2"/>
    <dgm:cxn modelId="{E006D58E-D0C2-4F6F-B6F7-1F08AC3606E7}" type="presParOf" srcId="{BD94F330-5678-41CE-AA3E-BDF6346CA30D}" destId="{5811B5F5-2ECF-457D-B09E-72D1BDB0FB04}" srcOrd="6" destOrd="0" presId="urn:microsoft.com/office/officeart/2005/8/layout/cycle2"/>
    <dgm:cxn modelId="{6BC60054-C726-418E-B158-3FF1F44A2278}" type="presParOf" srcId="{BD94F330-5678-41CE-AA3E-BDF6346CA30D}" destId="{E2CB92DD-55F7-43F7-BE3F-C29505AFCD28}" srcOrd="7" destOrd="0" presId="urn:microsoft.com/office/officeart/2005/8/layout/cycle2"/>
    <dgm:cxn modelId="{153633BD-A796-4B12-AF35-645FF47241EE}" type="presParOf" srcId="{E2CB92DD-55F7-43F7-BE3F-C29505AFCD28}" destId="{B663EC27-C965-4F12-A325-FE3DC14DB3B5}" srcOrd="0" destOrd="0" presId="urn:microsoft.com/office/officeart/2005/8/layout/cycle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C43CA6-9FD1-42A4-A2CE-ED3EC7F3665F}"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lt-LT"/>
        </a:p>
      </dgm:t>
    </dgm:pt>
    <dgm:pt modelId="{82063C9A-69FD-422B-8F11-299965381524}">
      <dgm:prSet phldrT="[Text]" custT="1"/>
      <dgm:spPr>
        <a:solidFill>
          <a:schemeClr val="accent2">
            <a:lumMod val="40000"/>
            <a:lumOff val="60000"/>
          </a:schemeClr>
        </a:solidFill>
      </dgm:spPr>
      <dgm:t>
        <a:bodyPr/>
        <a:lstStyle/>
        <a:p>
          <a:pPr algn="ctr"/>
          <a:r>
            <a:rPr lang="lt-LT" sz="1200" b="1">
              <a:latin typeface="Times New Roman" pitchFamily="18" charset="0"/>
              <a:cs typeface="Times New Roman" pitchFamily="18" charset="0"/>
            </a:rPr>
            <a:t>Biržoje kotiruojamos Lietuvos įmonės</a:t>
          </a:r>
        </a:p>
      </dgm:t>
    </dgm:pt>
    <dgm:pt modelId="{4AA9B1B8-8217-47B2-82E3-BDEA488F047B}" type="parTrans" cxnId="{EDF3E411-689D-42C4-ACC4-6AB4EA949A5B}">
      <dgm:prSet/>
      <dgm:spPr/>
      <dgm:t>
        <a:bodyPr/>
        <a:lstStyle/>
        <a:p>
          <a:pPr algn="ctr"/>
          <a:endParaRPr lang="lt-LT"/>
        </a:p>
      </dgm:t>
    </dgm:pt>
    <dgm:pt modelId="{770ACACD-953E-47D3-BC5E-668D6D54F270}" type="sibTrans" cxnId="{EDF3E411-689D-42C4-ACC4-6AB4EA949A5B}">
      <dgm:prSet/>
      <dgm:spPr/>
      <dgm:t>
        <a:bodyPr/>
        <a:lstStyle/>
        <a:p>
          <a:pPr algn="ctr"/>
          <a:endParaRPr lang="lt-LT"/>
        </a:p>
      </dgm:t>
    </dgm:pt>
    <dgm:pt modelId="{8AF05AC2-FA3E-43DD-8CDD-C2028AEBCED4}">
      <dgm:prSet phldrT="[Text]" custT="1"/>
      <dgm:spPr/>
      <dgm:t>
        <a:bodyPr/>
        <a:lstStyle/>
        <a:p>
          <a:pPr algn="ctr"/>
          <a:r>
            <a:rPr lang="lt-LT" sz="1000">
              <a:latin typeface="Times New Roman" pitchFamily="18" charset="0"/>
              <a:cs typeface="Times New Roman" pitchFamily="18" charset="0"/>
            </a:rPr>
            <a:t>paslaugos vartotojams</a:t>
          </a:r>
        </a:p>
      </dgm:t>
    </dgm:pt>
    <dgm:pt modelId="{081C12B9-136D-4F80-9F51-26A43F41CFEC}" type="parTrans" cxnId="{926A2A78-46F3-40B8-8B1A-41CFCCE1E957}">
      <dgm:prSet/>
      <dgm:spPr/>
      <dgm:t>
        <a:bodyPr/>
        <a:lstStyle/>
        <a:p>
          <a:pPr algn="ctr"/>
          <a:endParaRPr lang="lt-LT"/>
        </a:p>
      </dgm:t>
    </dgm:pt>
    <dgm:pt modelId="{D8408BA5-C9E1-4B1A-94C5-AE5B171C799F}" type="sibTrans" cxnId="{926A2A78-46F3-40B8-8B1A-41CFCCE1E957}">
      <dgm:prSet/>
      <dgm:spPr/>
      <dgm:t>
        <a:bodyPr/>
        <a:lstStyle/>
        <a:p>
          <a:pPr algn="ctr"/>
          <a:endParaRPr lang="lt-LT"/>
        </a:p>
      </dgm:t>
    </dgm:pt>
    <dgm:pt modelId="{C89C93E4-CF51-4632-A84B-FEF115B946D8}">
      <dgm:prSet phldrT="[Text]" custT="1"/>
      <dgm:spPr/>
      <dgm:t>
        <a:bodyPr/>
        <a:lstStyle/>
        <a:p>
          <a:pPr algn="ctr"/>
          <a:r>
            <a:rPr lang="lt-LT" sz="1000">
              <a:latin typeface="Times New Roman" pitchFamily="18" charset="0"/>
              <a:cs typeface="Times New Roman" pitchFamily="18" charset="0"/>
            </a:rPr>
            <a:t>pramoniniai gaminiai</a:t>
          </a:r>
        </a:p>
      </dgm:t>
    </dgm:pt>
    <dgm:pt modelId="{0DD280DE-004F-46FD-8E0F-C392CE523B38}" type="parTrans" cxnId="{38EBDFBB-3369-4F45-9789-FA74EAF7BF0A}">
      <dgm:prSet/>
      <dgm:spPr/>
      <dgm:t>
        <a:bodyPr/>
        <a:lstStyle/>
        <a:p>
          <a:pPr algn="ctr"/>
          <a:endParaRPr lang="lt-LT"/>
        </a:p>
      </dgm:t>
    </dgm:pt>
    <dgm:pt modelId="{B1D5E484-6208-4858-82C6-036B106ADB03}" type="sibTrans" cxnId="{38EBDFBB-3369-4F45-9789-FA74EAF7BF0A}">
      <dgm:prSet/>
      <dgm:spPr/>
      <dgm:t>
        <a:bodyPr/>
        <a:lstStyle/>
        <a:p>
          <a:pPr algn="ctr"/>
          <a:endParaRPr lang="lt-LT"/>
        </a:p>
      </dgm:t>
    </dgm:pt>
    <dgm:pt modelId="{363C8C75-B89E-45AE-AD41-6998E4DDBF61}">
      <dgm:prSet phldrT="[Text]" custT="1"/>
      <dgm:spPr/>
      <dgm:t>
        <a:bodyPr/>
        <a:lstStyle/>
        <a:p>
          <a:pPr algn="ctr"/>
          <a:r>
            <a:rPr lang="lt-LT" sz="1000">
              <a:latin typeface="Times New Roman" pitchFamily="18" charset="0"/>
              <a:cs typeface="Times New Roman" pitchFamily="18" charset="0"/>
            </a:rPr>
            <a:t>pagrindinės medžiagos</a:t>
          </a:r>
        </a:p>
      </dgm:t>
    </dgm:pt>
    <dgm:pt modelId="{287D975E-881F-4DF8-B5D7-D210D652717B}" type="parTrans" cxnId="{2F9AD0FB-DB75-49CC-833A-F67D5C18BFCE}">
      <dgm:prSet/>
      <dgm:spPr/>
      <dgm:t>
        <a:bodyPr/>
        <a:lstStyle/>
        <a:p>
          <a:pPr algn="ctr"/>
          <a:endParaRPr lang="lt-LT"/>
        </a:p>
      </dgm:t>
    </dgm:pt>
    <dgm:pt modelId="{3D72FB0A-7154-46E7-B1F7-03472F64CCFF}" type="sibTrans" cxnId="{2F9AD0FB-DB75-49CC-833A-F67D5C18BFCE}">
      <dgm:prSet/>
      <dgm:spPr/>
      <dgm:t>
        <a:bodyPr/>
        <a:lstStyle/>
        <a:p>
          <a:pPr algn="ctr"/>
          <a:endParaRPr lang="lt-LT"/>
        </a:p>
      </dgm:t>
    </dgm:pt>
    <dgm:pt modelId="{7C0CEA76-B1D9-43C0-BCBF-3A896E78CB2F}">
      <dgm:prSet phldrT="[Text]" custT="1"/>
      <dgm:spPr/>
      <dgm:t>
        <a:bodyPr/>
        <a:lstStyle/>
        <a:p>
          <a:pPr algn="ctr"/>
          <a:r>
            <a:rPr lang="lt-LT" sz="1000">
              <a:latin typeface="Times New Roman" pitchFamily="18" charset="0"/>
              <a:cs typeface="Times New Roman" pitchFamily="18" charset="0"/>
            </a:rPr>
            <a:t>finansų paslaugos</a:t>
          </a:r>
        </a:p>
      </dgm:t>
    </dgm:pt>
    <dgm:pt modelId="{E5E05F7D-8E27-4EB8-99CC-8CEA45DE74DE}" type="parTrans" cxnId="{DFBEBC79-778F-4E52-B69A-C8E19C631A51}">
      <dgm:prSet/>
      <dgm:spPr/>
      <dgm:t>
        <a:bodyPr/>
        <a:lstStyle/>
        <a:p>
          <a:pPr algn="ctr"/>
          <a:endParaRPr lang="lt-LT"/>
        </a:p>
      </dgm:t>
    </dgm:pt>
    <dgm:pt modelId="{CB47428A-DC60-4CA5-BB24-F819C0CD7E0B}" type="sibTrans" cxnId="{DFBEBC79-778F-4E52-B69A-C8E19C631A51}">
      <dgm:prSet/>
      <dgm:spPr/>
      <dgm:t>
        <a:bodyPr/>
        <a:lstStyle/>
        <a:p>
          <a:pPr algn="ctr"/>
          <a:endParaRPr lang="lt-LT"/>
        </a:p>
      </dgm:t>
    </dgm:pt>
    <dgm:pt modelId="{0D200A3F-86EE-4646-8BA5-043A4AFF0105}">
      <dgm:prSet phldrT="[Text]" custT="1"/>
      <dgm:spPr/>
      <dgm:t>
        <a:bodyPr/>
        <a:lstStyle/>
        <a:p>
          <a:pPr algn="ctr"/>
          <a:r>
            <a:rPr lang="lt-LT" sz="1000">
              <a:latin typeface="Times New Roman" pitchFamily="18" charset="0"/>
              <a:cs typeface="Times New Roman" pitchFamily="18" charset="0"/>
            </a:rPr>
            <a:t>plataus vartojimo prekės</a:t>
          </a:r>
        </a:p>
      </dgm:t>
    </dgm:pt>
    <dgm:pt modelId="{0091C029-2F13-43D4-8F93-1523F07E45A5}" type="parTrans" cxnId="{423CDEE8-02EC-4497-93D3-762288C03B75}">
      <dgm:prSet/>
      <dgm:spPr/>
      <dgm:t>
        <a:bodyPr/>
        <a:lstStyle/>
        <a:p>
          <a:pPr algn="ctr"/>
          <a:endParaRPr lang="lt-LT"/>
        </a:p>
      </dgm:t>
    </dgm:pt>
    <dgm:pt modelId="{E854642A-F18E-49AC-B298-CCBE952944D2}" type="sibTrans" cxnId="{423CDEE8-02EC-4497-93D3-762288C03B75}">
      <dgm:prSet/>
      <dgm:spPr/>
      <dgm:t>
        <a:bodyPr/>
        <a:lstStyle/>
        <a:p>
          <a:pPr algn="ctr"/>
          <a:endParaRPr lang="lt-LT"/>
        </a:p>
      </dgm:t>
    </dgm:pt>
    <dgm:pt modelId="{C7F41BDC-49A1-4D47-B614-0854312D87C8}">
      <dgm:prSet phldrT="[Text]" custT="1"/>
      <dgm:spPr/>
      <dgm:t>
        <a:bodyPr/>
        <a:lstStyle/>
        <a:p>
          <a:pPr algn="ctr"/>
          <a:r>
            <a:rPr lang="lt-LT" sz="1000">
              <a:latin typeface="Times New Roman" pitchFamily="18" charset="0"/>
              <a:cs typeface="Times New Roman" pitchFamily="18" charset="0"/>
            </a:rPr>
            <a:t>sveikatos priežiūra</a:t>
          </a:r>
        </a:p>
      </dgm:t>
    </dgm:pt>
    <dgm:pt modelId="{6441C00C-6E8D-4644-A484-D2B25C303EEF}" type="parTrans" cxnId="{374F7173-DC37-4F6F-8915-915F6F8C4F16}">
      <dgm:prSet/>
      <dgm:spPr/>
      <dgm:t>
        <a:bodyPr/>
        <a:lstStyle/>
        <a:p>
          <a:pPr algn="ctr"/>
          <a:endParaRPr lang="lt-LT"/>
        </a:p>
      </dgm:t>
    </dgm:pt>
    <dgm:pt modelId="{A534176C-0BC9-41CB-9357-D05EC7812E73}" type="sibTrans" cxnId="{374F7173-DC37-4F6F-8915-915F6F8C4F16}">
      <dgm:prSet/>
      <dgm:spPr/>
      <dgm:t>
        <a:bodyPr/>
        <a:lstStyle/>
        <a:p>
          <a:pPr algn="ctr"/>
          <a:endParaRPr lang="lt-LT"/>
        </a:p>
      </dgm:t>
    </dgm:pt>
    <dgm:pt modelId="{D63B395B-FEA7-4918-B5B3-7895097C036B}">
      <dgm:prSet phldrT="[Text]" custT="1"/>
      <dgm:spPr/>
      <dgm:t>
        <a:bodyPr/>
        <a:lstStyle/>
        <a:p>
          <a:pPr algn="ctr"/>
          <a:r>
            <a:rPr lang="lt-LT" sz="1000">
              <a:latin typeface="Times New Roman" pitchFamily="18" charset="0"/>
              <a:cs typeface="Times New Roman" pitchFamily="18" charset="0"/>
            </a:rPr>
            <a:t>komunalinės paslaugos</a:t>
          </a:r>
        </a:p>
      </dgm:t>
    </dgm:pt>
    <dgm:pt modelId="{4C4EBB5A-D35D-4101-ADE9-407ED45E51DA}" type="parTrans" cxnId="{3D682460-084A-4DBA-BCEB-CEF481BE2A1A}">
      <dgm:prSet/>
      <dgm:spPr/>
      <dgm:t>
        <a:bodyPr/>
        <a:lstStyle/>
        <a:p>
          <a:pPr algn="ctr"/>
          <a:endParaRPr lang="lt-LT"/>
        </a:p>
      </dgm:t>
    </dgm:pt>
    <dgm:pt modelId="{50B3FDB7-EFEF-47EE-B6E0-C1A0B419755A}" type="sibTrans" cxnId="{3D682460-084A-4DBA-BCEB-CEF481BE2A1A}">
      <dgm:prSet/>
      <dgm:spPr/>
      <dgm:t>
        <a:bodyPr/>
        <a:lstStyle/>
        <a:p>
          <a:pPr algn="ctr"/>
          <a:endParaRPr lang="lt-LT"/>
        </a:p>
      </dgm:t>
    </dgm:pt>
    <dgm:pt modelId="{AF1F2A27-7C4A-4364-B967-4AD86BB9AFF8}">
      <dgm:prSet phldrT="[Text]" custT="1"/>
      <dgm:spPr/>
      <dgm:t>
        <a:bodyPr/>
        <a:lstStyle/>
        <a:p>
          <a:pPr algn="ctr"/>
          <a:r>
            <a:rPr lang="lt-LT" sz="1000">
              <a:latin typeface="Times New Roman" pitchFamily="18" charset="0"/>
              <a:cs typeface="Times New Roman" pitchFamily="18" charset="0"/>
            </a:rPr>
            <a:t>telekomuni-kacijos</a:t>
          </a:r>
        </a:p>
      </dgm:t>
    </dgm:pt>
    <dgm:pt modelId="{F215E1F1-CBC4-4396-A4CF-BEC225E10CC5}" type="parTrans" cxnId="{10F6763F-7728-4165-BF5A-F606D9337E8A}">
      <dgm:prSet/>
      <dgm:spPr/>
      <dgm:t>
        <a:bodyPr/>
        <a:lstStyle/>
        <a:p>
          <a:pPr algn="ctr"/>
          <a:endParaRPr lang="lt-LT"/>
        </a:p>
      </dgm:t>
    </dgm:pt>
    <dgm:pt modelId="{19E25FD7-3DE1-4F5A-881E-658A75760097}" type="sibTrans" cxnId="{10F6763F-7728-4165-BF5A-F606D9337E8A}">
      <dgm:prSet/>
      <dgm:spPr/>
      <dgm:t>
        <a:bodyPr/>
        <a:lstStyle/>
        <a:p>
          <a:pPr algn="ctr"/>
          <a:endParaRPr lang="lt-LT"/>
        </a:p>
      </dgm:t>
    </dgm:pt>
    <dgm:pt modelId="{48F80393-102E-4955-993A-78CE7CC93B61}" type="pres">
      <dgm:prSet presAssocID="{56C43CA6-9FD1-42A4-A2CE-ED3EC7F3665F}" presName="cycle" presStyleCnt="0">
        <dgm:presLayoutVars>
          <dgm:chMax val="1"/>
          <dgm:dir/>
          <dgm:animLvl val="ctr"/>
          <dgm:resizeHandles val="exact"/>
        </dgm:presLayoutVars>
      </dgm:prSet>
      <dgm:spPr/>
      <dgm:t>
        <a:bodyPr/>
        <a:lstStyle/>
        <a:p>
          <a:endParaRPr lang="lt-LT"/>
        </a:p>
      </dgm:t>
    </dgm:pt>
    <dgm:pt modelId="{DB5B7C5A-9926-4257-BA8A-81ED6168AF5C}" type="pres">
      <dgm:prSet presAssocID="{82063C9A-69FD-422B-8F11-299965381524}" presName="centerShape" presStyleLbl="node0" presStyleIdx="0" presStyleCnt="1" custScaleX="148071"/>
      <dgm:spPr/>
      <dgm:t>
        <a:bodyPr/>
        <a:lstStyle/>
        <a:p>
          <a:endParaRPr lang="lt-LT"/>
        </a:p>
      </dgm:t>
    </dgm:pt>
    <dgm:pt modelId="{BFB09372-307C-4793-B0CC-86857AED5D04}" type="pres">
      <dgm:prSet presAssocID="{081C12B9-136D-4F80-9F51-26A43F41CFEC}" presName="Name9" presStyleLbl="parChTrans1D2" presStyleIdx="0" presStyleCnt="8"/>
      <dgm:spPr/>
      <dgm:t>
        <a:bodyPr/>
        <a:lstStyle/>
        <a:p>
          <a:endParaRPr lang="lt-LT"/>
        </a:p>
      </dgm:t>
    </dgm:pt>
    <dgm:pt modelId="{2D4ECF9D-C6E0-4EAB-AF16-6F0DDA0FCDC1}" type="pres">
      <dgm:prSet presAssocID="{081C12B9-136D-4F80-9F51-26A43F41CFEC}" presName="connTx" presStyleLbl="parChTrans1D2" presStyleIdx="0" presStyleCnt="8"/>
      <dgm:spPr/>
      <dgm:t>
        <a:bodyPr/>
        <a:lstStyle/>
        <a:p>
          <a:endParaRPr lang="lt-LT"/>
        </a:p>
      </dgm:t>
    </dgm:pt>
    <dgm:pt modelId="{F05A2DC3-6294-4C04-AD49-D9BF823DC718}" type="pres">
      <dgm:prSet presAssocID="{8AF05AC2-FA3E-43DD-8CDD-C2028AEBCED4}" presName="node" presStyleLbl="node1" presStyleIdx="0" presStyleCnt="8">
        <dgm:presLayoutVars>
          <dgm:bulletEnabled val="1"/>
        </dgm:presLayoutVars>
      </dgm:prSet>
      <dgm:spPr/>
      <dgm:t>
        <a:bodyPr/>
        <a:lstStyle/>
        <a:p>
          <a:endParaRPr lang="lt-LT"/>
        </a:p>
      </dgm:t>
    </dgm:pt>
    <dgm:pt modelId="{EC1DFB6F-F860-4C11-BE9F-29431E2AD8A0}" type="pres">
      <dgm:prSet presAssocID="{0DD280DE-004F-46FD-8E0F-C392CE523B38}" presName="Name9" presStyleLbl="parChTrans1D2" presStyleIdx="1" presStyleCnt="8"/>
      <dgm:spPr/>
      <dgm:t>
        <a:bodyPr/>
        <a:lstStyle/>
        <a:p>
          <a:endParaRPr lang="lt-LT"/>
        </a:p>
      </dgm:t>
    </dgm:pt>
    <dgm:pt modelId="{4305BF81-5407-45DF-8AF4-F26B10B291C4}" type="pres">
      <dgm:prSet presAssocID="{0DD280DE-004F-46FD-8E0F-C392CE523B38}" presName="connTx" presStyleLbl="parChTrans1D2" presStyleIdx="1" presStyleCnt="8"/>
      <dgm:spPr/>
      <dgm:t>
        <a:bodyPr/>
        <a:lstStyle/>
        <a:p>
          <a:endParaRPr lang="lt-LT"/>
        </a:p>
      </dgm:t>
    </dgm:pt>
    <dgm:pt modelId="{BEB511E1-446B-4792-86B6-73174CC1F5CD}" type="pres">
      <dgm:prSet presAssocID="{C89C93E4-CF51-4632-A84B-FEF115B946D8}" presName="node" presStyleLbl="node1" presStyleIdx="1" presStyleCnt="8">
        <dgm:presLayoutVars>
          <dgm:bulletEnabled val="1"/>
        </dgm:presLayoutVars>
      </dgm:prSet>
      <dgm:spPr/>
      <dgm:t>
        <a:bodyPr/>
        <a:lstStyle/>
        <a:p>
          <a:endParaRPr lang="lt-LT"/>
        </a:p>
      </dgm:t>
    </dgm:pt>
    <dgm:pt modelId="{9BDAC0ED-FDE0-4300-BBF5-578AD7F4C2F3}" type="pres">
      <dgm:prSet presAssocID="{287D975E-881F-4DF8-B5D7-D210D652717B}" presName="Name9" presStyleLbl="parChTrans1D2" presStyleIdx="2" presStyleCnt="8"/>
      <dgm:spPr/>
      <dgm:t>
        <a:bodyPr/>
        <a:lstStyle/>
        <a:p>
          <a:endParaRPr lang="lt-LT"/>
        </a:p>
      </dgm:t>
    </dgm:pt>
    <dgm:pt modelId="{97BC607A-B7D7-4DF4-8F2A-48544DADE586}" type="pres">
      <dgm:prSet presAssocID="{287D975E-881F-4DF8-B5D7-D210D652717B}" presName="connTx" presStyleLbl="parChTrans1D2" presStyleIdx="2" presStyleCnt="8"/>
      <dgm:spPr/>
      <dgm:t>
        <a:bodyPr/>
        <a:lstStyle/>
        <a:p>
          <a:endParaRPr lang="lt-LT"/>
        </a:p>
      </dgm:t>
    </dgm:pt>
    <dgm:pt modelId="{C68A2349-FF32-44CB-B9C2-27B318FB9598}" type="pres">
      <dgm:prSet presAssocID="{363C8C75-B89E-45AE-AD41-6998E4DDBF61}" presName="node" presStyleLbl="node1" presStyleIdx="2" presStyleCnt="8">
        <dgm:presLayoutVars>
          <dgm:bulletEnabled val="1"/>
        </dgm:presLayoutVars>
      </dgm:prSet>
      <dgm:spPr/>
      <dgm:t>
        <a:bodyPr/>
        <a:lstStyle/>
        <a:p>
          <a:endParaRPr lang="lt-LT"/>
        </a:p>
      </dgm:t>
    </dgm:pt>
    <dgm:pt modelId="{D5EAF004-F612-4998-8F2D-4A0E81D07163}" type="pres">
      <dgm:prSet presAssocID="{E5E05F7D-8E27-4EB8-99CC-8CEA45DE74DE}" presName="Name9" presStyleLbl="parChTrans1D2" presStyleIdx="3" presStyleCnt="8"/>
      <dgm:spPr/>
      <dgm:t>
        <a:bodyPr/>
        <a:lstStyle/>
        <a:p>
          <a:endParaRPr lang="lt-LT"/>
        </a:p>
      </dgm:t>
    </dgm:pt>
    <dgm:pt modelId="{976C0EFF-879A-4329-8E6F-C954CB45BDE0}" type="pres">
      <dgm:prSet presAssocID="{E5E05F7D-8E27-4EB8-99CC-8CEA45DE74DE}" presName="connTx" presStyleLbl="parChTrans1D2" presStyleIdx="3" presStyleCnt="8"/>
      <dgm:spPr/>
      <dgm:t>
        <a:bodyPr/>
        <a:lstStyle/>
        <a:p>
          <a:endParaRPr lang="lt-LT"/>
        </a:p>
      </dgm:t>
    </dgm:pt>
    <dgm:pt modelId="{6B52E294-EA5D-47BF-BFE7-CC59C05A0255}" type="pres">
      <dgm:prSet presAssocID="{7C0CEA76-B1D9-43C0-BCBF-3A896E78CB2F}" presName="node" presStyleLbl="node1" presStyleIdx="3" presStyleCnt="8">
        <dgm:presLayoutVars>
          <dgm:bulletEnabled val="1"/>
        </dgm:presLayoutVars>
      </dgm:prSet>
      <dgm:spPr/>
      <dgm:t>
        <a:bodyPr/>
        <a:lstStyle/>
        <a:p>
          <a:endParaRPr lang="lt-LT"/>
        </a:p>
      </dgm:t>
    </dgm:pt>
    <dgm:pt modelId="{B68BB809-BD21-413B-9F09-E0B5D67A125D}" type="pres">
      <dgm:prSet presAssocID="{4C4EBB5A-D35D-4101-ADE9-407ED45E51DA}" presName="Name9" presStyleLbl="parChTrans1D2" presStyleIdx="4" presStyleCnt="8"/>
      <dgm:spPr/>
      <dgm:t>
        <a:bodyPr/>
        <a:lstStyle/>
        <a:p>
          <a:endParaRPr lang="lt-LT"/>
        </a:p>
      </dgm:t>
    </dgm:pt>
    <dgm:pt modelId="{582D6156-7ACC-42E4-9EE7-9227F905920D}" type="pres">
      <dgm:prSet presAssocID="{4C4EBB5A-D35D-4101-ADE9-407ED45E51DA}" presName="connTx" presStyleLbl="parChTrans1D2" presStyleIdx="4" presStyleCnt="8"/>
      <dgm:spPr/>
      <dgm:t>
        <a:bodyPr/>
        <a:lstStyle/>
        <a:p>
          <a:endParaRPr lang="lt-LT"/>
        </a:p>
      </dgm:t>
    </dgm:pt>
    <dgm:pt modelId="{E7F4063C-9ED4-45AE-90E4-78F5ADFBC291}" type="pres">
      <dgm:prSet presAssocID="{D63B395B-FEA7-4918-B5B3-7895097C036B}" presName="node" presStyleLbl="node1" presStyleIdx="4" presStyleCnt="8" custScaleX="107461">
        <dgm:presLayoutVars>
          <dgm:bulletEnabled val="1"/>
        </dgm:presLayoutVars>
      </dgm:prSet>
      <dgm:spPr/>
      <dgm:t>
        <a:bodyPr/>
        <a:lstStyle/>
        <a:p>
          <a:endParaRPr lang="lt-LT"/>
        </a:p>
      </dgm:t>
    </dgm:pt>
    <dgm:pt modelId="{E611EE32-0590-434D-872D-A8CD306287EB}" type="pres">
      <dgm:prSet presAssocID="{0091C029-2F13-43D4-8F93-1523F07E45A5}" presName="Name9" presStyleLbl="parChTrans1D2" presStyleIdx="5" presStyleCnt="8"/>
      <dgm:spPr/>
      <dgm:t>
        <a:bodyPr/>
        <a:lstStyle/>
        <a:p>
          <a:endParaRPr lang="lt-LT"/>
        </a:p>
      </dgm:t>
    </dgm:pt>
    <dgm:pt modelId="{F53F9694-BCD0-47FE-B6A1-9F3E8350B4A5}" type="pres">
      <dgm:prSet presAssocID="{0091C029-2F13-43D4-8F93-1523F07E45A5}" presName="connTx" presStyleLbl="parChTrans1D2" presStyleIdx="5" presStyleCnt="8"/>
      <dgm:spPr/>
      <dgm:t>
        <a:bodyPr/>
        <a:lstStyle/>
        <a:p>
          <a:endParaRPr lang="lt-LT"/>
        </a:p>
      </dgm:t>
    </dgm:pt>
    <dgm:pt modelId="{CF4B5ECD-1F61-4513-AB44-2090AE29E4A7}" type="pres">
      <dgm:prSet presAssocID="{0D200A3F-86EE-4646-8BA5-043A4AFF0105}" presName="node" presStyleLbl="node1" presStyleIdx="5" presStyleCnt="8">
        <dgm:presLayoutVars>
          <dgm:bulletEnabled val="1"/>
        </dgm:presLayoutVars>
      </dgm:prSet>
      <dgm:spPr/>
      <dgm:t>
        <a:bodyPr/>
        <a:lstStyle/>
        <a:p>
          <a:endParaRPr lang="lt-LT"/>
        </a:p>
      </dgm:t>
    </dgm:pt>
    <dgm:pt modelId="{45939D47-69E7-4892-87AA-29544978832E}" type="pres">
      <dgm:prSet presAssocID="{6441C00C-6E8D-4644-A484-D2B25C303EEF}" presName="Name9" presStyleLbl="parChTrans1D2" presStyleIdx="6" presStyleCnt="8"/>
      <dgm:spPr/>
      <dgm:t>
        <a:bodyPr/>
        <a:lstStyle/>
        <a:p>
          <a:endParaRPr lang="lt-LT"/>
        </a:p>
      </dgm:t>
    </dgm:pt>
    <dgm:pt modelId="{CE6B2F2D-2E7D-4982-A139-A1F9E62026AD}" type="pres">
      <dgm:prSet presAssocID="{6441C00C-6E8D-4644-A484-D2B25C303EEF}" presName="connTx" presStyleLbl="parChTrans1D2" presStyleIdx="6" presStyleCnt="8"/>
      <dgm:spPr/>
      <dgm:t>
        <a:bodyPr/>
        <a:lstStyle/>
        <a:p>
          <a:endParaRPr lang="lt-LT"/>
        </a:p>
      </dgm:t>
    </dgm:pt>
    <dgm:pt modelId="{0D5E6F16-9B8E-4DCD-B53F-6612890895B1}" type="pres">
      <dgm:prSet presAssocID="{C7F41BDC-49A1-4D47-B614-0854312D87C8}" presName="node" presStyleLbl="node1" presStyleIdx="6" presStyleCnt="8">
        <dgm:presLayoutVars>
          <dgm:bulletEnabled val="1"/>
        </dgm:presLayoutVars>
      </dgm:prSet>
      <dgm:spPr/>
      <dgm:t>
        <a:bodyPr/>
        <a:lstStyle/>
        <a:p>
          <a:endParaRPr lang="lt-LT"/>
        </a:p>
      </dgm:t>
    </dgm:pt>
    <dgm:pt modelId="{2B4ACBB8-ED6E-418F-9E53-9374C6F73287}" type="pres">
      <dgm:prSet presAssocID="{F215E1F1-CBC4-4396-A4CF-BEC225E10CC5}" presName="Name9" presStyleLbl="parChTrans1D2" presStyleIdx="7" presStyleCnt="8"/>
      <dgm:spPr/>
      <dgm:t>
        <a:bodyPr/>
        <a:lstStyle/>
        <a:p>
          <a:endParaRPr lang="lt-LT"/>
        </a:p>
      </dgm:t>
    </dgm:pt>
    <dgm:pt modelId="{5FD1F58C-CF67-4197-B00B-354E5F3809EE}" type="pres">
      <dgm:prSet presAssocID="{F215E1F1-CBC4-4396-A4CF-BEC225E10CC5}" presName="connTx" presStyleLbl="parChTrans1D2" presStyleIdx="7" presStyleCnt="8"/>
      <dgm:spPr/>
      <dgm:t>
        <a:bodyPr/>
        <a:lstStyle/>
        <a:p>
          <a:endParaRPr lang="lt-LT"/>
        </a:p>
      </dgm:t>
    </dgm:pt>
    <dgm:pt modelId="{30311AA0-678A-493C-9F7A-7DEC3149BE40}" type="pres">
      <dgm:prSet presAssocID="{AF1F2A27-7C4A-4364-B967-4AD86BB9AFF8}" presName="node" presStyleLbl="node1" presStyleIdx="7" presStyleCnt="8">
        <dgm:presLayoutVars>
          <dgm:bulletEnabled val="1"/>
        </dgm:presLayoutVars>
      </dgm:prSet>
      <dgm:spPr/>
      <dgm:t>
        <a:bodyPr/>
        <a:lstStyle/>
        <a:p>
          <a:endParaRPr lang="lt-LT"/>
        </a:p>
      </dgm:t>
    </dgm:pt>
  </dgm:ptLst>
  <dgm:cxnLst>
    <dgm:cxn modelId="{F83DBAE2-EEFC-438D-9F2E-1C7801A65031}" type="presOf" srcId="{56C43CA6-9FD1-42A4-A2CE-ED3EC7F3665F}" destId="{48F80393-102E-4955-993A-78CE7CC93B61}" srcOrd="0" destOrd="0" presId="urn:microsoft.com/office/officeart/2005/8/layout/radial1"/>
    <dgm:cxn modelId="{411A3FBE-60D7-4DCD-A6AD-50542590C66D}" type="presOf" srcId="{0D200A3F-86EE-4646-8BA5-043A4AFF0105}" destId="{CF4B5ECD-1F61-4513-AB44-2090AE29E4A7}" srcOrd="0" destOrd="0" presId="urn:microsoft.com/office/officeart/2005/8/layout/radial1"/>
    <dgm:cxn modelId="{2F6D83C3-EB05-423D-B3F5-A55957D73058}" type="presOf" srcId="{E5E05F7D-8E27-4EB8-99CC-8CEA45DE74DE}" destId="{976C0EFF-879A-4329-8E6F-C954CB45BDE0}" srcOrd="1" destOrd="0" presId="urn:microsoft.com/office/officeart/2005/8/layout/radial1"/>
    <dgm:cxn modelId="{C16C792A-F5B3-42F2-A00A-9AD6DC6C6CB4}" type="presOf" srcId="{82063C9A-69FD-422B-8F11-299965381524}" destId="{DB5B7C5A-9926-4257-BA8A-81ED6168AF5C}" srcOrd="0" destOrd="0" presId="urn:microsoft.com/office/officeart/2005/8/layout/radial1"/>
    <dgm:cxn modelId="{00CBAFB4-D7F4-43A4-A089-AA0BC1052459}" type="presOf" srcId="{6441C00C-6E8D-4644-A484-D2B25C303EEF}" destId="{45939D47-69E7-4892-87AA-29544978832E}" srcOrd="0" destOrd="0" presId="urn:microsoft.com/office/officeart/2005/8/layout/radial1"/>
    <dgm:cxn modelId="{1C281E1D-229B-4DFF-836B-96D066047E6E}" type="presOf" srcId="{C89C93E4-CF51-4632-A84B-FEF115B946D8}" destId="{BEB511E1-446B-4792-86B6-73174CC1F5CD}" srcOrd="0" destOrd="0" presId="urn:microsoft.com/office/officeart/2005/8/layout/radial1"/>
    <dgm:cxn modelId="{53B4217D-2935-4B3A-99AB-A80D45B7C70A}" type="presOf" srcId="{287D975E-881F-4DF8-B5D7-D210D652717B}" destId="{9BDAC0ED-FDE0-4300-BBF5-578AD7F4C2F3}" srcOrd="0" destOrd="0" presId="urn:microsoft.com/office/officeart/2005/8/layout/radial1"/>
    <dgm:cxn modelId="{C81C7CB1-0D09-4B7A-BF44-64E38B26B249}" type="presOf" srcId="{0DD280DE-004F-46FD-8E0F-C392CE523B38}" destId="{EC1DFB6F-F860-4C11-BE9F-29431E2AD8A0}" srcOrd="0" destOrd="0" presId="urn:microsoft.com/office/officeart/2005/8/layout/radial1"/>
    <dgm:cxn modelId="{423CDEE8-02EC-4497-93D3-762288C03B75}" srcId="{82063C9A-69FD-422B-8F11-299965381524}" destId="{0D200A3F-86EE-4646-8BA5-043A4AFF0105}" srcOrd="5" destOrd="0" parTransId="{0091C029-2F13-43D4-8F93-1523F07E45A5}" sibTransId="{E854642A-F18E-49AC-B298-CCBE952944D2}"/>
    <dgm:cxn modelId="{80A84C6A-F28A-4727-A3D2-D534F05C791E}" type="presOf" srcId="{0091C029-2F13-43D4-8F93-1523F07E45A5}" destId="{F53F9694-BCD0-47FE-B6A1-9F3E8350B4A5}" srcOrd="1" destOrd="0" presId="urn:microsoft.com/office/officeart/2005/8/layout/radial1"/>
    <dgm:cxn modelId="{EDF3E411-689D-42C4-ACC4-6AB4EA949A5B}" srcId="{56C43CA6-9FD1-42A4-A2CE-ED3EC7F3665F}" destId="{82063C9A-69FD-422B-8F11-299965381524}" srcOrd="0" destOrd="0" parTransId="{4AA9B1B8-8217-47B2-82E3-BDEA488F047B}" sibTransId="{770ACACD-953E-47D3-BC5E-668D6D54F270}"/>
    <dgm:cxn modelId="{25FC30E9-62D1-4EEC-AD9D-F87B6F776C20}" type="presOf" srcId="{081C12B9-136D-4F80-9F51-26A43F41CFEC}" destId="{2D4ECF9D-C6E0-4EAB-AF16-6F0DDA0FCDC1}" srcOrd="1" destOrd="0" presId="urn:microsoft.com/office/officeart/2005/8/layout/radial1"/>
    <dgm:cxn modelId="{2C28D103-F5F2-4E96-A3ED-99138FB6935B}" type="presOf" srcId="{0091C029-2F13-43D4-8F93-1523F07E45A5}" destId="{E611EE32-0590-434D-872D-A8CD306287EB}" srcOrd="0" destOrd="0" presId="urn:microsoft.com/office/officeart/2005/8/layout/radial1"/>
    <dgm:cxn modelId="{374F7173-DC37-4F6F-8915-915F6F8C4F16}" srcId="{82063C9A-69FD-422B-8F11-299965381524}" destId="{C7F41BDC-49A1-4D47-B614-0854312D87C8}" srcOrd="6" destOrd="0" parTransId="{6441C00C-6E8D-4644-A484-D2B25C303EEF}" sibTransId="{A534176C-0BC9-41CB-9357-D05EC7812E73}"/>
    <dgm:cxn modelId="{9E23C63E-D096-4088-A391-919732A92F20}" type="presOf" srcId="{8AF05AC2-FA3E-43DD-8CDD-C2028AEBCED4}" destId="{F05A2DC3-6294-4C04-AD49-D9BF823DC718}" srcOrd="0" destOrd="0" presId="urn:microsoft.com/office/officeart/2005/8/layout/radial1"/>
    <dgm:cxn modelId="{38EBDFBB-3369-4F45-9789-FA74EAF7BF0A}" srcId="{82063C9A-69FD-422B-8F11-299965381524}" destId="{C89C93E4-CF51-4632-A84B-FEF115B946D8}" srcOrd="1" destOrd="0" parTransId="{0DD280DE-004F-46FD-8E0F-C392CE523B38}" sibTransId="{B1D5E484-6208-4858-82C6-036B106ADB03}"/>
    <dgm:cxn modelId="{3D682460-084A-4DBA-BCEB-CEF481BE2A1A}" srcId="{82063C9A-69FD-422B-8F11-299965381524}" destId="{D63B395B-FEA7-4918-B5B3-7895097C036B}" srcOrd="4" destOrd="0" parTransId="{4C4EBB5A-D35D-4101-ADE9-407ED45E51DA}" sibTransId="{50B3FDB7-EFEF-47EE-B6E0-C1A0B419755A}"/>
    <dgm:cxn modelId="{2F9AD0FB-DB75-49CC-833A-F67D5C18BFCE}" srcId="{82063C9A-69FD-422B-8F11-299965381524}" destId="{363C8C75-B89E-45AE-AD41-6998E4DDBF61}" srcOrd="2" destOrd="0" parTransId="{287D975E-881F-4DF8-B5D7-D210D652717B}" sibTransId="{3D72FB0A-7154-46E7-B1F7-03472F64CCFF}"/>
    <dgm:cxn modelId="{83B5AFC6-008C-406B-A974-44234447E87F}" type="presOf" srcId="{F215E1F1-CBC4-4396-A4CF-BEC225E10CC5}" destId="{5FD1F58C-CF67-4197-B00B-354E5F3809EE}" srcOrd="1" destOrd="0" presId="urn:microsoft.com/office/officeart/2005/8/layout/radial1"/>
    <dgm:cxn modelId="{9A51BE52-CD27-43FE-A756-B72477166760}" type="presOf" srcId="{6441C00C-6E8D-4644-A484-D2B25C303EEF}" destId="{CE6B2F2D-2E7D-4982-A139-A1F9E62026AD}" srcOrd="1" destOrd="0" presId="urn:microsoft.com/office/officeart/2005/8/layout/radial1"/>
    <dgm:cxn modelId="{33AD6C0B-63EA-4920-972F-C57C7B59C79C}" type="presOf" srcId="{E5E05F7D-8E27-4EB8-99CC-8CEA45DE74DE}" destId="{D5EAF004-F612-4998-8F2D-4A0E81D07163}" srcOrd="0" destOrd="0" presId="urn:microsoft.com/office/officeart/2005/8/layout/radial1"/>
    <dgm:cxn modelId="{D71A11B4-02EA-4A62-882D-E79B38940F31}" type="presOf" srcId="{F215E1F1-CBC4-4396-A4CF-BEC225E10CC5}" destId="{2B4ACBB8-ED6E-418F-9E53-9374C6F73287}" srcOrd="0" destOrd="0" presId="urn:microsoft.com/office/officeart/2005/8/layout/radial1"/>
    <dgm:cxn modelId="{1F37F1D8-9D96-4504-AF97-975F61444B6C}" type="presOf" srcId="{0DD280DE-004F-46FD-8E0F-C392CE523B38}" destId="{4305BF81-5407-45DF-8AF4-F26B10B291C4}" srcOrd="1" destOrd="0" presId="urn:microsoft.com/office/officeart/2005/8/layout/radial1"/>
    <dgm:cxn modelId="{8A645204-16D9-48E7-9234-FB254D207FCA}" type="presOf" srcId="{AF1F2A27-7C4A-4364-B967-4AD86BB9AFF8}" destId="{30311AA0-678A-493C-9F7A-7DEC3149BE40}" srcOrd="0" destOrd="0" presId="urn:microsoft.com/office/officeart/2005/8/layout/radial1"/>
    <dgm:cxn modelId="{DFBEBC79-778F-4E52-B69A-C8E19C631A51}" srcId="{82063C9A-69FD-422B-8F11-299965381524}" destId="{7C0CEA76-B1D9-43C0-BCBF-3A896E78CB2F}" srcOrd="3" destOrd="0" parTransId="{E5E05F7D-8E27-4EB8-99CC-8CEA45DE74DE}" sibTransId="{CB47428A-DC60-4CA5-BB24-F819C0CD7E0B}"/>
    <dgm:cxn modelId="{3C2E555F-11A6-4089-8F31-4C577F9DA6B4}" type="presOf" srcId="{081C12B9-136D-4F80-9F51-26A43F41CFEC}" destId="{BFB09372-307C-4793-B0CC-86857AED5D04}" srcOrd="0" destOrd="0" presId="urn:microsoft.com/office/officeart/2005/8/layout/radial1"/>
    <dgm:cxn modelId="{F1C24A40-2FCC-438B-B2CD-580AC81654F7}" type="presOf" srcId="{4C4EBB5A-D35D-4101-ADE9-407ED45E51DA}" destId="{B68BB809-BD21-413B-9F09-E0B5D67A125D}" srcOrd="0" destOrd="0" presId="urn:microsoft.com/office/officeart/2005/8/layout/radial1"/>
    <dgm:cxn modelId="{30484CB3-BB7F-41BE-A0F3-EBD2C3D793A3}" type="presOf" srcId="{C7F41BDC-49A1-4D47-B614-0854312D87C8}" destId="{0D5E6F16-9B8E-4DCD-B53F-6612890895B1}" srcOrd="0" destOrd="0" presId="urn:microsoft.com/office/officeart/2005/8/layout/radial1"/>
    <dgm:cxn modelId="{787E95E5-15E1-467C-8206-D86AAAE7C4A6}" type="presOf" srcId="{7C0CEA76-B1D9-43C0-BCBF-3A896E78CB2F}" destId="{6B52E294-EA5D-47BF-BFE7-CC59C05A0255}" srcOrd="0" destOrd="0" presId="urn:microsoft.com/office/officeart/2005/8/layout/radial1"/>
    <dgm:cxn modelId="{10F6763F-7728-4165-BF5A-F606D9337E8A}" srcId="{82063C9A-69FD-422B-8F11-299965381524}" destId="{AF1F2A27-7C4A-4364-B967-4AD86BB9AFF8}" srcOrd="7" destOrd="0" parTransId="{F215E1F1-CBC4-4396-A4CF-BEC225E10CC5}" sibTransId="{19E25FD7-3DE1-4F5A-881E-658A75760097}"/>
    <dgm:cxn modelId="{247EAA54-8434-48F4-8732-E7D8BEE7B930}" type="presOf" srcId="{287D975E-881F-4DF8-B5D7-D210D652717B}" destId="{97BC607A-B7D7-4DF4-8F2A-48544DADE586}" srcOrd="1" destOrd="0" presId="urn:microsoft.com/office/officeart/2005/8/layout/radial1"/>
    <dgm:cxn modelId="{926A2A78-46F3-40B8-8B1A-41CFCCE1E957}" srcId="{82063C9A-69FD-422B-8F11-299965381524}" destId="{8AF05AC2-FA3E-43DD-8CDD-C2028AEBCED4}" srcOrd="0" destOrd="0" parTransId="{081C12B9-136D-4F80-9F51-26A43F41CFEC}" sibTransId="{D8408BA5-C9E1-4B1A-94C5-AE5B171C799F}"/>
    <dgm:cxn modelId="{A15E5F84-5F38-4A67-BF65-05C51E5C8A60}" type="presOf" srcId="{363C8C75-B89E-45AE-AD41-6998E4DDBF61}" destId="{C68A2349-FF32-44CB-B9C2-27B318FB9598}" srcOrd="0" destOrd="0" presId="urn:microsoft.com/office/officeart/2005/8/layout/radial1"/>
    <dgm:cxn modelId="{3B282BD5-9959-4A41-A5C4-4B71FED7BDFD}" type="presOf" srcId="{4C4EBB5A-D35D-4101-ADE9-407ED45E51DA}" destId="{582D6156-7ACC-42E4-9EE7-9227F905920D}" srcOrd="1" destOrd="0" presId="urn:microsoft.com/office/officeart/2005/8/layout/radial1"/>
    <dgm:cxn modelId="{BEBDE287-14D2-49DB-92B2-A7D1B0CECDE1}" type="presOf" srcId="{D63B395B-FEA7-4918-B5B3-7895097C036B}" destId="{E7F4063C-9ED4-45AE-90E4-78F5ADFBC291}" srcOrd="0" destOrd="0" presId="urn:microsoft.com/office/officeart/2005/8/layout/radial1"/>
    <dgm:cxn modelId="{5070BDC2-ED38-4E09-808F-43175BFD25B6}" type="presParOf" srcId="{48F80393-102E-4955-993A-78CE7CC93B61}" destId="{DB5B7C5A-9926-4257-BA8A-81ED6168AF5C}" srcOrd="0" destOrd="0" presId="urn:microsoft.com/office/officeart/2005/8/layout/radial1"/>
    <dgm:cxn modelId="{FE405A13-A000-41A5-A360-57C245F7BC28}" type="presParOf" srcId="{48F80393-102E-4955-993A-78CE7CC93B61}" destId="{BFB09372-307C-4793-B0CC-86857AED5D04}" srcOrd="1" destOrd="0" presId="urn:microsoft.com/office/officeart/2005/8/layout/radial1"/>
    <dgm:cxn modelId="{B6583313-5867-43E3-A1AD-F89AA76CA68B}" type="presParOf" srcId="{BFB09372-307C-4793-B0CC-86857AED5D04}" destId="{2D4ECF9D-C6E0-4EAB-AF16-6F0DDA0FCDC1}" srcOrd="0" destOrd="0" presId="urn:microsoft.com/office/officeart/2005/8/layout/radial1"/>
    <dgm:cxn modelId="{9E4CAF2E-645C-4926-A69D-FFB36D6DA6DC}" type="presParOf" srcId="{48F80393-102E-4955-993A-78CE7CC93B61}" destId="{F05A2DC3-6294-4C04-AD49-D9BF823DC718}" srcOrd="2" destOrd="0" presId="urn:microsoft.com/office/officeart/2005/8/layout/radial1"/>
    <dgm:cxn modelId="{FB038C50-9162-440A-B244-E9CCBF7837DD}" type="presParOf" srcId="{48F80393-102E-4955-993A-78CE7CC93B61}" destId="{EC1DFB6F-F860-4C11-BE9F-29431E2AD8A0}" srcOrd="3" destOrd="0" presId="urn:microsoft.com/office/officeart/2005/8/layout/radial1"/>
    <dgm:cxn modelId="{49E94E8E-BE1E-4B5D-8D26-52F0601ABDDC}" type="presParOf" srcId="{EC1DFB6F-F860-4C11-BE9F-29431E2AD8A0}" destId="{4305BF81-5407-45DF-8AF4-F26B10B291C4}" srcOrd="0" destOrd="0" presId="urn:microsoft.com/office/officeart/2005/8/layout/radial1"/>
    <dgm:cxn modelId="{EB430400-5621-430B-8763-170A1BBE2C27}" type="presParOf" srcId="{48F80393-102E-4955-993A-78CE7CC93B61}" destId="{BEB511E1-446B-4792-86B6-73174CC1F5CD}" srcOrd="4" destOrd="0" presId="urn:microsoft.com/office/officeart/2005/8/layout/radial1"/>
    <dgm:cxn modelId="{4F27F92C-0CBE-46F2-A1B0-1EDBC605CF48}" type="presParOf" srcId="{48F80393-102E-4955-993A-78CE7CC93B61}" destId="{9BDAC0ED-FDE0-4300-BBF5-578AD7F4C2F3}" srcOrd="5" destOrd="0" presId="urn:microsoft.com/office/officeart/2005/8/layout/radial1"/>
    <dgm:cxn modelId="{590086F3-C0FF-4387-B664-6BA8553018C8}" type="presParOf" srcId="{9BDAC0ED-FDE0-4300-BBF5-578AD7F4C2F3}" destId="{97BC607A-B7D7-4DF4-8F2A-48544DADE586}" srcOrd="0" destOrd="0" presId="urn:microsoft.com/office/officeart/2005/8/layout/radial1"/>
    <dgm:cxn modelId="{B5890B1D-CA2B-420C-9287-8F0029ABB083}" type="presParOf" srcId="{48F80393-102E-4955-993A-78CE7CC93B61}" destId="{C68A2349-FF32-44CB-B9C2-27B318FB9598}" srcOrd="6" destOrd="0" presId="urn:microsoft.com/office/officeart/2005/8/layout/radial1"/>
    <dgm:cxn modelId="{5E1344A5-321B-45F4-9C82-1DBBC6D62ABC}" type="presParOf" srcId="{48F80393-102E-4955-993A-78CE7CC93B61}" destId="{D5EAF004-F612-4998-8F2D-4A0E81D07163}" srcOrd="7" destOrd="0" presId="urn:microsoft.com/office/officeart/2005/8/layout/radial1"/>
    <dgm:cxn modelId="{C6418B45-1FFC-4130-AED0-B2DF15713584}" type="presParOf" srcId="{D5EAF004-F612-4998-8F2D-4A0E81D07163}" destId="{976C0EFF-879A-4329-8E6F-C954CB45BDE0}" srcOrd="0" destOrd="0" presId="urn:microsoft.com/office/officeart/2005/8/layout/radial1"/>
    <dgm:cxn modelId="{F71B43E7-90CE-4110-B478-7E31E0CF1D1C}" type="presParOf" srcId="{48F80393-102E-4955-993A-78CE7CC93B61}" destId="{6B52E294-EA5D-47BF-BFE7-CC59C05A0255}" srcOrd="8" destOrd="0" presId="urn:microsoft.com/office/officeart/2005/8/layout/radial1"/>
    <dgm:cxn modelId="{660935DF-8E8B-40F2-91A5-58D6849593D2}" type="presParOf" srcId="{48F80393-102E-4955-993A-78CE7CC93B61}" destId="{B68BB809-BD21-413B-9F09-E0B5D67A125D}" srcOrd="9" destOrd="0" presId="urn:microsoft.com/office/officeart/2005/8/layout/radial1"/>
    <dgm:cxn modelId="{75A0A402-CE5B-4C93-A9C5-2E3177026B94}" type="presParOf" srcId="{B68BB809-BD21-413B-9F09-E0B5D67A125D}" destId="{582D6156-7ACC-42E4-9EE7-9227F905920D}" srcOrd="0" destOrd="0" presId="urn:microsoft.com/office/officeart/2005/8/layout/radial1"/>
    <dgm:cxn modelId="{8A7EB2EF-C8C3-4BA4-815D-5D8FFBA0A4A5}" type="presParOf" srcId="{48F80393-102E-4955-993A-78CE7CC93B61}" destId="{E7F4063C-9ED4-45AE-90E4-78F5ADFBC291}" srcOrd="10" destOrd="0" presId="urn:microsoft.com/office/officeart/2005/8/layout/radial1"/>
    <dgm:cxn modelId="{B7D1E4D1-EDAD-45BB-BA09-95B5F17328F2}" type="presParOf" srcId="{48F80393-102E-4955-993A-78CE7CC93B61}" destId="{E611EE32-0590-434D-872D-A8CD306287EB}" srcOrd="11" destOrd="0" presId="urn:microsoft.com/office/officeart/2005/8/layout/radial1"/>
    <dgm:cxn modelId="{D292F2AD-218D-4823-864E-E8B46C2F8674}" type="presParOf" srcId="{E611EE32-0590-434D-872D-A8CD306287EB}" destId="{F53F9694-BCD0-47FE-B6A1-9F3E8350B4A5}" srcOrd="0" destOrd="0" presId="urn:microsoft.com/office/officeart/2005/8/layout/radial1"/>
    <dgm:cxn modelId="{E2B8F0F8-47FB-448E-A9CB-A1FC8247C040}" type="presParOf" srcId="{48F80393-102E-4955-993A-78CE7CC93B61}" destId="{CF4B5ECD-1F61-4513-AB44-2090AE29E4A7}" srcOrd="12" destOrd="0" presId="urn:microsoft.com/office/officeart/2005/8/layout/radial1"/>
    <dgm:cxn modelId="{EFA4C252-2634-41F5-9243-2F937C66621A}" type="presParOf" srcId="{48F80393-102E-4955-993A-78CE7CC93B61}" destId="{45939D47-69E7-4892-87AA-29544978832E}" srcOrd="13" destOrd="0" presId="urn:microsoft.com/office/officeart/2005/8/layout/radial1"/>
    <dgm:cxn modelId="{6FAC29E9-3AA7-4B72-8718-AED31B13A2EA}" type="presParOf" srcId="{45939D47-69E7-4892-87AA-29544978832E}" destId="{CE6B2F2D-2E7D-4982-A139-A1F9E62026AD}" srcOrd="0" destOrd="0" presId="urn:microsoft.com/office/officeart/2005/8/layout/radial1"/>
    <dgm:cxn modelId="{243563E0-1829-4381-9FD7-6486215C2DC6}" type="presParOf" srcId="{48F80393-102E-4955-993A-78CE7CC93B61}" destId="{0D5E6F16-9B8E-4DCD-B53F-6612890895B1}" srcOrd="14" destOrd="0" presId="urn:microsoft.com/office/officeart/2005/8/layout/radial1"/>
    <dgm:cxn modelId="{07D4227B-9375-4B2E-B0D8-6DE47592C55C}" type="presParOf" srcId="{48F80393-102E-4955-993A-78CE7CC93B61}" destId="{2B4ACBB8-ED6E-418F-9E53-9374C6F73287}" srcOrd="15" destOrd="0" presId="urn:microsoft.com/office/officeart/2005/8/layout/radial1"/>
    <dgm:cxn modelId="{D453911C-717C-475F-9DAA-F82CE6C8979D}" type="presParOf" srcId="{2B4ACBB8-ED6E-418F-9E53-9374C6F73287}" destId="{5FD1F58C-CF67-4197-B00B-354E5F3809EE}" srcOrd="0" destOrd="0" presId="urn:microsoft.com/office/officeart/2005/8/layout/radial1"/>
    <dgm:cxn modelId="{C50D36F8-A905-475F-8724-59D23BC48558}" type="presParOf" srcId="{48F80393-102E-4955-993A-78CE7CC93B61}" destId="{30311AA0-678A-493C-9F7A-7DEC3149BE40}" srcOrd="16" destOrd="0" presId="urn:microsoft.com/office/officeart/2005/8/layout/radial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959A69-2598-4EFE-B749-89C56CB361E4}">
      <dsp:nvSpPr>
        <dsp:cNvPr id="0" name=""/>
        <dsp:cNvSpPr/>
      </dsp:nvSpPr>
      <dsp:spPr>
        <a:xfrm rot="5400000">
          <a:off x="-68089" y="69734"/>
          <a:ext cx="453931" cy="31775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t>1</a:t>
          </a:r>
        </a:p>
      </dsp:txBody>
      <dsp:txXfrm rot="-5400000">
        <a:off x="1" y="160520"/>
        <a:ext cx="317752" cy="136179"/>
      </dsp:txXfrm>
    </dsp:sp>
    <dsp:sp modelId="{13B236CF-E781-4F2E-BF4F-D877C0BC7AFD}">
      <dsp:nvSpPr>
        <dsp:cNvPr id="0" name=""/>
        <dsp:cNvSpPr/>
      </dsp:nvSpPr>
      <dsp:spPr>
        <a:xfrm rot="5400000">
          <a:off x="2564030" y="-2244633"/>
          <a:ext cx="295210" cy="478776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itchFamily="18" charset="0"/>
              <a:cs typeface="Times New Roman" pitchFamily="18" charset="0"/>
            </a:rPr>
            <a:t>galimybės praleidimas įsigyti mažesnėmis kainomis</a:t>
          </a:r>
        </a:p>
      </dsp:txBody>
      <dsp:txXfrm rot="-5400000">
        <a:off x="317753" y="16055"/>
        <a:ext cx="4773355" cy="266388"/>
      </dsp:txXfrm>
    </dsp:sp>
    <dsp:sp modelId="{014895E2-4B01-4FFC-8538-B66FFDBEEA3A}">
      <dsp:nvSpPr>
        <dsp:cNvPr id="0" name=""/>
        <dsp:cNvSpPr/>
      </dsp:nvSpPr>
      <dsp:spPr>
        <a:xfrm rot="5400000">
          <a:off x="-68089" y="380731"/>
          <a:ext cx="453931" cy="31775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2</a:t>
          </a:r>
        </a:p>
      </dsp:txBody>
      <dsp:txXfrm rot="-5400000">
        <a:off x="1" y="471517"/>
        <a:ext cx="317752" cy="136179"/>
      </dsp:txXfrm>
    </dsp:sp>
    <dsp:sp modelId="{41D95430-D5CD-4392-8323-6A831B53B384}">
      <dsp:nvSpPr>
        <dsp:cNvPr id="0" name=""/>
        <dsp:cNvSpPr/>
      </dsp:nvSpPr>
      <dsp:spPr>
        <a:xfrm rot="5400000">
          <a:off x="2564107" y="-1933713"/>
          <a:ext cx="295055" cy="478776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itchFamily="18" charset="0"/>
              <a:cs typeface="Times New Roman" pitchFamily="18" charset="0"/>
            </a:rPr>
            <a:t>blogėjantys santykiai su tiekėjais ir partneriais dėl sutarčių sąlygų nesilaikymo</a:t>
          </a:r>
        </a:p>
      </dsp:txBody>
      <dsp:txXfrm rot="-5400000">
        <a:off x="317752" y="327045"/>
        <a:ext cx="4773363" cy="266249"/>
      </dsp:txXfrm>
    </dsp:sp>
    <dsp:sp modelId="{6C47CD5D-EAA8-437E-9321-EF47312DB238}">
      <dsp:nvSpPr>
        <dsp:cNvPr id="0" name=""/>
        <dsp:cNvSpPr/>
      </dsp:nvSpPr>
      <dsp:spPr>
        <a:xfrm rot="5400000">
          <a:off x="-68089" y="691728"/>
          <a:ext cx="453931" cy="31775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3</a:t>
          </a:r>
        </a:p>
      </dsp:txBody>
      <dsp:txXfrm rot="-5400000">
        <a:off x="1" y="782514"/>
        <a:ext cx="317752" cy="136179"/>
      </dsp:txXfrm>
    </dsp:sp>
    <dsp:sp modelId="{F4D368C3-0378-423D-8727-FFBFA69AE3E2}">
      <dsp:nvSpPr>
        <dsp:cNvPr id="0" name=""/>
        <dsp:cNvSpPr/>
      </dsp:nvSpPr>
      <dsp:spPr>
        <a:xfrm rot="5400000">
          <a:off x="2564107" y="-1622716"/>
          <a:ext cx="295055" cy="478776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itchFamily="18" charset="0"/>
              <a:cs typeface="Times New Roman" pitchFamily="18" charset="0"/>
            </a:rPr>
            <a:t>mokėjimų atidėjimas dėl paskolų palūkanų pasikeitimo </a:t>
          </a:r>
        </a:p>
      </dsp:txBody>
      <dsp:txXfrm rot="-5400000">
        <a:off x="317752" y="638042"/>
        <a:ext cx="4773363" cy="266249"/>
      </dsp:txXfrm>
    </dsp:sp>
    <dsp:sp modelId="{28796541-DE45-47A8-8D09-BD930D4EB08B}">
      <dsp:nvSpPr>
        <dsp:cNvPr id="0" name=""/>
        <dsp:cNvSpPr/>
      </dsp:nvSpPr>
      <dsp:spPr>
        <a:xfrm rot="5400000">
          <a:off x="-68089" y="1002725"/>
          <a:ext cx="453931" cy="31775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4</a:t>
          </a:r>
        </a:p>
      </dsp:txBody>
      <dsp:txXfrm rot="-5400000">
        <a:off x="1" y="1093511"/>
        <a:ext cx="317752" cy="136179"/>
      </dsp:txXfrm>
    </dsp:sp>
    <dsp:sp modelId="{E3B96514-69F5-4814-AB11-1DC59F50A20E}">
      <dsp:nvSpPr>
        <dsp:cNvPr id="0" name=""/>
        <dsp:cNvSpPr/>
      </dsp:nvSpPr>
      <dsp:spPr>
        <a:xfrm rot="5400000">
          <a:off x="2564107" y="-1311719"/>
          <a:ext cx="295055" cy="478776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itchFamily="18" charset="0"/>
              <a:cs typeface="Times New Roman" pitchFamily="18" charset="0"/>
            </a:rPr>
            <a:t>sunkumai gauti naujų kreditų</a:t>
          </a:r>
        </a:p>
      </dsp:txBody>
      <dsp:txXfrm rot="-5400000">
        <a:off x="317752" y="949039"/>
        <a:ext cx="4773363" cy="266249"/>
      </dsp:txXfrm>
    </dsp:sp>
    <dsp:sp modelId="{05B30A67-BD30-4D95-99B7-597CBA3740AF}">
      <dsp:nvSpPr>
        <dsp:cNvPr id="0" name=""/>
        <dsp:cNvSpPr/>
      </dsp:nvSpPr>
      <dsp:spPr>
        <a:xfrm rot="5400000">
          <a:off x="-68089" y="1313722"/>
          <a:ext cx="453931" cy="31775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5</a:t>
          </a:r>
        </a:p>
      </dsp:txBody>
      <dsp:txXfrm rot="-5400000">
        <a:off x="1" y="1404508"/>
        <a:ext cx="317752" cy="136179"/>
      </dsp:txXfrm>
    </dsp:sp>
    <dsp:sp modelId="{43DA3104-040C-4CCA-AF8A-D4957839F47A}">
      <dsp:nvSpPr>
        <dsp:cNvPr id="0" name=""/>
        <dsp:cNvSpPr/>
      </dsp:nvSpPr>
      <dsp:spPr>
        <a:xfrm rot="5400000">
          <a:off x="2564107" y="-1000723"/>
          <a:ext cx="295055" cy="478776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itchFamily="18" charset="0"/>
              <a:cs typeface="Times New Roman" pitchFamily="18" charset="0"/>
            </a:rPr>
            <a:t>būtinybė parduoti tam tikrą turto dalį tam, kad būtų padengti trumpalaikiai įsipareigojimai</a:t>
          </a:r>
        </a:p>
      </dsp:txBody>
      <dsp:txXfrm rot="-5400000">
        <a:off x="317752" y="1260035"/>
        <a:ext cx="4773363" cy="2662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D72FBC-24F3-45E5-8A0B-ACA52D9E78E0}">
      <dsp:nvSpPr>
        <dsp:cNvPr id="0" name=""/>
        <dsp:cNvSpPr/>
      </dsp:nvSpPr>
      <dsp:spPr>
        <a:xfrm>
          <a:off x="2680248" y="83"/>
          <a:ext cx="902080" cy="9020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Pinigai</a:t>
          </a:r>
        </a:p>
      </dsp:txBody>
      <dsp:txXfrm>
        <a:off x="2812355" y="132190"/>
        <a:ext cx="637866" cy="637866"/>
      </dsp:txXfrm>
    </dsp:sp>
    <dsp:sp modelId="{3A882CE4-5F8E-4A9A-B763-D785639426A4}">
      <dsp:nvSpPr>
        <dsp:cNvPr id="0" name=""/>
        <dsp:cNvSpPr/>
      </dsp:nvSpPr>
      <dsp:spPr>
        <a:xfrm rot="2700000">
          <a:off x="3485477" y="772945"/>
          <a:ext cx="239718" cy="3044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lt-LT" sz="1300" kern="1200"/>
        </a:p>
      </dsp:txBody>
      <dsp:txXfrm>
        <a:off x="3496009" y="808409"/>
        <a:ext cx="167803" cy="182672"/>
      </dsp:txXfrm>
    </dsp:sp>
    <dsp:sp modelId="{BEC7FC40-78F2-4398-8A73-3EA216B61361}">
      <dsp:nvSpPr>
        <dsp:cNvPr id="0" name=""/>
        <dsp:cNvSpPr/>
      </dsp:nvSpPr>
      <dsp:spPr>
        <a:xfrm>
          <a:off x="3637939" y="957773"/>
          <a:ext cx="902080" cy="9020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Pirkimai</a:t>
          </a:r>
        </a:p>
      </dsp:txBody>
      <dsp:txXfrm>
        <a:off x="3770046" y="1089880"/>
        <a:ext cx="637866" cy="637866"/>
      </dsp:txXfrm>
    </dsp:sp>
    <dsp:sp modelId="{3C5AD625-FD03-4A66-939D-708DB06C971C}">
      <dsp:nvSpPr>
        <dsp:cNvPr id="0" name=""/>
        <dsp:cNvSpPr/>
      </dsp:nvSpPr>
      <dsp:spPr>
        <a:xfrm rot="8100000">
          <a:off x="3495071" y="1730635"/>
          <a:ext cx="239718" cy="3044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lt-LT" sz="1300" kern="1200"/>
        </a:p>
      </dsp:txBody>
      <dsp:txXfrm rot="10800000">
        <a:off x="3556454" y="1766099"/>
        <a:ext cx="167803" cy="182672"/>
      </dsp:txXfrm>
    </dsp:sp>
    <dsp:sp modelId="{5A51F6AA-1F88-4ED7-9ABC-F1B46DB3F272}">
      <dsp:nvSpPr>
        <dsp:cNvPr id="0" name=""/>
        <dsp:cNvSpPr/>
      </dsp:nvSpPr>
      <dsp:spPr>
        <a:xfrm>
          <a:off x="2680248" y="1915464"/>
          <a:ext cx="902080" cy="9020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Produktai</a:t>
          </a:r>
        </a:p>
      </dsp:txBody>
      <dsp:txXfrm>
        <a:off x="2812355" y="2047571"/>
        <a:ext cx="637866" cy="637866"/>
      </dsp:txXfrm>
    </dsp:sp>
    <dsp:sp modelId="{7A470545-4AE3-47F4-A7B8-1BEE0FE4FD34}">
      <dsp:nvSpPr>
        <dsp:cNvPr id="0" name=""/>
        <dsp:cNvSpPr/>
      </dsp:nvSpPr>
      <dsp:spPr>
        <a:xfrm rot="13500000">
          <a:off x="2537381" y="1740230"/>
          <a:ext cx="239718" cy="3044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lt-LT" sz="1300" kern="1200"/>
        </a:p>
      </dsp:txBody>
      <dsp:txXfrm rot="10800000">
        <a:off x="2598764" y="1826546"/>
        <a:ext cx="167803" cy="182672"/>
      </dsp:txXfrm>
    </dsp:sp>
    <dsp:sp modelId="{5811B5F5-2ECF-457D-B09E-72D1BDB0FB04}">
      <dsp:nvSpPr>
        <dsp:cNvPr id="0" name=""/>
        <dsp:cNvSpPr/>
      </dsp:nvSpPr>
      <dsp:spPr>
        <a:xfrm>
          <a:off x="1722557" y="957773"/>
          <a:ext cx="902080" cy="9020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Pardavimai</a:t>
          </a:r>
        </a:p>
      </dsp:txBody>
      <dsp:txXfrm>
        <a:off x="1854664" y="1089880"/>
        <a:ext cx="637866" cy="637866"/>
      </dsp:txXfrm>
    </dsp:sp>
    <dsp:sp modelId="{E2CB92DD-55F7-43F7-BE3F-C29505AFCD28}">
      <dsp:nvSpPr>
        <dsp:cNvPr id="0" name=""/>
        <dsp:cNvSpPr/>
      </dsp:nvSpPr>
      <dsp:spPr>
        <a:xfrm rot="18900000">
          <a:off x="2527786" y="782539"/>
          <a:ext cx="239718" cy="30445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lt-LT" sz="1300" kern="1200"/>
        </a:p>
      </dsp:txBody>
      <dsp:txXfrm>
        <a:off x="2538318" y="868855"/>
        <a:ext cx="167803" cy="1826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5B7C5A-9926-4257-BA8A-81ED6168AF5C}">
      <dsp:nvSpPr>
        <dsp:cNvPr id="0" name=""/>
        <dsp:cNvSpPr/>
      </dsp:nvSpPr>
      <dsp:spPr>
        <a:xfrm>
          <a:off x="2331426" y="1560849"/>
          <a:ext cx="1344542" cy="908039"/>
        </a:xfrm>
        <a:prstGeom prst="ellipse">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b="1" kern="1200">
              <a:latin typeface="Times New Roman" pitchFamily="18" charset="0"/>
              <a:cs typeface="Times New Roman" pitchFamily="18" charset="0"/>
            </a:rPr>
            <a:t>Biržoje kotiruojamos Lietuvos įmonės</a:t>
          </a:r>
        </a:p>
      </dsp:txBody>
      <dsp:txXfrm>
        <a:off x="2528330" y="1693828"/>
        <a:ext cx="950734" cy="642081"/>
      </dsp:txXfrm>
    </dsp:sp>
    <dsp:sp modelId="{BFB09372-307C-4793-B0CC-86857AED5D04}">
      <dsp:nvSpPr>
        <dsp:cNvPr id="0" name=""/>
        <dsp:cNvSpPr/>
      </dsp:nvSpPr>
      <dsp:spPr>
        <a:xfrm rot="16200000">
          <a:off x="2685275" y="1228823"/>
          <a:ext cx="636845" cy="27207"/>
        </a:xfrm>
        <a:custGeom>
          <a:avLst/>
          <a:gdLst/>
          <a:ahLst/>
          <a:cxnLst/>
          <a:rect l="0" t="0" r="0" b="0"/>
          <a:pathLst>
            <a:path>
              <a:moveTo>
                <a:pt x="0" y="13603"/>
              </a:moveTo>
              <a:lnTo>
                <a:pt x="636845"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987776" y="1226506"/>
        <a:ext cx="31842" cy="31842"/>
      </dsp:txXfrm>
    </dsp:sp>
    <dsp:sp modelId="{F05A2DC3-6294-4C04-AD49-D9BF823DC718}">
      <dsp:nvSpPr>
        <dsp:cNvPr id="0" name=""/>
        <dsp:cNvSpPr/>
      </dsp:nvSpPr>
      <dsp:spPr>
        <a:xfrm>
          <a:off x="2549678" y="15965"/>
          <a:ext cx="908039"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paslaugos vartotojams</a:t>
          </a:r>
        </a:p>
      </dsp:txBody>
      <dsp:txXfrm>
        <a:off x="2682657" y="148944"/>
        <a:ext cx="642081" cy="642081"/>
      </dsp:txXfrm>
    </dsp:sp>
    <dsp:sp modelId="{EC1DFB6F-F860-4C11-BE9F-29431E2AD8A0}">
      <dsp:nvSpPr>
        <dsp:cNvPr id="0" name=""/>
        <dsp:cNvSpPr/>
      </dsp:nvSpPr>
      <dsp:spPr>
        <a:xfrm rot="18900000">
          <a:off x="3298121" y="1427460"/>
          <a:ext cx="558763" cy="27207"/>
        </a:xfrm>
        <a:custGeom>
          <a:avLst/>
          <a:gdLst/>
          <a:ahLst/>
          <a:cxnLst/>
          <a:rect l="0" t="0" r="0" b="0"/>
          <a:pathLst>
            <a:path>
              <a:moveTo>
                <a:pt x="0" y="13603"/>
              </a:moveTo>
              <a:lnTo>
                <a:pt x="558763"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3563533" y="1427095"/>
        <a:ext cx="27938" cy="27938"/>
      </dsp:txXfrm>
    </dsp:sp>
    <dsp:sp modelId="{BEB511E1-446B-4792-86B6-73174CC1F5CD}">
      <dsp:nvSpPr>
        <dsp:cNvPr id="0" name=""/>
        <dsp:cNvSpPr/>
      </dsp:nvSpPr>
      <dsp:spPr>
        <a:xfrm>
          <a:off x="3642076" y="468451"/>
          <a:ext cx="908039"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pramoniniai gaminiai</a:t>
          </a:r>
        </a:p>
      </dsp:txBody>
      <dsp:txXfrm>
        <a:off x="3775055" y="601430"/>
        <a:ext cx="642081" cy="642081"/>
      </dsp:txXfrm>
    </dsp:sp>
    <dsp:sp modelId="{9BDAC0ED-FDE0-4300-BBF5-578AD7F4C2F3}">
      <dsp:nvSpPr>
        <dsp:cNvPr id="0" name=""/>
        <dsp:cNvSpPr/>
      </dsp:nvSpPr>
      <dsp:spPr>
        <a:xfrm>
          <a:off x="3675969" y="2001265"/>
          <a:ext cx="418593" cy="27207"/>
        </a:xfrm>
        <a:custGeom>
          <a:avLst/>
          <a:gdLst/>
          <a:ahLst/>
          <a:cxnLst/>
          <a:rect l="0" t="0" r="0" b="0"/>
          <a:pathLst>
            <a:path>
              <a:moveTo>
                <a:pt x="0" y="13603"/>
              </a:moveTo>
              <a:lnTo>
                <a:pt x="418593"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3874801" y="2004404"/>
        <a:ext cx="20929" cy="20929"/>
      </dsp:txXfrm>
    </dsp:sp>
    <dsp:sp modelId="{C68A2349-FF32-44CB-B9C2-27B318FB9598}">
      <dsp:nvSpPr>
        <dsp:cNvPr id="0" name=""/>
        <dsp:cNvSpPr/>
      </dsp:nvSpPr>
      <dsp:spPr>
        <a:xfrm>
          <a:off x="4094562" y="1560849"/>
          <a:ext cx="908039"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pagrindinės medžiagos</a:t>
          </a:r>
        </a:p>
      </dsp:txBody>
      <dsp:txXfrm>
        <a:off x="4227541" y="1693828"/>
        <a:ext cx="642081" cy="642081"/>
      </dsp:txXfrm>
    </dsp:sp>
    <dsp:sp modelId="{D5EAF004-F612-4998-8F2D-4A0E81D07163}">
      <dsp:nvSpPr>
        <dsp:cNvPr id="0" name=""/>
        <dsp:cNvSpPr/>
      </dsp:nvSpPr>
      <dsp:spPr>
        <a:xfrm rot="2700000">
          <a:off x="3298121" y="2575070"/>
          <a:ext cx="558763" cy="27207"/>
        </a:xfrm>
        <a:custGeom>
          <a:avLst/>
          <a:gdLst/>
          <a:ahLst/>
          <a:cxnLst/>
          <a:rect l="0" t="0" r="0" b="0"/>
          <a:pathLst>
            <a:path>
              <a:moveTo>
                <a:pt x="0" y="13603"/>
              </a:moveTo>
              <a:lnTo>
                <a:pt x="558763"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3563533" y="2574705"/>
        <a:ext cx="27938" cy="27938"/>
      </dsp:txXfrm>
    </dsp:sp>
    <dsp:sp modelId="{6B52E294-EA5D-47BF-BFE7-CC59C05A0255}">
      <dsp:nvSpPr>
        <dsp:cNvPr id="0" name=""/>
        <dsp:cNvSpPr/>
      </dsp:nvSpPr>
      <dsp:spPr>
        <a:xfrm>
          <a:off x="3642076" y="2653248"/>
          <a:ext cx="908039"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finansų paslaugos</a:t>
          </a:r>
        </a:p>
      </dsp:txBody>
      <dsp:txXfrm>
        <a:off x="3775055" y="2786227"/>
        <a:ext cx="642081" cy="642081"/>
      </dsp:txXfrm>
    </dsp:sp>
    <dsp:sp modelId="{B68BB809-BD21-413B-9F09-E0B5D67A125D}">
      <dsp:nvSpPr>
        <dsp:cNvPr id="0" name=""/>
        <dsp:cNvSpPr/>
      </dsp:nvSpPr>
      <dsp:spPr>
        <a:xfrm rot="5400000">
          <a:off x="2685275" y="2773707"/>
          <a:ext cx="636845" cy="27207"/>
        </a:xfrm>
        <a:custGeom>
          <a:avLst/>
          <a:gdLst/>
          <a:ahLst/>
          <a:cxnLst/>
          <a:rect l="0" t="0" r="0" b="0"/>
          <a:pathLst>
            <a:path>
              <a:moveTo>
                <a:pt x="0" y="13603"/>
              </a:moveTo>
              <a:lnTo>
                <a:pt x="636845"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987776" y="2771390"/>
        <a:ext cx="31842" cy="31842"/>
      </dsp:txXfrm>
    </dsp:sp>
    <dsp:sp modelId="{E7F4063C-9ED4-45AE-90E4-78F5ADFBC291}">
      <dsp:nvSpPr>
        <dsp:cNvPr id="0" name=""/>
        <dsp:cNvSpPr/>
      </dsp:nvSpPr>
      <dsp:spPr>
        <a:xfrm>
          <a:off x="2515803" y="3105734"/>
          <a:ext cx="975788"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komunalinės paslaugos</a:t>
          </a:r>
        </a:p>
      </dsp:txBody>
      <dsp:txXfrm>
        <a:off x="2658704" y="3238713"/>
        <a:ext cx="689986" cy="642081"/>
      </dsp:txXfrm>
    </dsp:sp>
    <dsp:sp modelId="{E611EE32-0590-434D-872D-A8CD306287EB}">
      <dsp:nvSpPr>
        <dsp:cNvPr id="0" name=""/>
        <dsp:cNvSpPr/>
      </dsp:nvSpPr>
      <dsp:spPr>
        <a:xfrm rot="8100000">
          <a:off x="2150510" y="2575070"/>
          <a:ext cx="558763" cy="27207"/>
        </a:xfrm>
        <a:custGeom>
          <a:avLst/>
          <a:gdLst/>
          <a:ahLst/>
          <a:cxnLst/>
          <a:rect l="0" t="0" r="0" b="0"/>
          <a:pathLst>
            <a:path>
              <a:moveTo>
                <a:pt x="0" y="13603"/>
              </a:moveTo>
              <a:lnTo>
                <a:pt x="558763"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rot="10800000">
        <a:off x="2415923" y="2574705"/>
        <a:ext cx="27938" cy="27938"/>
      </dsp:txXfrm>
    </dsp:sp>
    <dsp:sp modelId="{CF4B5ECD-1F61-4513-AB44-2090AE29E4A7}">
      <dsp:nvSpPr>
        <dsp:cNvPr id="0" name=""/>
        <dsp:cNvSpPr/>
      </dsp:nvSpPr>
      <dsp:spPr>
        <a:xfrm>
          <a:off x="1457280" y="2653248"/>
          <a:ext cx="908039"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plataus vartojimo prekės</a:t>
          </a:r>
        </a:p>
      </dsp:txBody>
      <dsp:txXfrm>
        <a:off x="1590259" y="2786227"/>
        <a:ext cx="642081" cy="642081"/>
      </dsp:txXfrm>
    </dsp:sp>
    <dsp:sp modelId="{45939D47-69E7-4892-87AA-29544978832E}">
      <dsp:nvSpPr>
        <dsp:cNvPr id="0" name=""/>
        <dsp:cNvSpPr/>
      </dsp:nvSpPr>
      <dsp:spPr>
        <a:xfrm rot="10800000">
          <a:off x="1912833" y="2001265"/>
          <a:ext cx="418593" cy="27207"/>
        </a:xfrm>
        <a:custGeom>
          <a:avLst/>
          <a:gdLst/>
          <a:ahLst/>
          <a:cxnLst/>
          <a:rect l="0" t="0" r="0" b="0"/>
          <a:pathLst>
            <a:path>
              <a:moveTo>
                <a:pt x="0" y="13603"/>
              </a:moveTo>
              <a:lnTo>
                <a:pt x="418593"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rot="10800000">
        <a:off x="2111665" y="2004404"/>
        <a:ext cx="20929" cy="20929"/>
      </dsp:txXfrm>
    </dsp:sp>
    <dsp:sp modelId="{0D5E6F16-9B8E-4DCD-B53F-6612890895B1}">
      <dsp:nvSpPr>
        <dsp:cNvPr id="0" name=""/>
        <dsp:cNvSpPr/>
      </dsp:nvSpPr>
      <dsp:spPr>
        <a:xfrm>
          <a:off x="1004793" y="1560849"/>
          <a:ext cx="908039"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sveikatos priežiūra</a:t>
          </a:r>
        </a:p>
      </dsp:txBody>
      <dsp:txXfrm>
        <a:off x="1137772" y="1693828"/>
        <a:ext cx="642081" cy="642081"/>
      </dsp:txXfrm>
    </dsp:sp>
    <dsp:sp modelId="{2B4ACBB8-ED6E-418F-9E53-9374C6F73287}">
      <dsp:nvSpPr>
        <dsp:cNvPr id="0" name=""/>
        <dsp:cNvSpPr/>
      </dsp:nvSpPr>
      <dsp:spPr>
        <a:xfrm rot="13500000">
          <a:off x="2150510" y="1427460"/>
          <a:ext cx="558763" cy="27207"/>
        </a:xfrm>
        <a:custGeom>
          <a:avLst/>
          <a:gdLst/>
          <a:ahLst/>
          <a:cxnLst/>
          <a:rect l="0" t="0" r="0" b="0"/>
          <a:pathLst>
            <a:path>
              <a:moveTo>
                <a:pt x="0" y="13603"/>
              </a:moveTo>
              <a:lnTo>
                <a:pt x="558763" y="13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rot="10800000">
        <a:off x="2415923" y="1427095"/>
        <a:ext cx="27938" cy="27938"/>
      </dsp:txXfrm>
    </dsp:sp>
    <dsp:sp modelId="{30311AA0-678A-493C-9F7A-7DEC3149BE40}">
      <dsp:nvSpPr>
        <dsp:cNvPr id="0" name=""/>
        <dsp:cNvSpPr/>
      </dsp:nvSpPr>
      <dsp:spPr>
        <a:xfrm>
          <a:off x="1457280" y="468451"/>
          <a:ext cx="908039" cy="9080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telekomuni-kacijos</a:t>
          </a:r>
        </a:p>
      </dsp:txBody>
      <dsp:txXfrm>
        <a:off x="1590259" y="601430"/>
        <a:ext cx="642081" cy="64208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481E6-D3D6-4855-BF5C-C14198E1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74</Pages>
  <Words>22085</Words>
  <Characters>125886</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dc:creator>
  <cp:keywords/>
  <dc:description/>
  <cp:lastModifiedBy>Rima</cp:lastModifiedBy>
  <cp:revision>54</cp:revision>
  <cp:lastPrinted>2013-04-14T19:35:00Z</cp:lastPrinted>
  <dcterms:created xsi:type="dcterms:W3CDTF">2013-04-07T19:41:00Z</dcterms:created>
  <dcterms:modified xsi:type="dcterms:W3CDTF">2013-05-14T16:52:00Z</dcterms:modified>
</cp:coreProperties>
</file>