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diagrams/drawing3.xml" ContentType="application/vnd.ms-office.drawingml.diagramDrawing+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diagrams/drawing2.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sz w:val="24"/>
          <w:szCs w:val="24"/>
          <w:lang w:val="lt-LT"/>
        </w:rPr>
        <w:id w:val="5840938"/>
        <w:docPartObj>
          <w:docPartGallery w:val="Cover Pages"/>
          <w:docPartUnique/>
        </w:docPartObj>
      </w:sdtPr>
      <w:sdtEndPr>
        <w:rPr>
          <w:rFonts w:ascii="Times New Roman" w:eastAsia="Times New Roman" w:hAnsi="Times New Roman" w:cs="Times New Roman"/>
          <w:caps w:val="0"/>
        </w:rPr>
      </w:sdtEndPr>
      <w:sdtContent>
        <w:tbl>
          <w:tblPr>
            <w:tblW w:w="5000" w:type="pct"/>
            <w:jc w:val="center"/>
            <w:tblLook w:val="04A0"/>
          </w:tblPr>
          <w:tblGrid>
            <w:gridCol w:w="9855"/>
          </w:tblGrid>
          <w:tr w:rsidR="00BB703E" w:rsidRPr="0006604A">
            <w:trPr>
              <w:trHeight w:val="2880"/>
              <w:jc w:val="center"/>
            </w:trPr>
            <w:tc>
              <w:tcPr>
                <w:tcW w:w="5000" w:type="pct"/>
              </w:tcPr>
              <w:p w:rsidR="00BB703E" w:rsidRPr="00B4349A" w:rsidRDefault="00DF59EC" w:rsidP="00113D43">
                <w:pPr>
                  <w:pStyle w:val="NoSpacing"/>
                  <w:jc w:val="center"/>
                  <w:rPr>
                    <w:rFonts w:ascii="Times New Roman" w:eastAsiaTheme="majorEastAsia" w:hAnsi="Times New Roman" w:cs="Times New Roman"/>
                    <w:caps/>
                    <w:sz w:val="32"/>
                    <w:szCs w:val="32"/>
                    <w:lang w:val="lt-LT"/>
                  </w:rPr>
                </w:pPr>
                <w:r w:rsidRPr="00B4349A">
                  <w:rPr>
                    <w:rFonts w:ascii="Times New Roman" w:eastAsiaTheme="majorEastAsia" w:hAnsi="Times New Roman" w:cs="Times New Roman"/>
                    <w:caps/>
                    <w:sz w:val="32"/>
                    <w:szCs w:val="32"/>
                    <w:lang w:val="lt-LT"/>
                  </w:rPr>
                  <w:t>MYKOLO ROMERIO UNIVERSITET</w:t>
                </w:r>
                <w:r w:rsidR="00F8512B" w:rsidRPr="00B4349A">
                  <w:rPr>
                    <w:rFonts w:ascii="Times New Roman" w:eastAsiaTheme="majorEastAsia" w:hAnsi="Times New Roman" w:cs="Times New Roman"/>
                    <w:caps/>
                    <w:sz w:val="32"/>
                    <w:szCs w:val="32"/>
                    <w:lang w:val="lt-LT"/>
                  </w:rPr>
                  <w:t>AS</w:t>
                </w:r>
              </w:p>
              <w:p w:rsidR="005C789B" w:rsidRPr="00B4349A" w:rsidRDefault="00F8512B" w:rsidP="00113D43">
                <w:pPr>
                  <w:pStyle w:val="NoSpacing"/>
                  <w:jc w:val="center"/>
                  <w:rPr>
                    <w:rFonts w:ascii="Times New Roman" w:eastAsiaTheme="majorEastAsia" w:hAnsi="Times New Roman" w:cs="Times New Roman"/>
                    <w:caps/>
                    <w:sz w:val="32"/>
                    <w:szCs w:val="32"/>
                    <w:lang w:val="lt-LT"/>
                  </w:rPr>
                </w:pPr>
                <w:r w:rsidRPr="00B4349A">
                  <w:rPr>
                    <w:rFonts w:ascii="Times New Roman" w:eastAsiaTheme="majorEastAsia" w:hAnsi="Times New Roman" w:cs="Times New Roman"/>
                    <w:caps/>
                    <w:sz w:val="32"/>
                    <w:szCs w:val="32"/>
                    <w:lang w:val="lt-LT"/>
                  </w:rPr>
                  <w:t>TEISĖS FAKULTETAS</w:t>
                </w:r>
              </w:p>
              <w:p w:rsidR="005C789B" w:rsidRPr="00B4349A" w:rsidRDefault="005C789B" w:rsidP="00113D43">
                <w:pPr>
                  <w:pStyle w:val="NoSpacing"/>
                  <w:jc w:val="center"/>
                  <w:rPr>
                    <w:rFonts w:ascii="Times New Roman" w:eastAsiaTheme="majorEastAsia" w:hAnsi="Times New Roman" w:cs="Times New Roman"/>
                    <w:caps/>
                    <w:sz w:val="32"/>
                    <w:szCs w:val="32"/>
                    <w:lang w:val="lt-LT"/>
                  </w:rPr>
                </w:pPr>
                <w:r w:rsidRPr="00B4349A">
                  <w:rPr>
                    <w:rFonts w:ascii="Times New Roman" w:eastAsiaTheme="majorEastAsia" w:hAnsi="Times New Roman" w:cs="Times New Roman"/>
                    <w:caps/>
                    <w:sz w:val="32"/>
                    <w:szCs w:val="32"/>
                    <w:lang w:val="lt-LT"/>
                  </w:rPr>
                  <w:t>TARPTAUTINĖS IR EUROPOS SĄJUNGOS TEISĖS KATEDRA</w:t>
                </w:r>
              </w:p>
              <w:p w:rsidR="005C789B" w:rsidRPr="0006604A" w:rsidRDefault="005C789B" w:rsidP="00113D43">
                <w:pPr>
                  <w:pStyle w:val="NoSpacing"/>
                  <w:jc w:val="center"/>
                  <w:rPr>
                    <w:rFonts w:asciiTheme="majorHAnsi" w:eastAsiaTheme="majorEastAsia" w:hAnsiTheme="majorHAnsi" w:cstheme="majorBidi"/>
                    <w:caps/>
                    <w:sz w:val="24"/>
                    <w:szCs w:val="24"/>
                    <w:lang w:val="lt-LT"/>
                  </w:rPr>
                </w:pPr>
              </w:p>
              <w:p w:rsidR="005C789B" w:rsidRPr="0006604A" w:rsidRDefault="005C789B" w:rsidP="00113D43">
                <w:pPr>
                  <w:pStyle w:val="NoSpacing"/>
                  <w:jc w:val="center"/>
                  <w:rPr>
                    <w:rFonts w:asciiTheme="majorHAnsi" w:eastAsiaTheme="majorEastAsia" w:hAnsiTheme="majorHAnsi" w:cstheme="majorBidi"/>
                    <w:caps/>
                    <w:sz w:val="24"/>
                    <w:szCs w:val="24"/>
                    <w:lang w:val="lt-LT"/>
                  </w:rPr>
                </w:pPr>
              </w:p>
              <w:p w:rsidR="007928EF" w:rsidRDefault="007928EF" w:rsidP="00DF59EC">
                <w:pPr>
                  <w:pStyle w:val="NoSpacing"/>
                  <w:rPr>
                    <w:rFonts w:asciiTheme="majorHAnsi" w:eastAsiaTheme="majorEastAsia" w:hAnsiTheme="majorHAnsi" w:cstheme="majorBidi"/>
                    <w:caps/>
                    <w:sz w:val="24"/>
                    <w:szCs w:val="24"/>
                    <w:lang w:val="lt-LT"/>
                  </w:rPr>
                </w:pPr>
              </w:p>
              <w:p w:rsidR="00DF59EC" w:rsidRDefault="00DF59EC" w:rsidP="00DF59EC">
                <w:pPr>
                  <w:pStyle w:val="NoSpacing"/>
                  <w:rPr>
                    <w:rFonts w:asciiTheme="majorHAnsi" w:eastAsiaTheme="majorEastAsia" w:hAnsiTheme="majorHAnsi" w:cstheme="majorBidi"/>
                    <w:caps/>
                    <w:sz w:val="24"/>
                    <w:szCs w:val="24"/>
                    <w:lang w:val="lt-LT"/>
                  </w:rPr>
                </w:pPr>
              </w:p>
              <w:p w:rsidR="00B7475F" w:rsidRDefault="00B7475F" w:rsidP="00B7475F">
                <w:pPr>
                  <w:pStyle w:val="NoSpacing"/>
                  <w:rPr>
                    <w:rFonts w:ascii="Times New Roman" w:eastAsiaTheme="majorEastAsia" w:hAnsi="Times New Roman" w:cs="Times New Roman"/>
                    <w:caps/>
                    <w:sz w:val="32"/>
                    <w:szCs w:val="32"/>
                    <w:lang w:val="lt-LT"/>
                  </w:rPr>
                </w:pPr>
              </w:p>
              <w:p w:rsidR="00943C3C" w:rsidRPr="00B4349A" w:rsidRDefault="00943C3C" w:rsidP="00DF59EC">
                <w:pPr>
                  <w:pStyle w:val="NoSpacing"/>
                  <w:jc w:val="center"/>
                  <w:rPr>
                    <w:rFonts w:ascii="Times New Roman" w:eastAsiaTheme="majorEastAsia" w:hAnsi="Times New Roman" w:cs="Times New Roman"/>
                    <w:caps/>
                    <w:sz w:val="28"/>
                    <w:szCs w:val="28"/>
                    <w:lang w:val="lt-LT"/>
                  </w:rPr>
                </w:pPr>
              </w:p>
              <w:p w:rsidR="00B4349A" w:rsidRDefault="00B4349A" w:rsidP="00DF59EC">
                <w:pPr>
                  <w:pStyle w:val="NoSpacing"/>
                  <w:jc w:val="center"/>
                  <w:rPr>
                    <w:rFonts w:ascii="Times New Roman" w:eastAsiaTheme="majorEastAsia" w:hAnsi="Times New Roman" w:cs="Times New Roman"/>
                    <w:caps/>
                    <w:sz w:val="28"/>
                    <w:szCs w:val="28"/>
                    <w:lang w:val="lt-LT"/>
                  </w:rPr>
                </w:pPr>
              </w:p>
              <w:p w:rsidR="007928EF" w:rsidRPr="00B4349A" w:rsidRDefault="003B0F2A" w:rsidP="00DF59EC">
                <w:pPr>
                  <w:pStyle w:val="NoSpacing"/>
                  <w:jc w:val="center"/>
                  <w:rPr>
                    <w:rFonts w:ascii="Times New Roman" w:eastAsiaTheme="majorEastAsia" w:hAnsi="Times New Roman" w:cs="Times New Roman"/>
                    <w:caps/>
                    <w:sz w:val="28"/>
                    <w:szCs w:val="28"/>
                    <w:lang w:val="lt-LT"/>
                  </w:rPr>
                </w:pPr>
                <w:r w:rsidRPr="00B4349A">
                  <w:rPr>
                    <w:rFonts w:ascii="Times New Roman" w:eastAsiaTheme="majorEastAsia" w:hAnsi="Times New Roman" w:cs="Times New Roman"/>
                    <w:caps/>
                    <w:sz w:val="28"/>
                    <w:szCs w:val="28"/>
                    <w:lang w:val="lt-LT"/>
                  </w:rPr>
                  <w:t>Lina mikšy</w:t>
                </w:r>
                <w:r w:rsidR="00DF59EC" w:rsidRPr="00B4349A">
                  <w:rPr>
                    <w:rFonts w:ascii="Times New Roman" w:eastAsiaTheme="majorEastAsia" w:hAnsi="Times New Roman" w:cs="Times New Roman"/>
                    <w:caps/>
                    <w:sz w:val="28"/>
                    <w:szCs w:val="28"/>
                    <w:lang w:val="lt-LT"/>
                  </w:rPr>
                  <w:t>t</w:t>
                </w:r>
                <w:r w:rsidRPr="00B4349A">
                  <w:rPr>
                    <w:rFonts w:ascii="Times New Roman" w:eastAsiaTheme="majorEastAsia" w:hAnsi="Times New Roman" w:cs="Times New Roman"/>
                    <w:caps/>
                    <w:sz w:val="28"/>
                    <w:szCs w:val="28"/>
                    <w:lang w:val="lt-LT"/>
                  </w:rPr>
                  <w:t>ė</w:t>
                </w:r>
              </w:p>
              <w:p w:rsidR="005C789B" w:rsidRPr="00B4349A" w:rsidRDefault="00B7475F" w:rsidP="00113D43">
                <w:pPr>
                  <w:pStyle w:val="NoSpacing"/>
                  <w:jc w:val="center"/>
                  <w:rPr>
                    <w:rFonts w:ascii="Times New Roman" w:eastAsiaTheme="majorEastAsia" w:hAnsi="Times New Roman" w:cs="Times New Roman"/>
                    <w:caps/>
                    <w:sz w:val="28"/>
                    <w:szCs w:val="28"/>
                    <w:lang w:val="lt-LT"/>
                  </w:rPr>
                </w:pPr>
                <w:r w:rsidRPr="00B4349A">
                  <w:rPr>
                    <w:rFonts w:ascii="Times New Roman" w:eastAsiaTheme="majorEastAsia" w:hAnsi="Times New Roman" w:cs="Times New Roman"/>
                    <w:caps/>
                    <w:sz w:val="28"/>
                    <w:szCs w:val="28"/>
                    <w:lang w:val="lt-LT"/>
                  </w:rPr>
                  <w:t>(TARPTAUTINĖ</w:t>
                </w:r>
                <w:r w:rsidR="00E95FBA" w:rsidRPr="00B4349A">
                  <w:rPr>
                    <w:rFonts w:ascii="Times New Roman" w:eastAsiaTheme="majorEastAsia" w:hAnsi="Times New Roman" w:cs="Times New Roman"/>
                    <w:caps/>
                    <w:sz w:val="28"/>
                    <w:szCs w:val="28"/>
                    <w:lang w:val="lt-LT"/>
                  </w:rPr>
                  <w:t>s</w:t>
                </w:r>
                <w:r w:rsidRPr="00B4349A">
                  <w:rPr>
                    <w:rFonts w:ascii="Times New Roman" w:eastAsiaTheme="majorEastAsia" w:hAnsi="Times New Roman" w:cs="Times New Roman"/>
                    <w:caps/>
                    <w:sz w:val="28"/>
                    <w:szCs w:val="28"/>
                    <w:lang w:val="lt-LT"/>
                  </w:rPr>
                  <w:t xml:space="preserve"> TEISĖ</w:t>
                </w:r>
                <w:r w:rsidR="00E95FBA" w:rsidRPr="00B4349A">
                  <w:rPr>
                    <w:rFonts w:ascii="Times New Roman" w:eastAsiaTheme="majorEastAsia" w:hAnsi="Times New Roman" w:cs="Times New Roman"/>
                    <w:caps/>
                    <w:sz w:val="28"/>
                    <w:szCs w:val="28"/>
                    <w:lang w:val="lt-LT"/>
                  </w:rPr>
                  <w:t>s studijų programa</w:t>
                </w:r>
                <w:r w:rsidRPr="00B4349A">
                  <w:rPr>
                    <w:rFonts w:ascii="Times New Roman" w:eastAsiaTheme="majorEastAsia" w:hAnsi="Times New Roman" w:cs="Times New Roman"/>
                    <w:caps/>
                    <w:sz w:val="28"/>
                    <w:szCs w:val="28"/>
                    <w:lang w:val="lt-LT"/>
                  </w:rPr>
                  <w:t>)</w:t>
                </w:r>
              </w:p>
              <w:p w:rsidR="005C789B" w:rsidRDefault="005C789B" w:rsidP="00113D43">
                <w:pPr>
                  <w:pStyle w:val="NoSpacing"/>
                  <w:jc w:val="center"/>
                  <w:rPr>
                    <w:rFonts w:ascii="Times New Roman" w:eastAsiaTheme="majorEastAsia" w:hAnsi="Times New Roman" w:cs="Times New Roman"/>
                    <w:caps/>
                    <w:sz w:val="40"/>
                    <w:szCs w:val="40"/>
                    <w:lang w:val="lt-LT"/>
                  </w:rPr>
                </w:pPr>
              </w:p>
              <w:p w:rsidR="003B0F2A" w:rsidRPr="003B0F2A" w:rsidRDefault="003B0F2A" w:rsidP="00B7475F">
                <w:pPr>
                  <w:pStyle w:val="NoSpacing"/>
                  <w:rPr>
                    <w:rFonts w:ascii="Times New Roman" w:eastAsiaTheme="majorEastAsia" w:hAnsi="Times New Roman" w:cs="Times New Roman"/>
                    <w:caps/>
                    <w:sz w:val="40"/>
                    <w:szCs w:val="40"/>
                    <w:lang w:val="lt-LT"/>
                  </w:rPr>
                </w:pPr>
              </w:p>
              <w:p w:rsidR="00DF59EC" w:rsidRPr="00B4349A" w:rsidRDefault="00DF59EC" w:rsidP="00B7475F">
                <w:pPr>
                  <w:pStyle w:val="NoSpacing"/>
                  <w:rPr>
                    <w:rFonts w:ascii="Times New Roman" w:eastAsiaTheme="majorEastAsia" w:hAnsi="Times New Roman" w:cs="Times New Roman"/>
                    <w:caps/>
                    <w:sz w:val="36"/>
                    <w:szCs w:val="36"/>
                    <w:lang w:val="lt-LT"/>
                  </w:rPr>
                </w:pPr>
              </w:p>
              <w:p w:rsidR="00B7475F" w:rsidRPr="00B4349A" w:rsidRDefault="00B7475F" w:rsidP="00113D43">
                <w:pPr>
                  <w:pStyle w:val="NoSpacing"/>
                  <w:jc w:val="center"/>
                  <w:rPr>
                    <w:rFonts w:ascii="Times New Roman" w:eastAsiaTheme="majorEastAsia" w:hAnsi="Times New Roman" w:cs="Times New Roman"/>
                    <w:caps/>
                    <w:sz w:val="36"/>
                    <w:szCs w:val="36"/>
                    <w:lang w:val="lt-LT"/>
                  </w:rPr>
                </w:pPr>
              </w:p>
              <w:p w:rsidR="005C789B" w:rsidRPr="0006604A" w:rsidRDefault="003B0F2A" w:rsidP="00B4349A">
                <w:pPr>
                  <w:pStyle w:val="NoSpacing"/>
                  <w:jc w:val="center"/>
                  <w:rPr>
                    <w:rFonts w:asciiTheme="majorHAnsi" w:eastAsiaTheme="majorEastAsia" w:hAnsiTheme="majorHAnsi" w:cstheme="majorBidi"/>
                    <w:caps/>
                    <w:sz w:val="24"/>
                    <w:szCs w:val="24"/>
                    <w:lang w:val="lt-LT"/>
                  </w:rPr>
                </w:pPr>
                <w:r w:rsidRPr="00B4349A">
                  <w:rPr>
                    <w:rFonts w:ascii="Times New Roman" w:eastAsiaTheme="majorEastAsia" w:hAnsi="Times New Roman" w:cs="Times New Roman"/>
                    <w:caps/>
                    <w:sz w:val="36"/>
                    <w:szCs w:val="36"/>
                    <w:lang w:val="lt-LT"/>
                  </w:rPr>
                  <w:t xml:space="preserve">JUNGTINIŲ TAUTŲ TAIKOS </w:t>
                </w:r>
                <w:r w:rsidR="001D0936" w:rsidRPr="00B4349A">
                  <w:rPr>
                    <w:rFonts w:ascii="Times New Roman" w:eastAsiaTheme="majorEastAsia" w:hAnsi="Times New Roman" w:cs="Times New Roman"/>
                    <w:caps/>
                    <w:sz w:val="36"/>
                    <w:szCs w:val="36"/>
                    <w:lang w:val="lt-LT"/>
                  </w:rPr>
                  <w:t xml:space="preserve">Palaikymo </w:t>
                </w:r>
                <w:r w:rsidRPr="00B4349A">
                  <w:rPr>
                    <w:rFonts w:ascii="Times New Roman" w:eastAsiaTheme="majorEastAsia" w:hAnsi="Times New Roman" w:cs="Times New Roman"/>
                    <w:caps/>
                    <w:sz w:val="36"/>
                    <w:szCs w:val="36"/>
                    <w:lang w:val="lt-LT"/>
                  </w:rPr>
                  <w:t>MISIJŲ TEISINIS REGLAMENTAVIMAS</w:t>
                </w:r>
              </w:p>
            </w:tc>
          </w:tr>
          <w:tr w:rsidR="00BB703E" w:rsidRPr="0006604A">
            <w:trPr>
              <w:trHeight w:val="360"/>
              <w:jc w:val="center"/>
            </w:trPr>
            <w:tc>
              <w:tcPr>
                <w:tcW w:w="5000" w:type="pct"/>
                <w:vAlign w:val="center"/>
              </w:tcPr>
              <w:p w:rsidR="00BB703E" w:rsidRDefault="00BB703E" w:rsidP="00113D43">
                <w:pPr>
                  <w:pStyle w:val="NoSpacing"/>
                  <w:jc w:val="center"/>
                  <w:rPr>
                    <w:rFonts w:ascii="Times New Roman" w:hAnsi="Times New Roman" w:cs="Times New Roman"/>
                    <w:sz w:val="28"/>
                    <w:szCs w:val="28"/>
                    <w:lang w:val="lt-LT"/>
                  </w:rPr>
                </w:pPr>
              </w:p>
              <w:p w:rsidR="00B7475F" w:rsidRPr="00B7475F" w:rsidRDefault="00B7475F" w:rsidP="00113D43">
                <w:pPr>
                  <w:pStyle w:val="NoSpacing"/>
                  <w:jc w:val="center"/>
                  <w:rPr>
                    <w:rFonts w:ascii="Times New Roman" w:hAnsi="Times New Roman" w:cs="Times New Roman"/>
                    <w:sz w:val="28"/>
                    <w:szCs w:val="28"/>
                    <w:lang w:val="lt-LT"/>
                  </w:rPr>
                </w:pPr>
                <w:r>
                  <w:rPr>
                    <w:rFonts w:ascii="Times New Roman" w:hAnsi="Times New Roman" w:cs="Times New Roman"/>
                    <w:sz w:val="28"/>
                    <w:szCs w:val="28"/>
                    <w:lang w:val="lt-LT"/>
                  </w:rPr>
                  <w:t>Magistro baigiamasis darbas</w:t>
                </w:r>
              </w:p>
              <w:p w:rsidR="007928EF" w:rsidRPr="0006604A" w:rsidRDefault="007928EF" w:rsidP="00113D43">
                <w:pPr>
                  <w:pStyle w:val="NoSpacing"/>
                  <w:jc w:val="center"/>
                  <w:rPr>
                    <w:sz w:val="24"/>
                    <w:szCs w:val="24"/>
                    <w:lang w:val="lt-LT"/>
                  </w:rPr>
                </w:pPr>
              </w:p>
              <w:p w:rsidR="007928EF" w:rsidRDefault="007928EF" w:rsidP="00DF59EC">
                <w:pPr>
                  <w:pStyle w:val="NoSpacing"/>
                  <w:rPr>
                    <w:sz w:val="24"/>
                    <w:szCs w:val="24"/>
                    <w:lang w:val="lt-LT"/>
                  </w:rPr>
                </w:pPr>
              </w:p>
              <w:p w:rsidR="008B2A7C" w:rsidRPr="0006604A" w:rsidRDefault="008B2A7C" w:rsidP="00113D43">
                <w:pPr>
                  <w:pStyle w:val="Default"/>
                </w:pPr>
              </w:p>
              <w:p w:rsidR="00DF59EC" w:rsidRDefault="00DF59EC" w:rsidP="00113D43">
                <w:pPr>
                  <w:pStyle w:val="BlockText"/>
                  <w:spacing w:after="120"/>
                  <w:ind w:left="6660"/>
                  <w:rPr>
                    <w:bCs/>
                    <w:color w:val="000000"/>
                  </w:rPr>
                </w:pPr>
              </w:p>
              <w:p w:rsidR="001D0936" w:rsidRDefault="001D0936" w:rsidP="00B4349A">
                <w:pPr>
                  <w:pStyle w:val="BlockText"/>
                  <w:spacing w:after="120"/>
                  <w:rPr>
                    <w:bCs/>
                    <w:color w:val="000000"/>
                    <w:sz w:val="28"/>
                    <w:szCs w:val="28"/>
                  </w:rPr>
                </w:pPr>
              </w:p>
              <w:p w:rsidR="00B4349A" w:rsidRDefault="00B4349A" w:rsidP="001D0936">
                <w:pPr>
                  <w:pStyle w:val="BlockText"/>
                  <w:spacing w:after="120"/>
                  <w:ind w:left="6660"/>
                  <w:jc w:val="center"/>
                  <w:rPr>
                    <w:bCs/>
                    <w:color w:val="000000"/>
                    <w:sz w:val="28"/>
                    <w:szCs w:val="28"/>
                  </w:rPr>
                </w:pPr>
              </w:p>
              <w:p w:rsidR="00B4349A" w:rsidRDefault="00B4349A" w:rsidP="001D0936">
                <w:pPr>
                  <w:pStyle w:val="BlockText"/>
                  <w:spacing w:after="120"/>
                  <w:ind w:left="6660"/>
                  <w:jc w:val="center"/>
                  <w:rPr>
                    <w:bCs/>
                    <w:color w:val="000000"/>
                    <w:sz w:val="28"/>
                    <w:szCs w:val="28"/>
                  </w:rPr>
                </w:pPr>
              </w:p>
              <w:p w:rsidR="008B2A7C" w:rsidRPr="00B7475F" w:rsidRDefault="008B2A7C" w:rsidP="001D0936">
                <w:pPr>
                  <w:pStyle w:val="BlockText"/>
                  <w:spacing w:after="120"/>
                  <w:ind w:left="6660"/>
                  <w:jc w:val="center"/>
                  <w:rPr>
                    <w:color w:val="000000"/>
                    <w:sz w:val="28"/>
                    <w:szCs w:val="28"/>
                  </w:rPr>
                </w:pPr>
                <w:r w:rsidRPr="00B7475F">
                  <w:rPr>
                    <w:bCs/>
                    <w:color w:val="000000"/>
                    <w:sz w:val="28"/>
                    <w:szCs w:val="28"/>
                  </w:rPr>
                  <w:t xml:space="preserve">Darbo vadovė: </w:t>
                </w:r>
              </w:p>
              <w:p w:rsidR="007928EF" w:rsidRPr="00B7475F" w:rsidRDefault="00734B42" w:rsidP="001D0936">
                <w:pPr>
                  <w:pStyle w:val="NoSpacing"/>
                  <w:ind w:left="6660"/>
                  <w:jc w:val="center"/>
                  <w:rPr>
                    <w:rFonts w:ascii="Times New Roman" w:hAnsi="Times New Roman" w:cs="Times New Roman"/>
                    <w:sz w:val="28"/>
                    <w:szCs w:val="28"/>
                    <w:lang w:val="lt-LT"/>
                  </w:rPr>
                </w:pPr>
                <w:r>
                  <w:rPr>
                    <w:rFonts w:ascii="Times New Roman" w:hAnsi="Times New Roman" w:cs="Times New Roman"/>
                    <w:bCs/>
                    <w:color w:val="000000"/>
                    <w:sz w:val="28"/>
                    <w:szCs w:val="28"/>
                    <w:lang w:val="lt-LT"/>
                  </w:rPr>
                  <w:t>d</w:t>
                </w:r>
                <w:r w:rsidR="008B2A7C" w:rsidRPr="00B7475F">
                  <w:rPr>
                    <w:rFonts w:ascii="Times New Roman" w:hAnsi="Times New Roman" w:cs="Times New Roman"/>
                    <w:bCs/>
                    <w:color w:val="000000"/>
                    <w:sz w:val="28"/>
                    <w:szCs w:val="28"/>
                    <w:lang w:val="lt-LT"/>
                  </w:rPr>
                  <w:t>r.</w:t>
                </w:r>
                <w:r w:rsidR="003B0F2A" w:rsidRPr="00B7475F">
                  <w:rPr>
                    <w:rFonts w:ascii="Times New Roman" w:hAnsi="Times New Roman" w:cs="Times New Roman"/>
                    <w:bCs/>
                    <w:color w:val="000000"/>
                    <w:sz w:val="28"/>
                    <w:szCs w:val="28"/>
                    <w:lang w:val="lt-LT"/>
                  </w:rPr>
                  <w:t xml:space="preserve"> R. Valutytė</w:t>
                </w:r>
              </w:p>
              <w:p w:rsidR="007928EF" w:rsidRPr="0006604A" w:rsidRDefault="007928EF" w:rsidP="00DF59EC">
                <w:pPr>
                  <w:pStyle w:val="NoSpacing"/>
                  <w:rPr>
                    <w:sz w:val="24"/>
                    <w:szCs w:val="24"/>
                    <w:lang w:val="lt-LT"/>
                  </w:rPr>
                </w:pPr>
              </w:p>
              <w:p w:rsidR="007928EF" w:rsidRPr="0006604A" w:rsidRDefault="007928EF" w:rsidP="00DF59EC">
                <w:pPr>
                  <w:pStyle w:val="NoSpacing"/>
                  <w:rPr>
                    <w:sz w:val="24"/>
                    <w:szCs w:val="24"/>
                    <w:lang w:val="lt-LT"/>
                  </w:rPr>
                </w:pPr>
              </w:p>
              <w:p w:rsidR="007928EF" w:rsidRPr="0006604A" w:rsidRDefault="007928EF" w:rsidP="00113D43">
                <w:pPr>
                  <w:pStyle w:val="NoSpacing"/>
                  <w:jc w:val="center"/>
                  <w:rPr>
                    <w:sz w:val="24"/>
                    <w:szCs w:val="24"/>
                    <w:lang w:val="lt-LT"/>
                  </w:rPr>
                </w:pPr>
              </w:p>
            </w:tc>
          </w:tr>
          <w:tr w:rsidR="00BB703E" w:rsidRPr="0006604A">
            <w:trPr>
              <w:trHeight w:val="360"/>
              <w:jc w:val="center"/>
            </w:trPr>
            <w:tc>
              <w:tcPr>
                <w:tcW w:w="5000" w:type="pct"/>
                <w:vAlign w:val="center"/>
              </w:tcPr>
              <w:p w:rsidR="008B2A7C" w:rsidRPr="0006604A" w:rsidRDefault="008B2A7C" w:rsidP="00B7475F">
                <w:pPr>
                  <w:pStyle w:val="NoSpacing"/>
                  <w:rPr>
                    <w:b/>
                    <w:bCs/>
                    <w:sz w:val="24"/>
                    <w:szCs w:val="24"/>
                    <w:lang w:val="lt-LT"/>
                  </w:rPr>
                </w:pPr>
              </w:p>
              <w:p w:rsidR="008B2A7C" w:rsidRDefault="008B2A7C" w:rsidP="00113D43">
                <w:pPr>
                  <w:pStyle w:val="NoSpacing"/>
                  <w:jc w:val="center"/>
                  <w:rPr>
                    <w:b/>
                    <w:bCs/>
                    <w:sz w:val="24"/>
                    <w:szCs w:val="24"/>
                    <w:lang w:val="lt-LT"/>
                  </w:rPr>
                </w:pPr>
              </w:p>
              <w:p w:rsidR="00827881" w:rsidRDefault="00827881" w:rsidP="00113D43">
                <w:pPr>
                  <w:pStyle w:val="NoSpacing"/>
                  <w:jc w:val="center"/>
                  <w:rPr>
                    <w:b/>
                    <w:bCs/>
                    <w:sz w:val="24"/>
                    <w:szCs w:val="24"/>
                    <w:lang w:val="lt-LT"/>
                  </w:rPr>
                </w:pPr>
              </w:p>
              <w:p w:rsidR="00827881" w:rsidRDefault="00827881" w:rsidP="00113D43">
                <w:pPr>
                  <w:pStyle w:val="NoSpacing"/>
                  <w:jc w:val="center"/>
                  <w:rPr>
                    <w:b/>
                    <w:bCs/>
                    <w:sz w:val="24"/>
                    <w:szCs w:val="24"/>
                    <w:lang w:val="lt-LT"/>
                  </w:rPr>
                </w:pPr>
              </w:p>
              <w:p w:rsidR="00827881" w:rsidRDefault="00827881" w:rsidP="00113D43">
                <w:pPr>
                  <w:pStyle w:val="NoSpacing"/>
                  <w:jc w:val="center"/>
                  <w:rPr>
                    <w:b/>
                    <w:bCs/>
                    <w:sz w:val="24"/>
                    <w:szCs w:val="24"/>
                    <w:lang w:val="lt-LT"/>
                  </w:rPr>
                </w:pPr>
              </w:p>
              <w:p w:rsidR="008B2A7C" w:rsidRPr="0006604A" w:rsidRDefault="008B2A7C" w:rsidP="00DF59EC">
                <w:pPr>
                  <w:pStyle w:val="NoSpacing"/>
                  <w:rPr>
                    <w:b/>
                    <w:bCs/>
                    <w:sz w:val="24"/>
                    <w:szCs w:val="24"/>
                    <w:lang w:val="lt-LT"/>
                  </w:rPr>
                </w:pPr>
              </w:p>
            </w:tc>
          </w:tr>
          <w:tr w:rsidR="00BB703E" w:rsidRPr="0006604A">
            <w:trPr>
              <w:trHeight w:val="360"/>
              <w:jc w:val="center"/>
            </w:trPr>
            <w:tc>
              <w:tcPr>
                <w:tcW w:w="5000" w:type="pct"/>
                <w:vAlign w:val="center"/>
              </w:tcPr>
              <w:p w:rsidR="00A54114" w:rsidRDefault="00A54114" w:rsidP="001D0936">
                <w:pPr>
                  <w:pStyle w:val="NoSpacing"/>
                  <w:jc w:val="center"/>
                  <w:rPr>
                    <w:rFonts w:ascii="Times New Roman" w:hAnsi="Times New Roman" w:cs="Times New Roman"/>
                    <w:bCs/>
                    <w:sz w:val="28"/>
                    <w:szCs w:val="28"/>
                    <w:lang w:val="lt-LT"/>
                  </w:rPr>
                </w:pPr>
              </w:p>
              <w:p w:rsidR="00BB703E" w:rsidRPr="00B7475F" w:rsidRDefault="008B2A7C" w:rsidP="001D0936">
                <w:pPr>
                  <w:pStyle w:val="NoSpacing"/>
                  <w:jc w:val="center"/>
                  <w:rPr>
                    <w:rFonts w:ascii="Times New Roman" w:hAnsi="Times New Roman" w:cs="Times New Roman"/>
                    <w:bCs/>
                    <w:sz w:val="28"/>
                    <w:szCs w:val="28"/>
                    <w:lang w:val="lt-LT"/>
                  </w:rPr>
                </w:pPr>
                <w:r w:rsidRPr="00B7475F">
                  <w:rPr>
                    <w:rFonts w:ascii="Times New Roman" w:hAnsi="Times New Roman" w:cs="Times New Roman"/>
                    <w:bCs/>
                    <w:sz w:val="28"/>
                    <w:szCs w:val="28"/>
                    <w:lang w:val="lt-LT"/>
                  </w:rPr>
                  <w:t>Vilnius, 2010</w:t>
                </w:r>
              </w:p>
            </w:tc>
          </w:tr>
        </w:tbl>
        <w:p w:rsidR="00BB703E" w:rsidRPr="0006604A" w:rsidRDefault="00BB703E" w:rsidP="00113D43">
          <w:pPr>
            <w:spacing w:after="200" w:line="276" w:lineRule="auto"/>
            <w:jc w:val="left"/>
            <w:rPr>
              <w:rFonts w:asciiTheme="majorHAnsi" w:eastAsiaTheme="majorEastAsia" w:hAnsiTheme="majorHAnsi" w:cstheme="majorBidi"/>
              <w:b/>
              <w:bCs/>
              <w:color w:val="365F91" w:themeColor="accent1" w:themeShade="BF"/>
              <w:lang w:val="lt-LT"/>
            </w:rPr>
            <w:sectPr w:rsidR="00BB703E" w:rsidRPr="0006604A" w:rsidSect="00113D43">
              <w:footerReference w:type="even" r:id="rId9"/>
              <w:footerReference w:type="default" r:id="rId10"/>
              <w:footerReference w:type="first" r:id="rId11"/>
              <w:type w:val="continuous"/>
              <w:pgSz w:w="11907" w:h="16839" w:code="9"/>
              <w:pgMar w:top="1418" w:right="567" w:bottom="1418" w:left="1701" w:header="709" w:footer="709" w:gutter="0"/>
              <w:cols w:space="708"/>
              <w:titlePg/>
              <w:docGrid w:linePitch="360"/>
            </w:sectPr>
          </w:pPr>
        </w:p>
        <w:p w:rsidR="00BB703E" w:rsidRPr="0006604A" w:rsidRDefault="00275463" w:rsidP="00113D43">
          <w:pPr>
            <w:spacing w:line="276" w:lineRule="auto"/>
            <w:jc w:val="left"/>
            <w:rPr>
              <w:rFonts w:asciiTheme="majorHAnsi" w:eastAsiaTheme="majorEastAsia" w:hAnsiTheme="majorHAnsi" w:cstheme="majorBidi"/>
              <w:b/>
              <w:bCs/>
              <w:color w:val="365F91" w:themeColor="accent1" w:themeShade="BF"/>
              <w:lang w:val="lt-LT"/>
            </w:rPr>
          </w:pPr>
        </w:p>
      </w:sdtContent>
    </w:sdt>
    <w:bookmarkStart w:id="0" w:name="_Toc280556710" w:displacedByCustomXml="next"/>
    <w:sdt>
      <w:sdtPr>
        <w:rPr>
          <w:rFonts w:eastAsia="Times New Roman" w:cs="Times New Roman"/>
          <w:b w:val="0"/>
          <w:bCs w:val="0"/>
          <w:sz w:val="24"/>
          <w:szCs w:val="24"/>
          <w:lang w:val="lt-LT"/>
        </w:rPr>
        <w:id w:val="5841072"/>
        <w:docPartObj>
          <w:docPartGallery w:val="Table of Contents"/>
          <w:docPartUnique/>
        </w:docPartObj>
      </w:sdtPr>
      <w:sdtContent>
        <w:p w:rsidR="003D7905" w:rsidRPr="0006604A" w:rsidRDefault="003D7905" w:rsidP="003B0F2A">
          <w:pPr>
            <w:pStyle w:val="TOCHeading"/>
            <w:spacing w:before="0"/>
            <w:jc w:val="center"/>
            <w:rPr>
              <w:sz w:val="24"/>
              <w:szCs w:val="24"/>
              <w:lang w:val="lt-LT"/>
            </w:rPr>
          </w:pPr>
          <w:r w:rsidRPr="0006604A">
            <w:rPr>
              <w:sz w:val="24"/>
              <w:szCs w:val="24"/>
              <w:lang w:val="lt-LT"/>
            </w:rPr>
            <w:t>TURINYS</w:t>
          </w:r>
        </w:p>
        <w:p w:rsidR="00297725" w:rsidRPr="0006604A" w:rsidRDefault="00275463" w:rsidP="00113D43">
          <w:pPr>
            <w:pStyle w:val="TOC1"/>
            <w:tabs>
              <w:tab w:val="right" w:leader="dot" w:pos="9639"/>
            </w:tabs>
            <w:rPr>
              <w:rFonts w:asciiTheme="minorHAnsi" w:eastAsiaTheme="minorEastAsia" w:hAnsiTheme="minorHAnsi" w:cstheme="minorBidi"/>
              <w:sz w:val="22"/>
              <w:szCs w:val="22"/>
              <w:lang w:val="lt-LT"/>
            </w:rPr>
          </w:pPr>
          <w:r w:rsidRPr="0006604A">
            <w:rPr>
              <w:lang w:val="lt-LT"/>
            </w:rPr>
            <w:fldChar w:fldCharType="begin"/>
          </w:r>
          <w:r w:rsidR="003D7905" w:rsidRPr="0006604A">
            <w:rPr>
              <w:lang w:val="lt-LT"/>
            </w:rPr>
            <w:instrText xml:space="preserve"> TOC \o "1-3" \h \z \u </w:instrText>
          </w:r>
          <w:r w:rsidRPr="0006604A">
            <w:rPr>
              <w:lang w:val="lt-LT"/>
            </w:rPr>
            <w:fldChar w:fldCharType="separate"/>
          </w:r>
          <w:hyperlink w:anchor="_Toc280807828" w:history="1">
            <w:r w:rsidR="00297725" w:rsidRPr="0006604A">
              <w:rPr>
                <w:rStyle w:val="Hyperlink"/>
                <w:lang w:val="lt-LT"/>
              </w:rPr>
              <w:t>ĮVADAS</w:t>
            </w:r>
            <w:r w:rsidR="00297725" w:rsidRPr="0006604A">
              <w:rPr>
                <w:webHidden/>
                <w:lang w:val="lt-LT"/>
              </w:rPr>
              <w:tab/>
            </w:r>
            <w:r w:rsidRPr="0006604A">
              <w:rPr>
                <w:webHidden/>
                <w:lang w:val="lt-LT"/>
              </w:rPr>
              <w:fldChar w:fldCharType="begin"/>
            </w:r>
            <w:r w:rsidR="00297725" w:rsidRPr="0006604A">
              <w:rPr>
                <w:webHidden/>
                <w:lang w:val="lt-LT"/>
              </w:rPr>
              <w:instrText xml:space="preserve"> PAGEREF _Toc280807828 \h </w:instrText>
            </w:r>
            <w:r w:rsidRPr="0006604A">
              <w:rPr>
                <w:webHidden/>
                <w:lang w:val="lt-LT"/>
              </w:rPr>
            </w:r>
            <w:r w:rsidRPr="0006604A">
              <w:rPr>
                <w:webHidden/>
                <w:lang w:val="lt-LT"/>
              </w:rPr>
              <w:fldChar w:fldCharType="separate"/>
            </w:r>
            <w:r w:rsidR="00297725" w:rsidRPr="0006604A">
              <w:rPr>
                <w:webHidden/>
                <w:lang w:val="lt-LT"/>
              </w:rPr>
              <w:t>3</w:t>
            </w:r>
            <w:r w:rsidRPr="0006604A">
              <w:rPr>
                <w:webHidden/>
                <w:lang w:val="lt-LT"/>
              </w:rPr>
              <w:fldChar w:fldCharType="end"/>
            </w:r>
          </w:hyperlink>
        </w:p>
        <w:p w:rsidR="00297725" w:rsidRPr="0006604A" w:rsidRDefault="00275463" w:rsidP="00113D43">
          <w:pPr>
            <w:pStyle w:val="TOC1"/>
            <w:tabs>
              <w:tab w:val="left" w:pos="480"/>
              <w:tab w:val="right" w:leader="dot" w:pos="9639"/>
            </w:tabs>
            <w:rPr>
              <w:rFonts w:asciiTheme="minorHAnsi" w:eastAsiaTheme="minorEastAsia" w:hAnsiTheme="minorHAnsi" w:cstheme="minorBidi"/>
              <w:sz w:val="22"/>
              <w:szCs w:val="22"/>
              <w:lang w:val="lt-LT"/>
            </w:rPr>
          </w:pPr>
          <w:hyperlink w:anchor="_Toc280807829" w:history="1">
            <w:r w:rsidR="00297725" w:rsidRPr="0006604A">
              <w:rPr>
                <w:rStyle w:val="Hyperlink"/>
                <w:lang w:val="lt-LT"/>
              </w:rPr>
              <w:t>1.</w:t>
            </w:r>
            <w:r w:rsidR="00297725" w:rsidRPr="0006604A">
              <w:rPr>
                <w:rFonts w:asciiTheme="minorHAnsi" w:eastAsiaTheme="minorEastAsia" w:hAnsiTheme="minorHAnsi" w:cstheme="minorBidi"/>
                <w:sz w:val="22"/>
                <w:szCs w:val="22"/>
                <w:lang w:val="lt-LT"/>
              </w:rPr>
              <w:tab/>
            </w:r>
            <w:r w:rsidR="00297725" w:rsidRPr="0006604A">
              <w:rPr>
                <w:rStyle w:val="Hyperlink"/>
                <w:lang w:val="lt-LT"/>
              </w:rPr>
              <w:t>JUNGTINIŲ TAUTŲ TAIKOS MISIJŲ BENDRA CHARAKTERISTIKA</w:t>
            </w:r>
            <w:r w:rsidR="00297725" w:rsidRPr="0006604A">
              <w:rPr>
                <w:webHidden/>
                <w:lang w:val="lt-LT"/>
              </w:rPr>
              <w:tab/>
            </w:r>
            <w:r w:rsidRPr="0006604A">
              <w:rPr>
                <w:webHidden/>
                <w:lang w:val="lt-LT"/>
              </w:rPr>
              <w:fldChar w:fldCharType="begin"/>
            </w:r>
            <w:r w:rsidR="00297725" w:rsidRPr="0006604A">
              <w:rPr>
                <w:webHidden/>
                <w:lang w:val="lt-LT"/>
              </w:rPr>
              <w:instrText xml:space="preserve"> PAGEREF _Toc280807829 \h </w:instrText>
            </w:r>
            <w:r w:rsidRPr="0006604A">
              <w:rPr>
                <w:webHidden/>
                <w:lang w:val="lt-LT"/>
              </w:rPr>
            </w:r>
            <w:r w:rsidRPr="0006604A">
              <w:rPr>
                <w:webHidden/>
                <w:lang w:val="lt-LT"/>
              </w:rPr>
              <w:fldChar w:fldCharType="separate"/>
            </w:r>
            <w:r w:rsidR="00297725" w:rsidRPr="0006604A">
              <w:rPr>
                <w:webHidden/>
                <w:lang w:val="lt-LT"/>
              </w:rPr>
              <w:t>7</w:t>
            </w:r>
            <w:r w:rsidRPr="0006604A">
              <w:rPr>
                <w:webHidden/>
                <w:lang w:val="lt-LT"/>
              </w:rPr>
              <w:fldChar w:fldCharType="end"/>
            </w:r>
          </w:hyperlink>
        </w:p>
        <w:p w:rsidR="00297725" w:rsidRPr="0006604A" w:rsidRDefault="00275463" w:rsidP="00113D43">
          <w:pPr>
            <w:pStyle w:val="TOC2"/>
            <w:tabs>
              <w:tab w:val="left" w:pos="880"/>
              <w:tab w:val="right" w:leader="dot" w:pos="9639"/>
            </w:tabs>
            <w:rPr>
              <w:rFonts w:asciiTheme="minorHAnsi" w:eastAsiaTheme="minorEastAsia" w:hAnsiTheme="minorHAnsi" w:cstheme="minorBidi"/>
              <w:sz w:val="22"/>
              <w:szCs w:val="22"/>
              <w:lang w:val="lt-LT"/>
            </w:rPr>
          </w:pPr>
          <w:hyperlink w:anchor="_Toc280807830" w:history="1">
            <w:r w:rsidR="00297725" w:rsidRPr="0006604A">
              <w:rPr>
                <w:rStyle w:val="Hyperlink"/>
                <w:lang w:val="lt-LT"/>
              </w:rPr>
              <w:t>1.1.</w:t>
            </w:r>
            <w:r w:rsidR="00297725" w:rsidRPr="0006604A">
              <w:rPr>
                <w:rFonts w:asciiTheme="minorHAnsi" w:eastAsiaTheme="minorEastAsia" w:hAnsiTheme="minorHAnsi" w:cstheme="minorBidi"/>
                <w:sz w:val="22"/>
                <w:szCs w:val="22"/>
                <w:lang w:val="lt-LT"/>
              </w:rPr>
              <w:tab/>
            </w:r>
            <w:r w:rsidR="00297725" w:rsidRPr="0006604A">
              <w:rPr>
                <w:rStyle w:val="Hyperlink"/>
                <w:lang w:val="lt-LT"/>
              </w:rPr>
              <w:t>Taikos misijų a</w:t>
            </w:r>
            <w:r w:rsidR="00B4349A">
              <w:rPr>
                <w:rStyle w:val="Hyperlink"/>
                <w:lang w:val="lt-LT"/>
              </w:rPr>
              <w:t>tsiradimas ir jų istorinis vysty</w:t>
            </w:r>
            <w:r w:rsidR="00297725" w:rsidRPr="0006604A">
              <w:rPr>
                <w:rStyle w:val="Hyperlink"/>
                <w:lang w:val="lt-LT"/>
              </w:rPr>
              <w:t>masis</w:t>
            </w:r>
            <w:r w:rsidR="00297725" w:rsidRPr="0006604A">
              <w:rPr>
                <w:webHidden/>
                <w:lang w:val="lt-LT"/>
              </w:rPr>
              <w:tab/>
            </w:r>
            <w:r w:rsidRPr="0006604A">
              <w:rPr>
                <w:webHidden/>
                <w:lang w:val="lt-LT"/>
              </w:rPr>
              <w:fldChar w:fldCharType="begin"/>
            </w:r>
            <w:r w:rsidR="00297725" w:rsidRPr="0006604A">
              <w:rPr>
                <w:webHidden/>
                <w:lang w:val="lt-LT"/>
              </w:rPr>
              <w:instrText xml:space="preserve"> PAGEREF _Toc280807830 \h </w:instrText>
            </w:r>
            <w:r w:rsidRPr="0006604A">
              <w:rPr>
                <w:webHidden/>
                <w:lang w:val="lt-LT"/>
              </w:rPr>
            </w:r>
            <w:r w:rsidRPr="0006604A">
              <w:rPr>
                <w:webHidden/>
                <w:lang w:val="lt-LT"/>
              </w:rPr>
              <w:fldChar w:fldCharType="separate"/>
            </w:r>
            <w:r w:rsidR="00297725" w:rsidRPr="0006604A">
              <w:rPr>
                <w:webHidden/>
                <w:lang w:val="lt-LT"/>
              </w:rPr>
              <w:t>7</w:t>
            </w:r>
            <w:r w:rsidRPr="0006604A">
              <w:rPr>
                <w:webHidden/>
                <w:lang w:val="lt-LT"/>
              </w:rPr>
              <w:fldChar w:fldCharType="end"/>
            </w:r>
          </w:hyperlink>
        </w:p>
        <w:p w:rsidR="00297725" w:rsidRPr="0006604A" w:rsidRDefault="00275463" w:rsidP="00113D43">
          <w:pPr>
            <w:pStyle w:val="TOC2"/>
            <w:tabs>
              <w:tab w:val="left" w:pos="880"/>
              <w:tab w:val="right" w:leader="dot" w:pos="9639"/>
            </w:tabs>
            <w:rPr>
              <w:rFonts w:asciiTheme="minorHAnsi" w:eastAsiaTheme="minorEastAsia" w:hAnsiTheme="minorHAnsi" w:cstheme="minorBidi"/>
              <w:sz w:val="22"/>
              <w:szCs w:val="22"/>
              <w:lang w:val="lt-LT"/>
            </w:rPr>
          </w:pPr>
          <w:hyperlink w:anchor="_Toc280807831" w:history="1">
            <w:r w:rsidR="00297725" w:rsidRPr="0006604A">
              <w:rPr>
                <w:rStyle w:val="Hyperlink"/>
                <w:lang w:val="lt-LT"/>
              </w:rPr>
              <w:t>1.2.</w:t>
            </w:r>
            <w:r w:rsidR="00297725" w:rsidRPr="0006604A">
              <w:rPr>
                <w:rFonts w:asciiTheme="minorHAnsi" w:eastAsiaTheme="minorEastAsia" w:hAnsiTheme="minorHAnsi" w:cstheme="minorBidi"/>
                <w:sz w:val="22"/>
                <w:szCs w:val="22"/>
                <w:lang w:val="lt-LT"/>
              </w:rPr>
              <w:tab/>
            </w:r>
            <w:r w:rsidR="00297725" w:rsidRPr="0006604A">
              <w:rPr>
                <w:rStyle w:val="Hyperlink"/>
                <w:lang w:val="lt-LT"/>
              </w:rPr>
              <w:t>Jungtinių Tautų taikos misijų teisiniai pagrindai</w:t>
            </w:r>
            <w:r w:rsidR="00297725" w:rsidRPr="0006604A">
              <w:rPr>
                <w:webHidden/>
                <w:lang w:val="lt-LT"/>
              </w:rPr>
              <w:tab/>
            </w:r>
            <w:r w:rsidRPr="0006604A">
              <w:rPr>
                <w:webHidden/>
                <w:lang w:val="lt-LT"/>
              </w:rPr>
              <w:fldChar w:fldCharType="begin"/>
            </w:r>
            <w:r w:rsidR="00297725" w:rsidRPr="0006604A">
              <w:rPr>
                <w:webHidden/>
                <w:lang w:val="lt-LT"/>
              </w:rPr>
              <w:instrText xml:space="preserve"> PAGEREF _Toc280807831 \h </w:instrText>
            </w:r>
            <w:r w:rsidRPr="0006604A">
              <w:rPr>
                <w:webHidden/>
                <w:lang w:val="lt-LT"/>
              </w:rPr>
            </w:r>
            <w:r w:rsidRPr="0006604A">
              <w:rPr>
                <w:webHidden/>
                <w:lang w:val="lt-LT"/>
              </w:rPr>
              <w:fldChar w:fldCharType="separate"/>
            </w:r>
            <w:r w:rsidR="00297725" w:rsidRPr="0006604A">
              <w:rPr>
                <w:webHidden/>
                <w:lang w:val="lt-LT"/>
              </w:rPr>
              <w:t>11</w:t>
            </w:r>
            <w:r w:rsidRPr="0006604A">
              <w:rPr>
                <w:webHidden/>
                <w:lang w:val="lt-LT"/>
              </w:rPr>
              <w:fldChar w:fldCharType="end"/>
            </w:r>
          </w:hyperlink>
        </w:p>
        <w:p w:rsidR="00297725" w:rsidRPr="0006604A" w:rsidRDefault="00275463" w:rsidP="00113D43">
          <w:pPr>
            <w:pStyle w:val="TOC2"/>
            <w:tabs>
              <w:tab w:val="left" w:pos="880"/>
              <w:tab w:val="right" w:leader="dot" w:pos="9639"/>
            </w:tabs>
            <w:rPr>
              <w:rFonts w:asciiTheme="minorHAnsi" w:eastAsiaTheme="minorEastAsia" w:hAnsiTheme="minorHAnsi" w:cstheme="minorBidi"/>
              <w:sz w:val="22"/>
              <w:szCs w:val="22"/>
              <w:lang w:val="lt-LT"/>
            </w:rPr>
          </w:pPr>
          <w:hyperlink w:anchor="_Toc280807832" w:history="1">
            <w:r w:rsidR="00297725" w:rsidRPr="0006604A">
              <w:rPr>
                <w:rStyle w:val="Hyperlink"/>
                <w:lang w:val="lt-LT"/>
              </w:rPr>
              <w:t>1.3.</w:t>
            </w:r>
            <w:r w:rsidR="00297725" w:rsidRPr="0006604A">
              <w:rPr>
                <w:rFonts w:asciiTheme="minorHAnsi" w:eastAsiaTheme="minorEastAsia" w:hAnsiTheme="minorHAnsi" w:cstheme="minorBidi"/>
                <w:sz w:val="22"/>
                <w:szCs w:val="22"/>
                <w:lang w:val="lt-LT"/>
              </w:rPr>
              <w:tab/>
            </w:r>
            <w:r w:rsidR="00297725" w:rsidRPr="0006604A">
              <w:rPr>
                <w:rStyle w:val="Hyperlink"/>
                <w:lang w:val="lt-LT"/>
              </w:rPr>
              <w:t>Jungtinių Tautų organų kompetencijos atribojimas</w:t>
            </w:r>
            <w:r w:rsidR="00297725" w:rsidRPr="0006604A">
              <w:rPr>
                <w:webHidden/>
                <w:lang w:val="lt-LT"/>
              </w:rPr>
              <w:tab/>
            </w:r>
            <w:r w:rsidRPr="0006604A">
              <w:rPr>
                <w:webHidden/>
                <w:lang w:val="lt-LT"/>
              </w:rPr>
              <w:fldChar w:fldCharType="begin"/>
            </w:r>
            <w:r w:rsidR="00297725" w:rsidRPr="0006604A">
              <w:rPr>
                <w:webHidden/>
                <w:lang w:val="lt-LT"/>
              </w:rPr>
              <w:instrText xml:space="preserve"> PAGEREF _Toc280807832 \h </w:instrText>
            </w:r>
            <w:r w:rsidRPr="0006604A">
              <w:rPr>
                <w:webHidden/>
                <w:lang w:val="lt-LT"/>
              </w:rPr>
            </w:r>
            <w:r w:rsidRPr="0006604A">
              <w:rPr>
                <w:webHidden/>
                <w:lang w:val="lt-LT"/>
              </w:rPr>
              <w:fldChar w:fldCharType="separate"/>
            </w:r>
            <w:r w:rsidR="00297725" w:rsidRPr="0006604A">
              <w:rPr>
                <w:webHidden/>
                <w:lang w:val="lt-LT"/>
              </w:rPr>
              <w:t>18</w:t>
            </w:r>
            <w:r w:rsidRPr="0006604A">
              <w:rPr>
                <w:webHidden/>
                <w:lang w:val="lt-LT"/>
              </w:rPr>
              <w:fldChar w:fldCharType="end"/>
            </w:r>
          </w:hyperlink>
        </w:p>
        <w:p w:rsidR="00297725" w:rsidRPr="0006604A" w:rsidRDefault="00275463" w:rsidP="00113D43">
          <w:pPr>
            <w:pStyle w:val="TOC2"/>
            <w:tabs>
              <w:tab w:val="left" w:pos="880"/>
              <w:tab w:val="right" w:leader="dot" w:pos="9639"/>
            </w:tabs>
            <w:rPr>
              <w:rFonts w:asciiTheme="minorHAnsi" w:eastAsiaTheme="minorEastAsia" w:hAnsiTheme="minorHAnsi" w:cstheme="minorBidi"/>
              <w:sz w:val="22"/>
              <w:szCs w:val="22"/>
              <w:lang w:val="lt-LT"/>
            </w:rPr>
          </w:pPr>
          <w:hyperlink w:anchor="_Toc280807833" w:history="1">
            <w:r w:rsidR="00297725" w:rsidRPr="0006604A">
              <w:rPr>
                <w:rStyle w:val="Hyperlink"/>
                <w:lang w:val="lt-LT"/>
              </w:rPr>
              <w:t>1.4.</w:t>
            </w:r>
            <w:r w:rsidR="00297725" w:rsidRPr="0006604A">
              <w:rPr>
                <w:rFonts w:asciiTheme="minorHAnsi" w:eastAsiaTheme="minorEastAsia" w:hAnsiTheme="minorHAnsi" w:cstheme="minorBidi"/>
                <w:sz w:val="22"/>
                <w:szCs w:val="22"/>
                <w:lang w:val="lt-LT"/>
              </w:rPr>
              <w:tab/>
            </w:r>
            <w:r w:rsidR="00E964D8">
              <w:rPr>
                <w:rStyle w:val="Hyperlink"/>
                <w:lang w:val="lt-LT"/>
              </w:rPr>
              <w:t>Taikos mi</w:t>
            </w:r>
            <w:r w:rsidR="00AC3446">
              <w:rPr>
                <w:rStyle w:val="Hyperlink"/>
                <w:lang w:val="lt-LT"/>
              </w:rPr>
              <w:t>sijų principai</w:t>
            </w:r>
            <w:r w:rsidR="00297725" w:rsidRPr="0006604A">
              <w:rPr>
                <w:webHidden/>
                <w:lang w:val="lt-LT"/>
              </w:rPr>
              <w:tab/>
            </w:r>
            <w:r w:rsidRPr="0006604A">
              <w:rPr>
                <w:webHidden/>
                <w:lang w:val="lt-LT"/>
              </w:rPr>
              <w:fldChar w:fldCharType="begin"/>
            </w:r>
            <w:r w:rsidR="00297725" w:rsidRPr="0006604A">
              <w:rPr>
                <w:webHidden/>
                <w:lang w:val="lt-LT"/>
              </w:rPr>
              <w:instrText xml:space="preserve"> PAGEREF _Toc280807833 \h </w:instrText>
            </w:r>
            <w:r w:rsidRPr="0006604A">
              <w:rPr>
                <w:webHidden/>
                <w:lang w:val="lt-LT"/>
              </w:rPr>
            </w:r>
            <w:r w:rsidRPr="0006604A">
              <w:rPr>
                <w:webHidden/>
                <w:lang w:val="lt-LT"/>
              </w:rPr>
              <w:fldChar w:fldCharType="separate"/>
            </w:r>
            <w:r w:rsidR="00297725" w:rsidRPr="0006604A">
              <w:rPr>
                <w:webHidden/>
                <w:lang w:val="lt-LT"/>
              </w:rPr>
              <w:t>20</w:t>
            </w:r>
            <w:r w:rsidRPr="0006604A">
              <w:rPr>
                <w:webHidden/>
                <w:lang w:val="lt-LT"/>
              </w:rPr>
              <w:fldChar w:fldCharType="end"/>
            </w:r>
          </w:hyperlink>
        </w:p>
        <w:p w:rsidR="00297725" w:rsidRPr="0006604A" w:rsidRDefault="00275463" w:rsidP="00113D43">
          <w:pPr>
            <w:pStyle w:val="TOC2"/>
            <w:tabs>
              <w:tab w:val="left" w:pos="1100"/>
              <w:tab w:val="right" w:leader="dot" w:pos="9639"/>
            </w:tabs>
            <w:rPr>
              <w:rFonts w:asciiTheme="minorHAnsi" w:eastAsiaTheme="minorEastAsia" w:hAnsiTheme="minorHAnsi" w:cstheme="minorBidi"/>
              <w:sz w:val="22"/>
              <w:szCs w:val="22"/>
              <w:lang w:val="lt-LT"/>
            </w:rPr>
          </w:pPr>
          <w:hyperlink w:anchor="_Toc280807834" w:history="1">
            <w:r w:rsidR="00297725" w:rsidRPr="0006604A">
              <w:rPr>
                <w:rStyle w:val="Hyperlink"/>
                <w:lang w:val="lt-LT"/>
              </w:rPr>
              <w:t>1.4.1.</w:t>
            </w:r>
            <w:r w:rsidR="00297725" w:rsidRPr="0006604A">
              <w:rPr>
                <w:rFonts w:asciiTheme="minorHAnsi" w:eastAsiaTheme="minorEastAsia" w:hAnsiTheme="minorHAnsi" w:cstheme="minorBidi"/>
                <w:sz w:val="22"/>
                <w:szCs w:val="22"/>
                <w:lang w:val="lt-LT"/>
              </w:rPr>
              <w:tab/>
            </w:r>
            <w:r w:rsidR="00297725" w:rsidRPr="0006604A">
              <w:rPr>
                <w:rStyle w:val="Hyperlink"/>
                <w:lang w:val="lt-LT"/>
              </w:rPr>
              <w:t>Šalies sutikimas</w:t>
            </w:r>
            <w:r w:rsidR="00297725" w:rsidRPr="0006604A">
              <w:rPr>
                <w:webHidden/>
                <w:lang w:val="lt-LT"/>
              </w:rPr>
              <w:tab/>
            </w:r>
            <w:r w:rsidRPr="0006604A">
              <w:rPr>
                <w:webHidden/>
                <w:lang w:val="lt-LT"/>
              </w:rPr>
              <w:fldChar w:fldCharType="begin"/>
            </w:r>
            <w:r w:rsidR="00297725" w:rsidRPr="0006604A">
              <w:rPr>
                <w:webHidden/>
                <w:lang w:val="lt-LT"/>
              </w:rPr>
              <w:instrText xml:space="preserve"> PAGEREF _Toc280807834 \h </w:instrText>
            </w:r>
            <w:r w:rsidRPr="0006604A">
              <w:rPr>
                <w:webHidden/>
                <w:lang w:val="lt-LT"/>
              </w:rPr>
            </w:r>
            <w:r w:rsidRPr="0006604A">
              <w:rPr>
                <w:webHidden/>
                <w:lang w:val="lt-LT"/>
              </w:rPr>
              <w:fldChar w:fldCharType="separate"/>
            </w:r>
            <w:r w:rsidR="00297725" w:rsidRPr="0006604A">
              <w:rPr>
                <w:webHidden/>
                <w:lang w:val="lt-LT"/>
              </w:rPr>
              <w:t>21</w:t>
            </w:r>
            <w:r w:rsidRPr="0006604A">
              <w:rPr>
                <w:webHidden/>
                <w:lang w:val="lt-LT"/>
              </w:rPr>
              <w:fldChar w:fldCharType="end"/>
            </w:r>
          </w:hyperlink>
        </w:p>
        <w:p w:rsidR="00297725" w:rsidRPr="0006604A" w:rsidRDefault="00275463" w:rsidP="00113D43">
          <w:pPr>
            <w:pStyle w:val="TOC2"/>
            <w:tabs>
              <w:tab w:val="left" w:pos="1100"/>
              <w:tab w:val="right" w:leader="dot" w:pos="9639"/>
            </w:tabs>
            <w:rPr>
              <w:rFonts w:asciiTheme="minorHAnsi" w:eastAsiaTheme="minorEastAsia" w:hAnsiTheme="minorHAnsi" w:cstheme="minorBidi"/>
              <w:sz w:val="22"/>
              <w:szCs w:val="22"/>
              <w:lang w:val="lt-LT"/>
            </w:rPr>
          </w:pPr>
          <w:hyperlink w:anchor="_Toc280807835" w:history="1">
            <w:r w:rsidR="00297725" w:rsidRPr="0006604A">
              <w:rPr>
                <w:rStyle w:val="Hyperlink"/>
                <w:lang w:val="lt-LT"/>
              </w:rPr>
              <w:t>1.4.2.</w:t>
            </w:r>
            <w:r w:rsidR="00297725" w:rsidRPr="0006604A">
              <w:rPr>
                <w:rFonts w:asciiTheme="minorHAnsi" w:eastAsiaTheme="minorEastAsia" w:hAnsiTheme="minorHAnsi" w:cstheme="minorBidi"/>
                <w:sz w:val="22"/>
                <w:szCs w:val="22"/>
                <w:lang w:val="lt-LT"/>
              </w:rPr>
              <w:tab/>
            </w:r>
            <w:r w:rsidR="00297725" w:rsidRPr="0006604A">
              <w:rPr>
                <w:rStyle w:val="Hyperlink"/>
                <w:lang w:val="lt-LT"/>
              </w:rPr>
              <w:t>Neutralumas</w:t>
            </w:r>
            <w:r w:rsidR="00297725" w:rsidRPr="0006604A">
              <w:rPr>
                <w:webHidden/>
                <w:lang w:val="lt-LT"/>
              </w:rPr>
              <w:tab/>
            </w:r>
            <w:r w:rsidRPr="0006604A">
              <w:rPr>
                <w:webHidden/>
                <w:lang w:val="lt-LT"/>
              </w:rPr>
              <w:fldChar w:fldCharType="begin"/>
            </w:r>
            <w:r w:rsidR="00297725" w:rsidRPr="0006604A">
              <w:rPr>
                <w:webHidden/>
                <w:lang w:val="lt-LT"/>
              </w:rPr>
              <w:instrText xml:space="preserve"> PAGEREF _Toc280807835 \h </w:instrText>
            </w:r>
            <w:r w:rsidRPr="0006604A">
              <w:rPr>
                <w:webHidden/>
                <w:lang w:val="lt-LT"/>
              </w:rPr>
            </w:r>
            <w:r w:rsidRPr="0006604A">
              <w:rPr>
                <w:webHidden/>
                <w:lang w:val="lt-LT"/>
              </w:rPr>
              <w:fldChar w:fldCharType="separate"/>
            </w:r>
            <w:r w:rsidR="00297725" w:rsidRPr="0006604A">
              <w:rPr>
                <w:webHidden/>
                <w:lang w:val="lt-LT"/>
              </w:rPr>
              <w:t>24</w:t>
            </w:r>
            <w:r w:rsidRPr="0006604A">
              <w:rPr>
                <w:webHidden/>
                <w:lang w:val="lt-LT"/>
              </w:rPr>
              <w:fldChar w:fldCharType="end"/>
            </w:r>
          </w:hyperlink>
        </w:p>
        <w:p w:rsidR="00297725" w:rsidRPr="0006604A" w:rsidRDefault="00275463" w:rsidP="00113D43">
          <w:pPr>
            <w:pStyle w:val="TOC2"/>
            <w:tabs>
              <w:tab w:val="left" w:pos="1100"/>
              <w:tab w:val="right" w:leader="dot" w:pos="9639"/>
            </w:tabs>
            <w:rPr>
              <w:rFonts w:asciiTheme="minorHAnsi" w:eastAsiaTheme="minorEastAsia" w:hAnsiTheme="minorHAnsi" w:cstheme="minorBidi"/>
              <w:sz w:val="22"/>
              <w:szCs w:val="22"/>
              <w:lang w:val="lt-LT"/>
            </w:rPr>
          </w:pPr>
          <w:hyperlink w:anchor="_Toc280807836" w:history="1">
            <w:r w:rsidR="00297725" w:rsidRPr="0006604A">
              <w:rPr>
                <w:rStyle w:val="Hyperlink"/>
                <w:lang w:val="lt-LT"/>
              </w:rPr>
              <w:t>1.4.3.</w:t>
            </w:r>
            <w:r w:rsidR="00297725" w:rsidRPr="0006604A">
              <w:rPr>
                <w:rFonts w:asciiTheme="minorHAnsi" w:eastAsiaTheme="minorEastAsia" w:hAnsiTheme="minorHAnsi" w:cstheme="minorBidi"/>
                <w:sz w:val="22"/>
                <w:szCs w:val="22"/>
                <w:lang w:val="lt-LT"/>
              </w:rPr>
              <w:tab/>
            </w:r>
            <w:r w:rsidR="00297725" w:rsidRPr="0006604A">
              <w:rPr>
                <w:rStyle w:val="Hyperlink"/>
                <w:lang w:val="lt-LT"/>
              </w:rPr>
              <w:t>Jėgos panaudojimas savigynai</w:t>
            </w:r>
            <w:r w:rsidR="00297725" w:rsidRPr="0006604A">
              <w:rPr>
                <w:webHidden/>
                <w:lang w:val="lt-LT"/>
              </w:rPr>
              <w:tab/>
            </w:r>
            <w:r w:rsidRPr="0006604A">
              <w:rPr>
                <w:webHidden/>
                <w:lang w:val="lt-LT"/>
              </w:rPr>
              <w:fldChar w:fldCharType="begin"/>
            </w:r>
            <w:r w:rsidR="00297725" w:rsidRPr="0006604A">
              <w:rPr>
                <w:webHidden/>
                <w:lang w:val="lt-LT"/>
              </w:rPr>
              <w:instrText xml:space="preserve"> PAGEREF _Toc280807836 \h </w:instrText>
            </w:r>
            <w:r w:rsidRPr="0006604A">
              <w:rPr>
                <w:webHidden/>
                <w:lang w:val="lt-LT"/>
              </w:rPr>
            </w:r>
            <w:r w:rsidRPr="0006604A">
              <w:rPr>
                <w:webHidden/>
                <w:lang w:val="lt-LT"/>
              </w:rPr>
              <w:fldChar w:fldCharType="separate"/>
            </w:r>
            <w:r w:rsidR="00297725" w:rsidRPr="0006604A">
              <w:rPr>
                <w:webHidden/>
                <w:lang w:val="lt-LT"/>
              </w:rPr>
              <w:t>26</w:t>
            </w:r>
            <w:r w:rsidRPr="0006604A">
              <w:rPr>
                <w:webHidden/>
                <w:lang w:val="lt-LT"/>
              </w:rPr>
              <w:fldChar w:fldCharType="end"/>
            </w:r>
          </w:hyperlink>
        </w:p>
        <w:p w:rsidR="00297725" w:rsidRPr="0006604A" w:rsidRDefault="00275463" w:rsidP="00113D43">
          <w:pPr>
            <w:pStyle w:val="TOC1"/>
            <w:tabs>
              <w:tab w:val="left" w:pos="480"/>
              <w:tab w:val="right" w:leader="dot" w:pos="9639"/>
            </w:tabs>
            <w:rPr>
              <w:rFonts w:asciiTheme="minorHAnsi" w:eastAsiaTheme="minorEastAsia" w:hAnsiTheme="minorHAnsi" w:cstheme="minorBidi"/>
              <w:sz w:val="22"/>
              <w:szCs w:val="22"/>
              <w:lang w:val="lt-LT"/>
            </w:rPr>
          </w:pPr>
          <w:hyperlink w:anchor="_Toc280807837" w:history="1">
            <w:r w:rsidR="00297725" w:rsidRPr="0006604A">
              <w:rPr>
                <w:rStyle w:val="Hyperlink"/>
                <w:lang w:val="lt-LT"/>
              </w:rPr>
              <w:t>2.</w:t>
            </w:r>
            <w:r w:rsidR="00297725" w:rsidRPr="0006604A">
              <w:rPr>
                <w:rFonts w:asciiTheme="minorHAnsi" w:eastAsiaTheme="minorEastAsia" w:hAnsiTheme="minorHAnsi" w:cstheme="minorBidi"/>
                <w:sz w:val="22"/>
                <w:szCs w:val="22"/>
                <w:lang w:val="lt-LT"/>
              </w:rPr>
              <w:tab/>
            </w:r>
            <w:r w:rsidR="00297725" w:rsidRPr="0006604A">
              <w:rPr>
                <w:rStyle w:val="Hyperlink"/>
                <w:lang w:val="lt-LT"/>
              </w:rPr>
              <w:t>TAIKOS MISIJOS PRAKTIKOJE</w:t>
            </w:r>
            <w:r w:rsidR="00297725" w:rsidRPr="0006604A">
              <w:rPr>
                <w:webHidden/>
                <w:lang w:val="lt-LT"/>
              </w:rPr>
              <w:tab/>
            </w:r>
            <w:r w:rsidRPr="0006604A">
              <w:rPr>
                <w:webHidden/>
                <w:lang w:val="lt-LT"/>
              </w:rPr>
              <w:fldChar w:fldCharType="begin"/>
            </w:r>
            <w:r w:rsidR="00297725" w:rsidRPr="0006604A">
              <w:rPr>
                <w:webHidden/>
                <w:lang w:val="lt-LT"/>
              </w:rPr>
              <w:instrText xml:space="preserve"> PAGEREF _Toc280807837 \h </w:instrText>
            </w:r>
            <w:r w:rsidRPr="0006604A">
              <w:rPr>
                <w:webHidden/>
                <w:lang w:val="lt-LT"/>
              </w:rPr>
            </w:r>
            <w:r w:rsidRPr="0006604A">
              <w:rPr>
                <w:webHidden/>
                <w:lang w:val="lt-LT"/>
              </w:rPr>
              <w:fldChar w:fldCharType="separate"/>
            </w:r>
            <w:r w:rsidR="00297725" w:rsidRPr="0006604A">
              <w:rPr>
                <w:webHidden/>
                <w:lang w:val="lt-LT"/>
              </w:rPr>
              <w:t>30</w:t>
            </w:r>
            <w:r w:rsidRPr="0006604A">
              <w:rPr>
                <w:webHidden/>
                <w:lang w:val="lt-LT"/>
              </w:rPr>
              <w:fldChar w:fldCharType="end"/>
            </w:r>
          </w:hyperlink>
        </w:p>
        <w:p w:rsidR="00297725" w:rsidRPr="0006604A" w:rsidRDefault="00275463" w:rsidP="00113D43">
          <w:pPr>
            <w:pStyle w:val="TOC2"/>
            <w:tabs>
              <w:tab w:val="left" w:pos="880"/>
              <w:tab w:val="right" w:leader="dot" w:pos="9639"/>
            </w:tabs>
            <w:rPr>
              <w:rFonts w:asciiTheme="minorHAnsi" w:eastAsiaTheme="minorEastAsia" w:hAnsiTheme="minorHAnsi" w:cstheme="minorBidi"/>
              <w:sz w:val="22"/>
              <w:szCs w:val="22"/>
              <w:lang w:val="lt-LT"/>
            </w:rPr>
          </w:pPr>
          <w:hyperlink w:anchor="_Toc280807838" w:history="1">
            <w:r w:rsidR="00297725" w:rsidRPr="0006604A">
              <w:rPr>
                <w:rStyle w:val="Hyperlink"/>
                <w:lang w:val="lt-LT"/>
              </w:rPr>
              <w:t>2.1.</w:t>
            </w:r>
            <w:r w:rsidR="00297725" w:rsidRPr="0006604A">
              <w:rPr>
                <w:rFonts w:asciiTheme="minorHAnsi" w:eastAsiaTheme="minorEastAsia" w:hAnsiTheme="minorHAnsi" w:cstheme="minorBidi"/>
                <w:sz w:val="22"/>
                <w:szCs w:val="22"/>
                <w:lang w:val="lt-LT"/>
              </w:rPr>
              <w:tab/>
            </w:r>
            <w:r w:rsidR="00297725" w:rsidRPr="0006604A">
              <w:rPr>
                <w:rStyle w:val="Hyperlink"/>
                <w:lang w:val="lt-LT"/>
              </w:rPr>
              <w:t>Tradicinės taikos misijos</w:t>
            </w:r>
            <w:r w:rsidR="00297725" w:rsidRPr="0006604A">
              <w:rPr>
                <w:webHidden/>
                <w:lang w:val="lt-LT"/>
              </w:rPr>
              <w:tab/>
            </w:r>
            <w:r w:rsidRPr="0006604A">
              <w:rPr>
                <w:webHidden/>
                <w:lang w:val="lt-LT"/>
              </w:rPr>
              <w:fldChar w:fldCharType="begin"/>
            </w:r>
            <w:r w:rsidR="00297725" w:rsidRPr="0006604A">
              <w:rPr>
                <w:webHidden/>
                <w:lang w:val="lt-LT"/>
              </w:rPr>
              <w:instrText xml:space="preserve"> PAGEREF _Toc280807838 \h </w:instrText>
            </w:r>
            <w:r w:rsidRPr="0006604A">
              <w:rPr>
                <w:webHidden/>
                <w:lang w:val="lt-LT"/>
              </w:rPr>
            </w:r>
            <w:r w:rsidRPr="0006604A">
              <w:rPr>
                <w:webHidden/>
                <w:lang w:val="lt-LT"/>
              </w:rPr>
              <w:fldChar w:fldCharType="separate"/>
            </w:r>
            <w:r w:rsidR="00297725" w:rsidRPr="0006604A">
              <w:rPr>
                <w:webHidden/>
                <w:lang w:val="lt-LT"/>
              </w:rPr>
              <w:t>30</w:t>
            </w:r>
            <w:r w:rsidRPr="0006604A">
              <w:rPr>
                <w:webHidden/>
                <w:lang w:val="lt-LT"/>
              </w:rPr>
              <w:fldChar w:fldCharType="end"/>
            </w:r>
          </w:hyperlink>
        </w:p>
        <w:p w:rsidR="00297725" w:rsidRPr="0006604A" w:rsidRDefault="00275463" w:rsidP="00113D43">
          <w:pPr>
            <w:pStyle w:val="TOC2"/>
            <w:tabs>
              <w:tab w:val="left" w:pos="880"/>
              <w:tab w:val="right" w:leader="dot" w:pos="9639"/>
            </w:tabs>
            <w:rPr>
              <w:rFonts w:asciiTheme="minorHAnsi" w:eastAsiaTheme="minorEastAsia" w:hAnsiTheme="minorHAnsi" w:cstheme="minorBidi"/>
              <w:sz w:val="22"/>
              <w:szCs w:val="22"/>
              <w:lang w:val="lt-LT"/>
            </w:rPr>
          </w:pPr>
          <w:hyperlink w:anchor="_Toc280807839" w:history="1">
            <w:r w:rsidR="00297725" w:rsidRPr="0006604A">
              <w:rPr>
                <w:rStyle w:val="Hyperlink"/>
                <w:lang w:val="lt-LT"/>
              </w:rPr>
              <w:t>2.2.</w:t>
            </w:r>
            <w:r w:rsidR="00297725" w:rsidRPr="0006604A">
              <w:rPr>
                <w:rFonts w:asciiTheme="minorHAnsi" w:eastAsiaTheme="minorEastAsia" w:hAnsiTheme="minorHAnsi" w:cstheme="minorBidi"/>
                <w:sz w:val="22"/>
                <w:szCs w:val="22"/>
                <w:lang w:val="lt-LT"/>
              </w:rPr>
              <w:tab/>
            </w:r>
            <w:r w:rsidR="00297725" w:rsidRPr="0006604A">
              <w:rPr>
                <w:rStyle w:val="Hyperlink"/>
                <w:lang w:val="lt-LT"/>
              </w:rPr>
              <w:t>Platesnio masto taikos operacijos</w:t>
            </w:r>
            <w:r w:rsidR="00297725" w:rsidRPr="0006604A">
              <w:rPr>
                <w:webHidden/>
                <w:lang w:val="lt-LT"/>
              </w:rPr>
              <w:tab/>
            </w:r>
            <w:r w:rsidRPr="0006604A">
              <w:rPr>
                <w:webHidden/>
                <w:lang w:val="lt-LT"/>
              </w:rPr>
              <w:fldChar w:fldCharType="begin"/>
            </w:r>
            <w:r w:rsidR="00297725" w:rsidRPr="0006604A">
              <w:rPr>
                <w:webHidden/>
                <w:lang w:val="lt-LT"/>
              </w:rPr>
              <w:instrText xml:space="preserve"> PAGEREF _Toc280807839 \h </w:instrText>
            </w:r>
            <w:r w:rsidRPr="0006604A">
              <w:rPr>
                <w:webHidden/>
                <w:lang w:val="lt-LT"/>
              </w:rPr>
            </w:r>
            <w:r w:rsidRPr="0006604A">
              <w:rPr>
                <w:webHidden/>
                <w:lang w:val="lt-LT"/>
              </w:rPr>
              <w:fldChar w:fldCharType="separate"/>
            </w:r>
            <w:r w:rsidR="00297725" w:rsidRPr="0006604A">
              <w:rPr>
                <w:webHidden/>
                <w:lang w:val="lt-LT"/>
              </w:rPr>
              <w:t>33</w:t>
            </w:r>
            <w:r w:rsidRPr="0006604A">
              <w:rPr>
                <w:webHidden/>
                <w:lang w:val="lt-LT"/>
              </w:rPr>
              <w:fldChar w:fldCharType="end"/>
            </w:r>
          </w:hyperlink>
        </w:p>
        <w:p w:rsidR="00297725" w:rsidRPr="0006604A" w:rsidRDefault="00275463" w:rsidP="00113D43">
          <w:pPr>
            <w:pStyle w:val="TOC2"/>
            <w:tabs>
              <w:tab w:val="left" w:pos="880"/>
              <w:tab w:val="right" w:leader="dot" w:pos="9639"/>
            </w:tabs>
            <w:rPr>
              <w:rFonts w:asciiTheme="minorHAnsi" w:eastAsiaTheme="minorEastAsia" w:hAnsiTheme="minorHAnsi" w:cstheme="minorBidi"/>
              <w:sz w:val="22"/>
              <w:szCs w:val="22"/>
              <w:lang w:val="lt-LT"/>
            </w:rPr>
          </w:pPr>
          <w:hyperlink w:anchor="_Toc280807840" w:history="1">
            <w:r w:rsidR="00297725" w:rsidRPr="0006604A">
              <w:rPr>
                <w:rStyle w:val="Hyperlink"/>
                <w:lang w:val="lt-LT"/>
              </w:rPr>
              <w:t>2.3.</w:t>
            </w:r>
            <w:r w:rsidR="00297725" w:rsidRPr="0006604A">
              <w:rPr>
                <w:rFonts w:asciiTheme="minorHAnsi" w:eastAsiaTheme="minorEastAsia" w:hAnsiTheme="minorHAnsi" w:cstheme="minorBidi"/>
                <w:sz w:val="22"/>
                <w:szCs w:val="22"/>
                <w:lang w:val="lt-LT"/>
              </w:rPr>
              <w:tab/>
            </w:r>
            <w:r w:rsidR="00297725" w:rsidRPr="0006604A">
              <w:rPr>
                <w:rStyle w:val="Hyperlink"/>
                <w:lang w:val="lt-LT"/>
              </w:rPr>
              <w:t>Nuo karinių veiksmų iki taikos įtvirtinimo</w:t>
            </w:r>
            <w:r w:rsidR="00297725" w:rsidRPr="0006604A">
              <w:rPr>
                <w:webHidden/>
                <w:lang w:val="lt-LT"/>
              </w:rPr>
              <w:tab/>
            </w:r>
            <w:r w:rsidRPr="0006604A">
              <w:rPr>
                <w:webHidden/>
                <w:lang w:val="lt-LT"/>
              </w:rPr>
              <w:fldChar w:fldCharType="begin"/>
            </w:r>
            <w:r w:rsidR="00297725" w:rsidRPr="0006604A">
              <w:rPr>
                <w:webHidden/>
                <w:lang w:val="lt-LT"/>
              </w:rPr>
              <w:instrText xml:space="preserve"> PAGEREF _Toc280807840 \h </w:instrText>
            </w:r>
            <w:r w:rsidRPr="0006604A">
              <w:rPr>
                <w:webHidden/>
                <w:lang w:val="lt-LT"/>
              </w:rPr>
            </w:r>
            <w:r w:rsidRPr="0006604A">
              <w:rPr>
                <w:webHidden/>
                <w:lang w:val="lt-LT"/>
              </w:rPr>
              <w:fldChar w:fldCharType="separate"/>
            </w:r>
            <w:r w:rsidR="00297725" w:rsidRPr="0006604A">
              <w:rPr>
                <w:webHidden/>
                <w:lang w:val="lt-LT"/>
              </w:rPr>
              <w:t>38</w:t>
            </w:r>
            <w:r w:rsidRPr="0006604A">
              <w:rPr>
                <w:webHidden/>
                <w:lang w:val="lt-LT"/>
              </w:rPr>
              <w:fldChar w:fldCharType="end"/>
            </w:r>
          </w:hyperlink>
        </w:p>
        <w:p w:rsidR="00297725" w:rsidRPr="0006604A" w:rsidRDefault="00275463" w:rsidP="00113D43">
          <w:pPr>
            <w:pStyle w:val="TOC2"/>
            <w:tabs>
              <w:tab w:val="left" w:pos="880"/>
              <w:tab w:val="right" w:leader="dot" w:pos="9639"/>
            </w:tabs>
            <w:rPr>
              <w:rFonts w:asciiTheme="minorHAnsi" w:eastAsiaTheme="minorEastAsia" w:hAnsiTheme="minorHAnsi" w:cstheme="minorBidi"/>
              <w:sz w:val="22"/>
              <w:szCs w:val="22"/>
              <w:lang w:val="lt-LT"/>
            </w:rPr>
          </w:pPr>
          <w:hyperlink w:anchor="_Toc280807841" w:history="1">
            <w:r w:rsidR="00297725" w:rsidRPr="0006604A">
              <w:rPr>
                <w:rStyle w:val="Hyperlink"/>
                <w:lang w:val="lt-LT"/>
              </w:rPr>
              <w:t>2.4.</w:t>
            </w:r>
            <w:r w:rsidR="00297725" w:rsidRPr="0006604A">
              <w:rPr>
                <w:rFonts w:asciiTheme="minorHAnsi" w:eastAsiaTheme="minorEastAsia" w:hAnsiTheme="minorHAnsi" w:cstheme="minorBidi"/>
                <w:sz w:val="22"/>
                <w:szCs w:val="22"/>
                <w:lang w:val="lt-LT"/>
              </w:rPr>
              <w:tab/>
            </w:r>
            <w:r w:rsidR="00297725" w:rsidRPr="0006604A">
              <w:rPr>
                <w:rStyle w:val="Hyperlink"/>
                <w:lang w:val="lt-LT"/>
              </w:rPr>
              <w:t>Lietuva – taikos misijų dalyvė</w:t>
            </w:r>
            <w:r w:rsidR="00297725" w:rsidRPr="0006604A">
              <w:rPr>
                <w:webHidden/>
                <w:lang w:val="lt-LT"/>
              </w:rPr>
              <w:tab/>
            </w:r>
            <w:r w:rsidRPr="0006604A">
              <w:rPr>
                <w:webHidden/>
                <w:lang w:val="lt-LT"/>
              </w:rPr>
              <w:fldChar w:fldCharType="begin"/>
            </w:r>
            <w:r w:rsidR="00297725" w:rsidRPr="0006604A">
              <w:rPr>
                <w:webHidden/>
                <w:lang w:val="lt-LT"/>
              </w:rPr>
              <w:instrText xml:space="preserve"> PAGEREF _Toc280807841 \h </w:instrText>
            </w:r>
            <w:r w:rsidRPr="0006604A">
              <w:rPr>
                <w:webHidden/>
                <w:lang w:val="lt-LT"/>
              </w:rPr>
            </w:r>
            <w:r w:rsidRPr="0006604A">
              <w:rPr>
                <w:webHidden/>
                <w:lang w:val="lt-LT"/>
              </w:rPr>
              <w:fldChar w:fldCharType="separate"/>
            </w:r>
            <w:r w:rsidR="00297725" w:rsidRPr="0006604A">
              <w:rPr>
                <w:webHidden/>
                <w:lang w:val="lt-LT"/>
              </w:rPr>
              <w:t>46</w:t>
            </w:r>
            <w:r w:rsidRPr="0006604A">
              <w:rPr>
                <w:webHidden/>
                <w:lang w:val="lt-LT"/>
              </w:rPr>
              <w:fldChar w:fldCharType="end"/>
            </w:r>
          </w:hyperlink>
        </w:p>
        <w:p w:rsidR="00297725" w:rsidRPr="0006604A" w:rsidRDefault="00275463" w:rsidP="00113D43">
          <w:pPr>
            <w:pStyle w:val="TOC1"/>
            <w:tabs>
              <w:tab w:val="right" w:leader="dot" w:pos="9639"/>
            </w:tabs>
            <w:rPr>
              <w:rFonts w:asciiTheme="minorHAnsi" w:eastAsiaTheme="minorEastAsia" w:hAnsiTheme="minorHAnsi" w:cstheme="minorBidi"/>
              <w:sz w:val="22"/>
              <w:szCs w:val="22"/>
              <w:lang w:val="lt-LT"/>
            </w:rPr>
          </w:pPr>
          <w:hyperlink w:anchor="_Toc280807842" w:history="1">
            <w:r w:rsidR="00297725" w:rsidRPr="0006604A">
              <w:rPr>
                <w:rStyle w:val="Hyperlink"/>
                <w:lang w:val="lt-LT"/>
              </w:rPr>
              <w:t>IŠVADOS</w:t>
            </w:r>
            <w:r w:rsidR="00297725" w:rsidRPr="0006604A">
              <w:rPr>
                <w:webHidden/>
                <w:lang w:val="lt-LT"/>
              </w:rPr>
              <w:tab/>
            </w:r>
            <w:r w:rsidRPr="0006604A">
              <w:rPr>
                <w:webHidden/>
                <w:lang w:val="lt-LT"/>
              </w:rPr>
              <w:fldChar w:fldCharType="begin"/>
            </w:r>
            <w:r w:rsidR="00297725" w:rsidRPr="0006604A">
              <w:rPr>
                <w:webHidden/>
                <w:lang w:val="lt-LT"/>
              </w:rPr>
              <w:instrText xml:space="preserve"> PAGEREF _Toc280807842 \h </w:instrText>
            </w:r>
            <w:r w:rsidRPr="0006604A">
              <w:rPr>
                <w:webHidden/>
                <w:lang w:val="lt-LT"/>
              </w:rPr>
            </w:r>
            <w:r w:rsidRPr="0006604A">
              <w:rPr>
                <w:webHidden/>
                <w:lang w:val="lt-LT"/>
              </w:rPr>
              <w:fldChar w:fldCharType="separate"/>
            </w:r>
            <w:r w:rsidR="00297725" w:rsidRPr="0006604A">
              <w:rPr>
                <w:webHidden/>
                <w:lang w:val="lt-LT"/>
              </w:rPr>
              <w:t>52</w:t>
            </w:r>
            <w:r w:rsidRPr="0006604A">
              <w:rPr>
                <w:webHidden/>
                <w:lang w:val="lt-LT"/>
              </w:rPr>
              <w:fldChar w:fldCharType="end"/>
            </w:r>
          </w:hyperlink>
        </w:p>
        <w:p w:rsidR="00297725" w:rsidRPr="0006604A" w:rsidRDefault="00275463" w:rsidP="00113D43">
          <w:pPr>
            <w:pStyle w:val="TOC1"/>
            <w:tabs>
              <w:tab w:val="right" w:leader="dot" w:pos="9639"/>
            </w:tabs>
            <w:rPr>
              <w:rFonts w:asciiTheme="minorHAnsi" w:eastAsiaTheme="minorEastAsia" w:hAnsiTheme="minorHAnsi" w:cstheme="minorBidi"/>
              <w:sz w:val="22"/>
              <w:szCs w:val="22"/>
              <w:lang w:val="lt-LT"/>
            </w:rPr>
          </w:pPr>
          <w:hyperlink w:anchor="_Toc280807843" w:history="1">
            <w:r w:rsidR="00297725" w:rsidRPr="0006604A">
              <w:rPr>
                <w:rStyle w:val="Hyperlink"/>
                <w:lang w:val="lt-LT"/>
              </w:rPr>
              <w:t>LITERATŪROS SĄRAŠAS</w:t>
            </w:r>
            <w:r w:rsidR="00297725" w:rsidRPr="0006604A">
              <w:rPr>
                <w:webHidden/>
                <w:lang w:val="lt-LT"/>
              </w:rPr>
              <w:tab/>
            </w:r>
            <w:r w:rsidRPr="0006604A">
              <w:rPr>
                <w:webHidden/>
                <w:lang w:val="lt-LT"/>
              </w:rPr>
              <w:fldChar w:fldCharType="begin"/>
            </w:r>
            <w:r w:rsidR="00297725" w:rsidRPr="0006604A">
              <w:rPr>
                <w:webHidden/>
                <w:lang w:val="lt-LT"/>
              </w:rPr>
              <w:instrText xml:space="preserve"> PAGEREF _Toc280807843 \h </w:instrText>
            </w:r>
            <w:r w:rsidRPr="0006604A">
              <w:rPr>
                <w:webHidden/>
                <w:lang w:val="lt-LT"/>
              </w:rPr>
            </w:r>
            <w:r w:rsidRPr="0006604A">
              <w:rPr>
                <w:webHidden/>
                <w:lang w:val="lt-LT"/>
              </w:rPr>
              <w:fldChar w:fldCharType="separate"/>
            </w:r>
            <w:r w:rsidR="00297725" w:rsidRPr="0006604A">
              <w:rPr>
                <w:webHidden/>
                <w:lang w:val="lt-LT"/>
              </w:rPr>
              <w:t>54</w:t>
            </w:r>
            <w:r w:rsidRPr="0006604A">
              <w:rPr>
                <w:webHidden/>
                <w:lang w:val="lt-LT"/>
              </w:rPr>
              <w:fldChar w:fldCharType="end"/>
            </w:r>
          </w:hyperlink>
        </w:p>
        <w:p w:rsidR="00297725" w:rsidRPr="0006604A" w:rsidRDefault="00275463" w:rsidP="00113D43">
          <w:pPr>
            <w:pStyle w:val="TOC1"/>
            <w:tabs>
              <w:tab w:val="right" w:leader="dot" w:pos="9639"/>
            </w:tabs>
            <w:rPr>
              <w:rFonts w:asciiTheme="minorHAnsi" w:eastAsiaTheme="minorEastAsia" w:hAnsiTheme="minorHAnsi" w:cstheme="minorBidi"/>
              <w:sz w:val="22"/>
              <w:szCs w:val="22"/>
              <w:lang w:val="lt-LT"/>
            </w:rPr>
          </w:pPr>
          <w:hyperlink w:anchor="_Toc280807844" w:history="1">
            <w:r w:rsidR="00297725" w:rsidRPr="0006604A">
              <w:rPr>
                <w:rStyle w:val="Hyperlink"/>
                <w:lang w:val="lt-LT"/>
              </w:rPr>
              <w:t>SANTRAUKA</w:t>
            </w:r>
            <w:r w:rsidR="00297725" w:rsidRPr="0006604A">
              <w:rPr>
                <w:webHidden/>
                <w:lang w:val="lt-LT"/>
              </w:rPr>
              <w:tab/>
            </w:r>
            <w:r w:rsidRPr="0006604A">
              <w:rPr>
                <w:webHidden/>
                <w:lang w:val="lt-LT"/>
              </w:rPr>
              <w:fldChar w:fldCharType="begin"/>
            </w:r>
            <w:r w:rsidR="00297725" w:rsidRPr="0006604A">
              <w:rPr>
                <w:webHidden/>
                <w:lang w:val="lt-LT"/>
              </w:rPr>
              <w:instrText xml:space="preserve"> PAGEREF _Toc280807844 \h </w:instrText>
            </w:r>
            <w:r w:rsidRPr="0006604A">
              <w:rPr>
                <w:webHidden/>
                <w:lang w:val="lt-LT"/>
              </w:rPr>
            </w:r>
            <w:r w:rsidRPr="0006604A">
              <w:rPr>
                <w:webHidden/>
                <w:lang w:val="lt-LT"/>
              </w:rPr>
              <w:fldChar w:fldCharType="separate"/>
            </w:r>
            <w:r w:rsidR="00297725" w:rsidRPr="0006604A">
              <w:rPr>
                <w:webHidden/>
                <w:lang w:val="lt-LT"/>
              </w:rPr>
              <w:t>64</w:t>
            </w:r>
            <w:r w:rsidRPr="0006604A">
              <w:rPr>
                <w:webHidden/>
                <w:lang w:val="lt-LT"/>
              </w:rPr>
              <w:fldChar w:fldCharType="end"/>
            </w:r>
          </w:hyperlink>
        </w:p>
        <w:p w:rsidR="00297725" w:rsidRPr="0006604A" w:rsidRDefault="00275463" w:rsidP="00113D43">
          <w:pPr>
            <w:pStyle w:val="TOC1"/>
            <w:tabs>
              <w:tab w:val="right" w:leader="dot" w:pos="9639"/>
            </w:tabs>
            <w:rPr>
              <w:rFonts w:asciiTheme="minorHAnsi" w:eastAsiaTheme="minorEastAsia" w:hAnsiTheme="minorHAnsi" w:cstheme="minorBidi"/>
              <w:sz w:val="22"/>
              <w:szCs w:val="22"/>
              <w:lang w:val="lt-LT"/>
            </w:rPr>
          </w:pPr>
          <w:hyperlink w:anchor="_Toc280807845" w:history="1">
            <w:r w:rsidR="00297725" w:rsidRPr="0006604A">
              <w:rPr>
                <w:rStyle w:val="Hyperlink"/>
                <w:lang w:val="lt-LT"/>
              </w:rPr>
              <w:t>SUMMARY</w:t>
            </w:r>
            <w:r w:rsidR="00297725" w:rsidRPr="0006604A">
              <w:rPr>
                <w:webHidden/>
                <w:lang w:val="lt-LT"/>
              </w:rPr>
              <w:tab/>
            </w:r>
            <w:r w:rsidRPr="0006604A">
              <w:rPr>
                <w:webHidden/>
                <w:lang w:val="lt-LT"/>
              </w:rPr>
              <w:fldChar w:fldCharType="begin"/>
            </w:r>
            <w:r w:rsidR="00297725" w:rsidRPr="0006604A">
              <w:rPr>
                <w:webHidden/>
                <w:lang w:val="lt-LT"/>
              </w:rPr>
              <w:instrText xml:space="preserve"> PAGEREF _Toc280807845 \h </w:instrText>
            </w:r>
            <w:r w:rsidRPr="0006604A">
              <w:rPr>
                <w:webHidden/>
                <w:lang w:val="lt-LT"/>
              </w:rPr>
            </w:r>
            <w:r w:rsidRPr="0006604A">
              <w:rPr>
                <w:webHidden/>
                <w:lang w:val="lt-LT"/>
              </w:rPr>
              <w:fldChar w:fldCharType="separate"/>
            </w:r>
            <w:r w:rsidR="00297725" w:rsidRPr="0006604A">
              <w:rPr>
                <w:webHidden/>
                <w:lang w:val="lt-LT"/>
              </w:rPr>
              <w:t>65</w:t>
            </w:r>
            <w:r w:rsidRPr="0006604A">
              <w:rPr>
                <w:webHidden/>
                <w:lang w:val="lt-LT"/>
              </w:rPr>
              <w:fldChar w:fldCharType="end"/>
            </w:r>
          </w:hyperlink>
        </w:p>
        <w:p w:rsidR="00297725" w:rsidRPr="0006604A" w:rsidRDefault="00275463" w:rsidP="00113D43">
          <w:pPr>
            <w:pStyle w:val="TOC1"/>
            <w:tabs>
              <w:tab w:val="right" w:leader="dot" w:pos="9639"/>
            </w:tabs>
            <w:rPr>
              <w:rFonts w:asciiTheme="minorHAnsi" w:eastAsiaTheme="minorEastAsia" w:hAnsiTheme="minorHAnsi" w:cstheme="minorBidi"/>
              <w:sz w:val="22"/>
              <w:szCs w:val="22"/>
              <w:lang w:val="lt-LT"/>
            </w:rPr>
          </w:pPr>
          <w:hyperlink w:anchor="_Toc280807846" w:history="1">
            <w:r w:rsidR="00297725" w:rsidRPr="0006604A">
              <w:rPr>
                <w:rStyle w:val="Hyperlink"/>
                <w:lang w:val="lt-LT"/>
              </w:rPr>
              <w:t>PRIEDAS 1</w:t>
            </w:r>
            <w:r w:rsidR="00297725" w:rsidRPr="0006604A">
              <w:rPr>
                <w:webHidden/>
                <w:lang w:val="lt-LT"/>
              </w:rPr>
              <w:tab/>
            </w:r>
            <w:r w:rsidRPr="0006604A">
              <w:rPr>
                <w:webHidden/>
                <w:lang w:val="lt-LT"/>
              </w:rPr>
              <w:fldChar w:fldCharType="begin"/>
            </w:r>
            <w:r w:rsidR="00297725" w:rsidRPr="0006604A">
              <w:rPr>
                <w:webHidden/>
                <w:lang w:val="lt-LT"/>
              </w:rPr>
              <w:instrText xml:space="preserve"> PAGEREF _Toc280807846 \h </w:instrText>
            </w:r>
            <w:r w:rsidRPr="0006604A">
              <w:rPr>
                <w:webHidden/>
                <w:lang w:val="lt-LT"/>
              </w:rPr>
            </w:r>
            <w:r w:rsidRPr="0006604A">
              <w:rPr>
                <w:webHidden/>
                <w:lang w:val="lt-LT"/>
              </w:rPr>
              <w:fldChar w:fldCharType="separate"/>
            </w:r>
            <w:r w:rsidR="00297725" w:rsidRPr="0006604A">
              <w:rPr>
                <w:webHidden/>
                <w:lang w:val="lt-LT"/>
              </w:rPr>
              <w:t>66</w:t>
            </w:r>
            <w:r w:rsidRPr="0006604A">
              <w:rPr>
                <w:webHidden/>
                <w:lang w:val="lt-LT"/>
              </w:rPr>
              <w:fldChar w:fldCharType="end"/>
            </w:r>
          </w:hyperlink>
        </w:p>
        <w:p w:rsidR="003D7905" w:rsidRPr="0006604A" w:rsidRDefault="00275463" w:rsidP="00113D43">
          <w:pPr>
            <w:tabs>
              <w:tab w:val="right" w:leader="dot" w:pos="9639"/>
            </w:tabs>
            <w:rPr>
              <w:lang w:val="lt-LT"/>
            </w:rPr>
          </w:pPr>
          <w:r w:rsidRPr="0006604A">
            <w:rPr>
              <w:lang w:val="lt-LT"/>
            </w:rPr>
            <w:fldChar w:fldCharType="end"/>
          </w:r>
        </w:p>
      </w:sdtContent>
    </w:sdt>
    <w:p w:rsidR="005C789B" w:rsidRPr="0006604A" w:rsidRDefault="005C789B" w:rsidP="00113D43">
      <w:pPr>
        <w:pStyle w:val="Heading1"/>
        <w:jc w:val="both"/>
        <w:rPr>
          <w:sz w:val="24"/>
          <w:szCs w:val="24"/>
          <w:lang w:val="lt-LT"/>
        </w:rPr>
        <w:sectPr w:rsidR="005C789B" w:rsidRPr="0006604A" w:rsidSect="00113D43">
          <w:footerReference w:type="default" r:id="rId12"/>
          <w:pgSz w:w="11907" w:h="16839" w:code="9"/>
          <w:pgMar w:top="1418" w:right="567" w:bottom="1418" w:left="1701" w:header="709" w:footer="709" w:gutter="0"/>
          <w:cols w:space="708"/>
          <w:docGrid w:linePitch="360"/>
        </w:sectPr>
      </w:pPr>
    </w:p>
    <w:p w:rsidR="004A6EC7" w:rsidRPr="0006604A" w:rsidRDefault="00BB703E" w:rsidP="00113D43">
      <w:pPr>
        <w:pStyle w:val="Heading1"/>
        <w:rPr>
          <w:sz w:val="24"/>
          <w:szCs w:val="24"/>
          <w:lang w:val="lt-LT"/>
        </w:rPr>
      </w:pPr>
      <w:bookmarkStart w:id="1" w:name="_Toc280807828"/>
      <w:r w:rsidRPr="0006604A">
        <w:rPr>
          <w:sz w:val="24"/>
          <w:szCs w:val="24"/>
          <w:lang w:val="lt-LT"/>
        </w:rPr>
        <w:lastRenderedPageBreak/>
        <w:t>ĮVADAS</w:t>
      </w:r>
      <w:bookmarkEnd w:id="0"/>
      <w:bookmarkEnd w:id="1"/>
    </w:p>
    <w:p w:rsidR="004A6EC7" w:rsidRPr="0006604A" w:rsidRDefault="004A6EC7" w:rsidP="00236507">
      <w:pPr>
        <w:ind w:firstLine="851"/>
        <w:rPr>
          <w:lang w:val="lt-LT"/>
        </w:rPr>
      </w:pPr>
      <w:r w:rsidRPr="0006604A">
        <w:rPr>
          <w:lang w:val="lt-LT"/>
        </w:rPr>
        <w:t>Prieš 65-rius metus sukurta Jungtinių Tautų Organizacija.</w:t>
      </w:r>
      <w:r w:rsidR="005B3B41">
        <w:rPr>
          <w:lang w:val="lt-LT"/>
        </w:rPr>
        <w:t xml:space="preserve"> Taip buvo įgyvendintas tikslas ‒ </w:t>
      </w:r>
      <w:r w:rsidRPr="0006604A">
        <w:rPr>
          <w:lang w:val="lt-LT"/>
        </w:rPr>
        <w:t xml:space="preserve"> sukurti kolektyvinę suverenių tautų saugumo sistemą ir, kaip teigiama Jungtinių Tautų Chartijos (toliau Chartija) preambulėje, „išgelbėti būsimas kartas nuo karo rykštės“. Chartijos 1 straipsnis pradedamas fundamentalios svarbos principais – tai tarptautinė taika ir saugumas. Vienareikšmiškai galime teigti: vienos valstybės nesaugumas kelia grėsmę visam pasauliui. </w:t>
      </w:r>
    </w:p>
    <w:p w:rsidR="004A6EC7" w:rsidRPr="0006604A" w:rsidRDefault="00D01441" w:rsidP="00B1753D">
      <w:pPr>
        <w:ind w:firstLine="851"/>
        <w:rPr>
          <w:lang w:val="lt-LT"/>
        </w:rPr>
      </w:pPr>
      <w:r>
        <w:rPr>
          <w:lang w:val="lt-LT"/>
        </w:rPr>
        <w:t>Nuo A</w:t>
      </w:r>
      <w:r w:rsidR="004A6EC7" w:rsidRPr="0006604A">
        <w:rPr>
          <w:lang w:val="lt-LT"/>
        </w:rPr>
        <w:t>ntrojo pasaulinio karo, kai daugiausia vyko tarpvalstybiniai ginčai</w:t>
      </w:r>
      <w:r w:rsidR="00F9068C">
        <w:rPr>
          <w:lang w:val="lt-LT"/>
        </w:rPr>
        <w:t>,</w:t>
      </w:r>
      <w:r w:rsidR="004A6EC7" w:rsidRPr="0006604A">
        <w:rPr>
          <w:lang w:val="lt-LT"/>
        </w:rPr>
        <w:t xml:space="preserve"> ir pastaraisiais dešimtmečiais vykstantys </w:t>
      </w:r>
      <w:r w:rsidR="00B1753D">
        <w:rPr>
          <w:lang w:val="lt-LT"/>
        </w:rPr>
        <w:t xml:space="preserve">civiliniai karai šalies viduje </w:t>
      </w:r>
      <w:r w:rsidR="004A6EC7" w:rsidRPr="0006604A">
        <w:rPr>
          <w:lang w:val="lt-LT"/>
        </w:rPr>
        <w:t xml:space="preserve">verčia Jungtines Tautas imtis visų priemonių, kad būtų užtikrintas </w:t>
      </w:r>
      <w:r w:rsidR="00892F14">
        <w:rPr>
          <w:lang w:val="lt-LT"/>
        </w:rPr>
        <w:t xml:space="preserve">tarptautinis saugumas. 1948-ieji ‒ taikos misijų pradžios metai, </w:t>
      </w:r>
      <w:r w:rsidR="004A6EC7" w:rsidRPr="0006604A">
        <w:rPr>
          <w:lang w:val="lt-LT"/>
        </w:rPr>
        <w:t>realus įrodymas, kad suverenios pasaulio vals</w:t>
      </w:r>
      <w:r w:rsidR="00EF627A" w:rsidRPr="0006604A">
        <w:rPr>
          <w:lang w:val="lt-LT"/>
        </w:rPr>
        <w:t xml:space="preserve">tybės po dviejų pasaulinių karų </w:t>
      </w:r>
      <w:r w:rsidR="004A6EC7" w:rsidRPr="0006604A">
        <w:rPr>
          <w:lang w:val="lt-LT"/>
        </w:rPr>
        <w:t xml:space="preserve">deda viltis ir pastangas sukurti taikią pasaulio bendruomenę. Iki Šaltojo karo pabaigos Jungtinės Tautos neturėjo tiesioginių taikos įtvirtinimo įgaliojimų ir vyravo tradicinės taikos palaikymo misijos, kai stengiamasi užmaskuoti karo simptomus, tačiau neįsigilinama į karo priežastis. Pastaraisiais dešimtmečiais tradicinės taikos misijos integravosi į visą kompleksą veiksmų: nuo rinkimų kontroliavimo, žmogaus teisių apsaugos iki įvairių struktūrų rekonstrukcijos ir </w:t>
      </w:r>
      <w:r w:rsidR="0006604A" w:rsidRPr="0006604A">
        <w:rPr>
          <w:lang w:val="lt-LT"/>
        </w:rPr>
        <w:t>vystymosi</w:t>
      </w:r>
      <w:r w:rsidR="004A6EC7" w:rsidRPr="0006604A">
        <w:rPr>
          <w:lang w:val="lt-LT"/>
        </w:rPr>
        <w:t>, bendradarbiavimo su specializuotomis institucijomis. Šiomis dienomis taikos misijos api</w:t>
      </w:r>
      <w:r w:rsidR="00EF627A" w:rsidRPr="0006604A">
        <w:rPr>
          <w:lang w:val="lt-LT"/>
        </w:rPr>
        <w:t>ma Jungtinių Tautų kariuomenės, policijo</w:t>
      </w:r>
      <w:r w:rsidR="00BE151E" w:rsidRPr="0006604A">
        <w:rPr>
          <w:lang w:val="lt-LT"/>
        </w:rPr>
        <w:t>s</w:t>
      </w:r>
      <w:r w:rsidR="00EF627A" w:rsidRPr="0006604A">
        <w:rPr>
          <w:lang w:val="lt-LT"/>
        </w:rPr>
        <w:t>,  civilinio</w:t>
      </w:r>
      <w:r w:rsidR="00BE151E" w:rsidRPr="0006604A">
        <w:rPr>
          <w:lang w:val="lt-LT"/>
        </w:rPr>
        <w:t xml:space="preserve"> </w:t>
      </w:r>
      <w:r w:rsidR="00EF627A" w:rsidRPr="0006604A">
        <w:rPr>
          <w:lang w:val="lt-LT"/>
        </w:rPr>
        <w:t xml:space="preserve"> personalo</w:t>
      </w:r>
      <w:r w:rsidR="004A6EC7" w:rsidRPr="0006604A">
        <w:rPr>
          <w:lang w:val="lt-LT"/>
        </w:rPr>
        <w:t xml:space="preserve"> dislokavimą konfliktų niokojamose valstybėse</w:t>
      </w:r>
      <w:r w:rsidR="00EF627A" w:rsidRPr="0006604A">
        <w:rPr>
          <w:lang w:val="lt-LT"/>
        </w:rPr>
        <w:t>,</w:t>
      </w:r>
      <w:r w:rsidR="004A6EC7" w:rsidRPr="0006604A">
        <w:rPr>
          <w:lang w:val="lt-LT"/>
        </w:rPr>
        <w:t xml:space="preserve"> apima veiksmus nuo konflikto užkirtimo dar jam neprasidėjus iki taikos palaikymo, priėmus taikos sutartį tarp konfliktuojančių šalių. </w:t>
      </w:r>
    </w:p>
    <w:p w:rsidR="004A6EC7" w:rsidRPr="0006604A" w:rsidRDefault="00BE151E" w:rsidP="00236507">
      <w:pPr>
        <w:ind w:firstLine="851"/>
        <w:rPr>
          <w:lang w:val="lt-LT"/>
        </w:rPr>
      </w:pPr>
      <w:r w:rsidRPr="0006604A">
        <w:rPr>
          <w:b/>
          <w:bCs/>
          <w:kern w:val="28"/>
          <w:lang w:val="lt-LT"/>
        </w:rPr>
        <w:t xml:space="preserve">Temos </w:t>
      </w:r>
      <w:r w:rsidR="004A6EC7" w:rsidRPr="0006604A">
        <w:rPr>
          <w:b/>
          <w:bCs/>
          <w:kern w:val="28"/>
          <w:lang w:val="lt-LT"/>
        </w:rPr>
        <w:t xml:space="preserve">aktualumas, mokslinis naujumas, teorinė ir praktinė nauda. </w:t>
      </w:r>
      <w:r w:rsidR="004A6EC7" w:rsidRPr="0006604A">
        <w:rPr>
          <w:bCs/>
          <w:kern w:val="28"/>
          <w:lang w:val="lt-LT"/>
        </w:rPr>
        <w:t xml:space="preserve">Šiame globalizacijos veikiamame pasaulyje greta teigiamų rezultatų atsiranda ir naujų grėsmių. Viena iš didžiausių – </w:t>
      </w:r>
      <w:r w:rsidR="004A6EC7" w:rsidRPr="0006604A">
        <w:rPr>
          <w:lang w:val="lt-LT"/>
        </w:rPr>
        <w:t>tai grėsmė tarptautinei taikai ir saugumui, kurią sukelia civiliniai karai, organizuotas nusikalstamumas, terorizmas, masinio naikinimo ginklai, skurdas. Nepaisant politinės ir ekonominės integracijos procesų, tebėra gajos ir dezintegracijos tendencijos, skatinančios teritorinius,</w:t>
      </w:r>
      <w:r w:rsidR="007A544A" w:rsidRPr="0006604A">
        <w:rPr>
          <w:lang w:val="lt-LT"/>
        </w:rPr>
        <w:t xml:space="preserve"> </w:t>
      </w:r>
      <w:r w:rsidR="004A6EC7" w:rsidRPr="0006604A">
        <w:rPr>
          <w:lang w:val="lt-LT"/>
        </w:rPr>
        <w:t>etninius ir religinius konfliktus, kuriuos konfliktuojančios šalys sprendžia karine jėga.</w:t>
      </w:r>
      <w:r w:rsidR="004A6EC7" w:rsidRPr="0006604A">
        <w:rPr>
          <w:rStyle w:val="FootnoteReference"/>
          <w:rFonts w:eastAsiaTheme="majorEastAsia"/>
          <w:lang w:val="lt-LT"/>
        </w:rPr>
        <w:footnoteReference w:id="1"/>
      </w:r>
    </w:p>
    <w:p w:rsidR="004A6EC7" w:rsidRDefault="007A544A" w:rsidP="00236507">
      <w:pPr>
        <w:ind w:firstLine="851"/>
        <w:rPr>
          <w:lang w:val="lt-LT"/>
        </w:rPr>
      </w:pPr>
      <w:r w:rsidRPr="0006604A">
        <w:rPr>
          <w:lang w:val="lt-LT"/>
        </w:rPr>
        <w:t xml:space="preserve">Šiuo metu </w:t>
      </w:r>
      <w:r w:rsidR="004A6EC7" w:rsidRPr="0006604A">
        <w:rPr>
          <w:lang w:val="lt-LT"/>
        </w:rPr>
        <w:t xml:space="preserve">Jungtinės Tautos vadovauja šešiolikai taikos misijų operacijų, kurios išsidėsčiusios net keturiuose žemynuose. Didžiausias skaičius operacijų skirtos valstybių, nualintų civilinių karų, atstatymui: pradedant nuo saugumo įtvirtinimo iki ekonominio ir socialinio </w:t>
      </w:r>
      <w:r w:rsidR="0006604A" w:rsidRPr="0006604A">
        <w:rPr>
          <w:lang w:val="lt-LT"/>
        </w:rPr>
        <w:t>vystymosi</w:t>
      </w:r>
      <w:r w:rsidR="004A6EC7" w:rsidRPr="0006604A">
        <w:rPr>
          <w:lang w:val="lt-LT"/>
        </w:rPr>
        <w:t xml:space="preserve">. </w:t>
      </w:r>
      <w:r w:rsidRPr="0006604A">
        <w:rPr>
          <w:lang w:val="lt-LT"/>
        </w:rPr>
        <w:t>T</w:t>
      </w:r>
      <w:r w:rsidR="00BE151E" w:rsidRPr="0006604A">
        <w:rPr>
          <w:lang w:val="lt-LT"/>
        </w:rPr>
        <w:t>arptautinė bendruomenė</w:t>
      </w:r>
      <w:r w:rsidRPr="0006604A">
        <w:rPr>
          <w:lang w:val="lt-LT"/>
        </w:rPr>
        <w:t xml:space="preserve"> aktyviai stengiasi užkirsti kelią </w:t>
      </w:r>
      <w:r w:rsidR="004A6EC7" w:rsidRPr="0006604A">
        <w:rPr>
          <w:lang w:val="lt-LT"/>
        </w:rPr>
        <w:t>konfliktų atsinaujinimui.</w:t>
      </w:r>
      <w:r w:rsidRPr="0006604A">
        <w:rPr>
          <w:lang w:val="lt-LT"/>
        </w:rPr>
        <w:t xml:space="preserve"> </w:t>
      </w:r>
      <w:r w:rsidR="007F4304" w:rsidRPr="0006604A">
        <w:rPr>
          <w:lang w:val="lt-LT"/>
        </w:rPr>
        <w:t xml:space="preserve">Paminėtina, kad yra taikos misijų, kaip </w:t>
      </w:r>
      <w:r w:rsidRPr="0006604A">
        <w:rPr>
          <w:lang w:val="lt-LT"/>
        </w:rPr>
        <w:t>Viduriniuose Rytuose, Kipre</w:t>
      </w:r>
      <w:r w:rsidR="00AA79BF" w:rsidRPr="0006604A">
        <w:rPr>
          <w:lang w:val="lt-LT"/>
        </w:rPr>
        <w:t>,</w:t>
      </w:r>
      <w:r w:rsidRPr="0006604A">
        <w:rPr>
          <w:lang w:val="lt-LT"/>
        </w:rPr>
        <w:t xml:space="preserve"> </w:t>
      </w:r>
      <w:r w:rsidR="007F4304" w:rsidRPr="0006604A">
        <w:rPr>
          <w:lang w:val="lt-LT"/>
        </w:rPr>
        <w:t xml:space="preserve">kur </w:t>
      </w:r>
      <w:r w:rsidRPr="0006604A">
        <w:rPr>
          <w:lang w:val="lt-LT"/>
        </w:rPr>
        <w:t xml:space="preserve">Jungtinės Tautos </w:t>
      </w:r>
      <w:r w:rsidR="007F4304" w:rsidRPr="0006604A">
        <w:rPr>
          <w:lang w:val="lt-LT"/>
        </w:rPr>
        <w:t xml:space="preserve">savo </w:t>
      </w:r>
      <w:r w:rsidR="007F4304" w:rsidRPr="0006604A">
        <w:rPr>
          <w:lang w:val="lt-LT"/>
        </w:rPr>
        <w:lastRenderedPageBreak/>
        <w:t>veiklą tęsia</w:t>
      </w:r>
      <w:r w:rsidRPr="0006604A">
        <w:rPr>
          <w:lang w:val="lt-LT"/>
        </w:rPr>
        <w:t xml:space="preserve"> nuo XIX a. penkto dešimtmečio. </w:t>
      </w:r>
      <w:r w:rsidR="004953AC" w:rsidRPr="0006604A">
        <w:rPr>
          <w:lang w:val="lt-LT"/>
        </w:rPr>
        <w:t>Todėl tarptautinės taikos</w:t>
      </w:r>
      <w:r w:rsidR="007F4304" w:rsidRPr="0006604A">
        <w:rPr>
          <w:lang w:val="lt-LT"/>
        </w:rPr>
        <w:t xml:space="preserve"> ir saugumo palaikymas  nuo pat taikos misijų praktikos pradžios</w:t>
      </w:r>
      <w:r w:rsidR="00397DF2" w:rsidRPr="0006604A">
        <w:rPr>
          <w:lang w:val="lt-LT"/>
        </w:rPr>
        <w:t xml:space="preserve"> </w:t>
      </w:r>
      <w:r w:rsidR="00532F14" w:rsidRPr="0006604A">
        <w:rPr>
          <w:lang w:val="lt-LT"/>
        </w:rPr>
        <w:t>iki šių dienų</w:t>
      </w:r>
      <w:r w:rsidR="00AA79BF" w:rsidRPr="0006604A">
        <w:rPr>
          <w:lang w:val="lt-LT"/>
        </w:rPr>
        <w:t xml:space="preserve"> išlieka</w:t>
      </w:r>
      <w:r w:rsidR="00397DF2" w:rsidRPr="0006604A">
        <w:rPr>
          <w:lang w:val="lt-LT"/>
        </w:rPr>
        <w:t xml:space="preserve"> ta</w:t>
      </w:r>
      <w:r w:rsidR="00532F14" w:rsidRPr="0006604A">
        <w:rPr>
          <w:lang w:val="lt-LT"/>
        </w:rPr>
        <w:t>rp</w:t>
      </w:r>
      <w:r w:rsidR="00397DF2" w:rsidRPr="0006604A">
        <w:rPr>
          <w:lang w:val="lt-LT"/>
        </w:rPr>
        <w:t>tautinės bendrijos prioritetu.</w:t>
      </w:r>
    </w:p>
    <w:p w:rsidR="00BA08BC" w:rsidRPr="0006604A" w:rsidRDefault="00BA08BC" w:rsidP="00236507">
      <w:pPr>
        <w:ind w:firstLine="851"/>
        <w:rPr>
          <w:lang w:val="lt-LT"/>
        </w:rPr>
      </w:pPr>
      <w:r>
        <w:rPr>
          <w:lang w:val="lt-LT"/>
        </w:rPr>
        <w:t xml:space="preserve">Ypatingai didelis dėmesys </w:t>
      </w:r>
      <w:r w:rsidR="00790449">
        <w:rPr>
          <w:lang w:val="lt-LT"/>
        </w:rPr>
        <w:t xml:space="preserve">skiriamas </w:t>
      </w:r>
      <w:r>
        <w:rPr>
          <w:lang w:val="lt-LT"/>
        </w:rPr>
        <w:t>Afganistano Islamo Respublikai. Neseniai Jungtinės Valstijos ir kitos NATO narės pareiškė apie planuojamą karinių dalinių išvedimą ir visišką saugumo kontrolės perdavimą Afganistanui iki 2014 metų.</w:t>
      </w:r>
      <w:r w:rsidR="00790449">
        <w:rPr>
          <w:lang w:val="lt-LT"/>
        </w:rPr>
        <w:t xml:space="preserve"> </w:t>
      </w:r>
      <w:r w:rsidR="00CE3AF2">
        <w:rPr>
          <w:lang w:val="lt-LT"/>
        </w:rPr>
        <w:t>Tačiau</w:t>
      </w:r>
      <w:r w:rsidR="005860AC">
        <w:rPr>
          <w:lang w:val="lt-LT"/>
        </w:rPr>
        <w:t xml:space="preserve"> paminėtina, </w:t>
      </w:r>
      <w:r w:rsidR="00CE3AF2">
        <w:rPr>
          <w:lang w:val="lt-LT"/>
        </w:rPr>
        <w:t xml:space="preserve"> </w:t>
      </w:r>
      <w:r w:rsidR="005860AC">
        <w:rPr>
          <w:lang w:val="lt-LT"/>
        </w:rPr>
        <w:t xml:space="preserve">kad </w:t>
      </w:r>
      <w:r w:rsidR="00CE3AF2">
        <w:rPr>
          <w:lang w:val="lt-LT"/>
        </w:rPr>
        <w:t>saugumo situacija valsty</w:t>
      </w:r>
      <w:r w:rsidR="00BB4BAD">
        <w:rPr>
          <w:lang w:val="lt-LT"/>
        </w:rPr>
        <w:t>bėje yra vis dar netvirta</w:t>
      </w:r>
      <w:r w:rsidR="005860AC">
        <w:rPr>
          <w:lang w:val="lt-LT"/>
        </w:rPr>
        <w:t xml:space="preserve">, todėl </w:t>
      </w:r>
      <w:r w:rsidR="00CE3AF2">
        <w:rPr>
          <w:lang w:val="lt-LT"/>
        </w:rPr>
        <w:t xml:space="preserve"> šis klausimas sulaukia ypa</w:t>
      </w:r>
      <w:r w:rsidR="00614E9F">
        <w:rPr>
          <w:lang w:val="lt-LT"/>
        </w:rPr>
        <w:t>č</w:t>
      </w:r>
      <w:r w:rsidR="00CE3AF2">
        <w:rPr>
          <w:lang w:val="lt-LT"/>
        </w:rPr>
        <w:t xml:space="preserve"> daug diskusijų.</w:t>
      </w:r>
    </w:p>
    <w:p w:rsidR="004A6EC7" w:rsidRPr="0006604A" w:rsidRDefault="004A6EC7" w:rsidP="00236507">
      <w:pPr>
        <w:ind w:firstLine="851"/>
        <w:rPr>
          <w:lang w:val="lt-LT"/>
        </w:rPr>
      </w:pPr>
      <w:r w:rsidRPr="0006604A">
        <w:rPr>
          <w:lang w:val="lt-LT"/>
        </w:rPr>
        <w:t>Darbo aktualumą nusako ir šios temos ryšys su Lietuvos valstybe. Lietuva</w:t>
      </w:r>
      <w:r w:rsidR="00920F31" w:rsidRPr="0006604A">
        <w:rPr>
          <w:lang w:val="lt-LT"/>
        </w:rPr>
        <w:t>,</w:t>
      </w:r>
      <w:r w:rsidRPr="0006604A">
        <w:rPr>
          <w:lang w:val="lt-LT"/>
        </w:rPr>
        <w:t xml:space="preserve"> būdama Jungtinių Tautų ir kitų tarptautinių organizacijų, prisidedančių prie tarptautinės taikos ir saugumo pasaulyje narė, aktyviai dalyvauja t</w:t>
      </w:r>
      <w:r w:rsidR="00920F31" w:rsidRPr="0006604A">
        <w:rPr>
          <w:lang w:val="lt-LT"/>
        </w:rPr>
        <w:t>arptautinės</w:t>
      </w:r>
      <w:r w:rsidR="00881003">
        <w:rPr>
          <w:lang w:val="lt-LT"/>
        </w:rPr>
        <w:t>e</w:t>
      </w:r>
      <w:r w:rsidR="00920F31" w:rsidRPr="0006604A">
        <w:rPr>
          <w:lang w:val="lt-LT"/>
        </w:rPr>
        <w:t xml:space="preserve"> taikos </w:t>
      </w:r>
      <w:r w:rsidRPr="0006604A">
        <w:rPr>
          <w:lang w:val="lt-LT"/>
        </w:rPr>
        <w:t>misijose. Vienas iš svarbiausių Lietuvos gynybos politikos uždavinių – užtikrinti tarptautinį stabilum</w:t>
      </w:r>
      <w:r w:rsidR="00A27E34" w:rsidRPr="0006604A">
        <w:rPr>
          <w:lang w:val="lt-LT"/>
        </w:rPr>
        <w:t>ą ir taiką.</w:t>
      </w:r>
      <w:r w:rsidR="00CC1CAC" w:rsidRPr="0006604A">
        <w:rPr>
          <w:rStyle w:val="FootnoteReference"/>
          <w:lang w:val="lt-LT"/>
        </w:rPr>
        <w:footnoteReference w:id="2"/>
      </w:r>
      <w:r w:rsidR="00A27E34" w:rsidRPr="0006604A">
        <w:rPr>
          <w:lang w:val="lt-LT"/>
        </w:rPr>
        <w:t xml:space="preserve"> Kitų pasaulio region</w:t>
      </w:r>
      <w:r w:rsidRPr="0006604A">
        <w:rPr>
          <w:lang w:val="lt-LT"/>
        </w:rPr>
        <w:t xml:space="preserve">ų saugumas ir stabilumas neatsiejamas nuo Lietuvos valstybės saugumo. </w:t>
      </w:r>
      <w:r w:rsidRPr="0096345F">
        <w:rPr>
          <w:lang w:val="lt-LT"/>
        </w:rPr>
        <w:t xml:space="preserve">Todėl vykdant </w:t>
      </w:r>
      <w:r w:rsidR="0096345F" w:rsidRPr="0096345F">
        <w:rPr>
          <w:lang w:val="lt-LT"/>
        </w:rPr>
        <w:t>užsienio politiką</w:t>
      </w:r>
      <w:r w:rsidR="00A27E34" w:rsidRPr="0096345F">
        <w:rPr>
          <w:lang w:val="lt-LT"/>
        </w:rPr>
        <w:t xml:space="preserve"> esminiais</w:t>
      </w:r>
      <w:r w:rsidRPr="0096345F">
        <w:rPr>
          <w:lang w:val="lt-LT"/>
        </w:rPr>
        <w:t xml:space="preserve"> tampa kolektyvinė</w:t>
      </w:r>
      <w:r w:rsidR="0006604A" w:rsidRPr="0096345F">
        <w:rPr>
          <w:lang w:val="lt-LT"/>
        </w:rPr>
        <w:t>s gynybos ir saugumo nedal</w:t>
      </w:r>
      <w:r w:rsidR="00A27E34" w:rsidRPr="0096345F">
        <w:rPr>
          <w:lang w:val="lt-LT"/>
        </w:rPr>
        <w:t>umo</w:t>
      </w:r>
      <w:r w:rsidRPr="0096345F">
        <w:rPr>
          <w:lang w:val="lt-LT"/>
        </w:rPr>
        <w:t xml:space="preserve"> principai.</w:t>
      </w:r>
      <w:r w:rsidRPr="0006604A">
        <w:rPr>
          <w:lang w:val="lt-LT"/>
        </w:rPr>
        <w:t xml:space="preserve"> Lietuva taikos misijose dalyvauja nuo 1994 metų, o šiuo metu aktyviai įsitraukusi į Afganistano Islamo Respublikos atkūrimo procesą. </w:t>
      </w:r>
      <w:r w:rsidR="00F9068C">
        <w:rPr>
          <w:lang w:val="lt-LT"/>
        </w:rPr>
        <w:t xml:space="preserve"> </w:t>
      </w:r>
      <w:r w:rsidRPr="0006604A">
        <w:rPr>
          <w:lang w:val="lt-LT"/>
        </w:rPr>
        <w:t xml:space="preserve">Nuo 2005 metų </w:t>
      </w:r>
      <w:r w:rsidR="00F9068C">
        <w:rPr>
          <w:lang w:val="lt-LT"/>
        </w:rPr>
        <w:t xml:space="preserve"> </w:t>
      </w:r>
      <w:r w:rsidRPr="0006604A">
        <w:rPr>
          <w:lang w:val="lt-LT"/>
        </w:rPr>
        <w:t xml:space="preserve">jos įsipareigojimai tarptautinei bendruomenei </w:t>
      </w:r>
      <w:r w:rsidR="00306C91" w:rsidRPr="0006604A">
        <w:rPr>
          <w:lang w:val="lt-LT"/>
        </w:rPr>
        <w:t xml:space="preserve">dar daugiau </w:t>
      </w:r>
      <w:r w:rsidRPr="0006604A">
        <w:rPr>
          <w:lang w:val="lt-LT"/>
        </w:rPr>
        <w:t>padidėjo, kai savarankiškai pradėjo vadovauti Afganistano Goro provincijos atkūrimui.</w:t>
      </w:r>
    </w:p>
    <w:p w:rsidR="003F6E84" w:rsidRPr="0006604A" w:rsidRDefault="00E62F72" w:rsidP="00236507">
      <w:pPr>
        <w:ind w:firstLine="851"/>
        <w:rPr>
          <w:lang w:val="lt-LT"/>
        </w:rPr>
      </w:pPr>
      <w:r w:rsidRPr="0006604A">
        <w:rPr>
          <w:lang w:val="lt-LT"/>
        </w:rPr>
        <w:t>Paminėtina, kad taikos misijų teisinė reglamen</w:t>
      </w:r>
      <w:r w:rsidR="00225BAB" w:rsidRPr="0006604A">
        <w:rPr>
          <w:lang w:val="lt-LT"/>
        </w:rPr>
        <w:t>tacija Lietuvoje nebuvo analizuota</w:t>
      </w:r>
      <w:r w:rsidRPr="0006604A">
        <w:rPr>
          <w:lang w:val="lt-LT"/>
        </w:rPr>
        <w:t>.</w:t>
      </w:r>
      <w:r w:rsidR="00225BAB" w:rsidRPr="0006604A">
        <w:rPr>
          <w:lang w:val="lt-LT"/>
        </w:rPr>
        <w:t xml:space="preserve"> </w:t>
      </w:r>
      <w:r w:rsidR="0096345F">
        <w:rPr>
          <w:lang w:val="lt-LT"/>
        </w:rPr>
        <w:t>Lietuvai,</w:t>
      </w:r>
      <w:r w:rsidR="004A6EC7" w:rsidRPr="0006604A">
        <w:rPr>
          <w:lang w:val="lt-LT"/>
        </w:rPr>
        <w:t xml:space="preserve"> jau šešiolika met</w:t>
      </w:r>
      <w:r w:rsidR="00225BAB" w:rsidRPr="0006604A">
        <w:rPr>
          <w:lang w:val="lt-LT"/>
        </w:rPr>
        <w:t xml:space="preserve">ų dalyvaujančioje </w:t>
      </w:r>
      <w:r w:rsidR="00880379" w:rsidRPr="0006604A">
        <w:rPr>
          <w:lang w:val="lt-LT"/>
        </w:rPr>
        <w:t xml:space="preserve">misijose </w:t>
      </w:r>
      <w:r w:rsidR="00225BAB" w:rsidRPr="0006604A">
        <w:rPr>
          <w:lang w:val="lt-LT"/>
        </w:rPr>
        <w:t>palaikant tarptautinę taiką ir saugumą, taikos misijų teisinis reglamentavimas tampa itin aktualus.</w:t>
      </w:r>
      <w:r w:rsidR="00577A24" w:rsidRPr="0006604A">
        <w:rPr>
          <w:lang w:val="lt-LT"/>
        </w:rPr>
        <w:t xml:space="preserve"> Bū</w:t>
      </w:r>
      <w:r w:rsidR="00F5526A" w:rsidRPr="0006604A">
        <w:rPr>
          <w:lang w:val="lt-LT"/>
        </w:rPr>
        <w:t>dama ne tik Jungtinių Tautų Organizacijos nare, bet ir kitų regioni</w:t>
      </w:r>
      <w:r w:rsidR="00CD0F07" w:rsidRPr="0006604A">
        <w:rPr>
          <w:lang w:val="lt-LT"/>
        </w:rPr>
        <w:t>ni</w:t>
      </w:r>
      <w:r w:rsidR="00F5526A" w:rsidRPr="0006604A">
        <w:rPr>
          <w:lang w:val="lt-LT"/>
        </w:rPr>
        <w:t>ų organizacijų dalyve, kurios aktyviai prisideda prie saugumo ir stabilumo užtikrinimo</w:t>
      </w:r>
      <w:r w:rsidR="00CD0F07" w:rsidRPr="0006604A">
        <w:rPr>
          <w:lang w:val="lt-LT"/>
        </w:rPr>
        <w:t xml:space="preserve">, </w:t>
      </w:r>
      <w:r w:rsidR="00F5526A" w:rsidRPr="0006604A">
        <w:rPr>
          <w:lang w:val="lt-LT"/>
        </w:rPr>
        <w:t>Lietuvos valstybė veikia vadovaudamasi</w:t>
      </w:r>
      <w:r w:rsidR="00CD0F07" w:rsidRPr="0006604A">
        <w:rPr>
          <w:lang w:val="lt-LT"/>
        </w:rPr>
        <w:t xml:space="preserve"> </w:t>
      </w:r>
      <w:r w:rsidR="00F5526A" w:rsidRPr="0006604A">
        <w:rPr>
          <w:lang w:val="lt-LT"/>
        </w:rPr>
        <w:t>Chartijoje įtvirtintais tikslais ir principais</w:t>
      </w:r>
      <w:r w:rsidR="00CD0F07" w:rsidRPr="0006604A">
        <w:rPr>
          <w:lang w:val="lt-LT"/>
        </w:rPr>
        <w:t>.</w:t>
      </w:r>
      <w:r w:rsidR="00577A24" w:rsidRPr="0006604A">
        <w:rPr>
          <w:lang w:val="lt-LT"/>
        </w:rPr>
        <w:t xml:space="preserve"> </w:t>
      </w:r>
      <w:r w:rsidR="003F6E84" w:rsidRPr="0006604A">
        <w:rPr>
          <w:lang w:val="lt-LT"/>
        </w:rPr>
        <w:t>N</w:t>
      </w:r>
      <w:r w:rsidR="00577A24" w:rsidRPr="0006604A">
        <w:rPr>
          <w:lang w:val="lt-LT"/>
        </w:rPr>
        <w:t>orint suvokti Chartijos tikslus ir principus</w:t>
      </w:r>
      <w:r w:rsidR="00880379" w:rsidRPr="0006604A">
        <w:rPr>
          <w:lang w:val="lt-LT"/>
        </w:rPr>
        <w:t>,</w:t>
      </w:r>
      <w:r w:rsidR="00577A24" w:rsidRPr="0006604A">
        <w:rPr>
          <w:lang w:val="lt-LT"/>
        </w:rPr>
        <w:t xml:space="preserve"> reikalingas detalus</w:t>
      </w:r>
      <w:r w:rsidR="003F6E84" w:rsidRPr="0006604A">
        <w:rPr>
          <w:lang w:val="lt-LT"/>
        </w:rPr>
        <w:t xml:space="preserve"> taikos misijų reglamentavimas. </w:t>
      </w:r>
    </w:p>
    <w:p w:rsidR="004A6EC7" w:rsidRPr="00BB751F" w:rsidRDefault="004A6EC7" w:rsidP="00236507">
      <w:pPr>
        <w:ind w:firstLine="851"/>
        <w:rPr>
          <w:lang w:val="lt-LT"/>
        </w:rPr>
      </w:pPr>
      <w:r w:rsidRPr="0006604A">
        <w:rPr>
          <w:lang w:val="lt-LT"/>
        </w:rPr>
        <w:t>Jungtinių Tautų taikos misijų teisinė analizė reikšminga tiek teoriniu, tiek pra</w:t>
      </w:r>
      <w:r w:rsidR="008349FF" w:rsidRPr="0006604A">
        <w:rPr>
          <w:lang w:val="lt-LT"/>
        </w:rPr>
        <w:t>ktiniu lygiu. Visų pirma</w:t>
      </w:r>
      <w:r w:rsidR="00BC7BDB">
        <w:rPr>
          <w:lang w:val="lt-LT"/>
        </w:rPr>
        <w:t>,</w:t>
      </w:r>
      <w:r w:rsidR="008349FF" w:rsidRPr="0006604A">
        <w:rPr>
          <w:lang w:val="lt-LT"/>
        </w:rPr>
        <w:t xml:space="preserve"> teisine</w:t>
      </w:r>
      <w:r w:rsidRPr="0006604A">
        <w:rPr>
          <w:lang w:val="lt-LT"/>
        </w:rPr>
        <w:t xml:space="preserve"> taikos misijų analize siekiama atskleisti taikos misijų v</w:t>
      </w:r>
      <w:r w:rsidR="008349FF" w:rsidRPr="0006604A">
        <w:rPr>
          <w:lang w:val="lt-LT"/>
        </w:rPr>
        <w:t xml:space="preserve">eikimo mechanizmą: </w:t>
      </w:r>
      <w:r w:rsidR="00880379" w:rsidRPr="0006604A">
        <w:rPr>
          <w:lang w:val="lt-LT"/>
        </w:rPr>
        <w:t xml:space="preserve">identifikuoti </w:t>
      </w:r>
      <w:r w:rsidR="008349FF" w:rsidRPr="0006604A">
        <w:rPr>
          <w:lang w:val="lt-LT"/>
        </w:rPr>
        <w:t>dalyvaujanči</w:t>
      </w:r>
      <w:r w:rsidRPr="0006604A">
        <w:rPr>
          <w:lang w:val="lt-LT"/>
        </w:rPr>
        <w:t xml:space="preserve">us Jungtinių Tautų organus, </w:t>
      </w:r>
      <w:r w:rsidR="00880379" w:rsidRPr="0006604A">
        <w:rPr>
          <w:lang w:val="lt-LT"/>
        </w:rPr>
        <w:t>atriboti jų kompetenciją</w:t>
      </w:r>
      <w:r w:rsidRPr="0006604A">
        <w:rPr>
          <w:lang w:val="lt-LT"/>
        </w:rPr>
        <w:t xml:space="preserve">, </w:t>
      </w:r>
      <w:r w:rsidR="00880379" w:rsidRPr="0006604A">
        <w:rPr>
          <w:lang w:val="lt-LT"/>
        </w:rPr>
        <w:t xml:space="preserve">nustatyti </w:t>
      </w:r>
      <w:r w:rsidRPr="0006604A">
        <w:rPr>
          <w:lang w:val="lt-LT"/>
        </w:rPr>
        <w:t xml:space="preserve">Jungtinių Tautų tikslų </w:t>
      </w:r>
      <w:r w:rsidR="0096345F">
        <w:rPr>
          <w:lang w:val="lt-LT"/>
        </w:rPr>
        <w:t xml:space="preserve">ir principų įgyvendinimą. </w:t>
      </w:r>
      <w:r w:rsidR="0096345F" w:rsidRPr="00BB751F">
        <w:rPr>
          <w:lang w:val="lt-LT"/>
        </w:rPr>
        <w:t>Be to,</w:t>
      </w:r>
      <w:r w:rsidRPr="00BB751F">
        <w:rPr>
          <w:lang w:val="lt-LT"/>
        </w:rPr>
        <w:t xml:space="preserve"> Lietuvos valsty</w:t>
      </w:r>
      <w:r w:rsidR="005F1D4C" w:rsidRPr="00BB751F">
        <w:rPr>
          <w:lang w:val="lt-LT"/>
        </w:rPr>
        <w:t xml:space="preserve">bei dalyvaujant taikos misijose </w:t>
      </w:r>
      <w:r w:rsidRPr="00BB751F">
        <w:rPr>
          <w:lang w:val="lt-LT"/>
        </w:rPr>
        <w:t xml:space="preserve"> aktuali</w:t>
      </w:r>
      <w:r w:rsidR="00880379" w:rsidRPr="00BB751F">
        <w:rPr>
          <w:lang w:val="lt-LT"/>
        </w:rPr>
        <w:t>a</w:t>
      </w:r>
      <w:r w:rsidRPr="00BB751F">
        <w:rPr>
          <w:lang w:val="lt-LT"/>
        </w:rPr>
        <w:t xml:space="preserve"> tampa</w:t>
      </w:r>
      <w:r w:rsidR="007F4304" w:rsidRPr="00BB751F">
        <w:rPr>
          <w:lang w:val="lt-LT"/>
        </w:rPr>
        <w:t xml:space="preserve"> </w:t>
      </w:r>
      <w:r w:rsidRPr="00BB751F">
        <w:rPr>
          <w:lang w:val="lt-LT"/>
        </w:rPr>
        <w:t>ir</w:t>
      </w:r>
      <w:r w:rsidR="005F1D4C" w:rsidRPr="00BB751F">
        <w:rPr>
          <w:lang w:val="lt-LT"/>
        </w:rPr>
        <w:t xml:space="preserve"> jos </w:t>
      </w:r>
      <w:r w:rsidRPr="00BB751F">
        <w:rPr>
          <w:lang w:val="lt-LT"/>
        </w:rPr>
        <w:t>nacionalinių teisės aktų analizė, padedanti atskleisti, kaip įgyvendinami Lietuvos įsipareigojimai tarptautinėje bendrijoje.</w:t>
      </w:r>
    </w:p>
    <w:p w:rsidR="007F4304" w:rsidRPr="0096345F" w:rsidRDefault="004A6EC7" w:rsidP="00236507">
      <w:pPr>
        <w:ind w:firstLine="851"/>
        <w:rPr>
          <w:color w:val="FF0000"/>
          <w:lang w:val="lt-LT"/>
        </w:rPr>
      </w:pPr>
      <w:r w:rsidRPr="0006604A">
        <w:rPr>
          <w:lang w:val="lt-LT"/>
        </w:rPr>
        <w:t>Antra, kiekviena teisinio reglamentavimo analizė skirta pagerinti veikimą praktikoje. Jungtinių</w:t>
      </w:r>
      <w:r w:rsidR="003F6E84" w:rsidRPr="0006604A">
        <w:rPr>
          <w:lang w:val="lt-LT"/>
        </w:rPr>
        <w:t xml:space="preserve"> Tautų Organizacijos vadovaujamų taikos misijų klaidos praktikoje siejo</w:t>
      </w:r>
      <w:r w:rsidRPr="0006604A">
        <w:rPr>
          <w:lang w:val="lt-LT"/>
        </w:rPr>
        <w:t>si su neteisingu įgaliojimų, pamatinių taikos misijų principų suvokimu.</w:t>
      </w:r>
      <w:r w:rsidR="00577A24" w:rsidRPr="0006604A">
        <w:rPr>
          <w:lang w:val="lt-LT"/>
        </w:rPr>
        <w:t xml:space="preserve"> </w:t>
      </w:r>
      <w:r w:rsidR="00577A24" w:rsidRPr="00BB751F">
        <w:rPr>
          <w:lang w:val="lt-LT"/>
        </w:rPr>
        <w:t>Todėl išskiriant pagrindines klaidas siekiama pri</w:t>
      </w:r>
      <w:r w:rsidR="00E81196" w:rsidRPr="00BB751F">
        <w:rPr>
          <w:lang w:val="lt-LT"/>
        </w:rPr>
        <w:t>sidėti prie efektyvesnio misijų</w:t>
      </w:r>
      <w:r w:rsidR="00577A24" w:rsidRPr="00BB751F">
        <w:rPr>
          <w:lang w:val="lt-LT"/>
        </w:rPr>
        <w:t xml:space="preserve"> dalyvių </w:t>
      </w:r>
      <w:r w:rsidR="003F6E84" w:rsidRPr="00BB751F">
        <w:rPr>
          <w:lang w:val="lt-LT"/>
        </w:rPr>
        <w:t>taikos ir saugumo</w:t>
      </w:r>
      <w:r w:rsidR="008349FF" w:rsidRPr="00BB751F">
        <w:rPr>
          <w:lang w:val="lt-LT"/>
        </w:rPr>
        <w:t xml:space="preserve"> </w:t>
      </w:r>
      <w:r w:rsidR="003F6E84" w:rsidRPr="00BB751F">
        <w:rPr>
          <w:lang w:val="lt-LT"/>
        </w:rPr>
        <w:t>užtikrinimo.</w:t>
      </w:r>
    </w:p>
    <w:p w:rsidR="004A6EC7" w:rsidRPr="0006604A" w:rsidRDefault="004A6EC7" w:rsidP="00236507">
      <w:pPr>
        <w:ind w:firstLine="851"/>
        <w:rPr>
          <w:lang w:val="lt-LT"/>
        </w:rPr>
      </w:pPr>
      <w:r w:rsidRPr="0006604A">
        <w:rPr>
          <w:b/>
          <w:lang w:val="lt-LT"/>
        </w:rPr>
        <w:lastRenderedPageBreak/>
        <w:t xml:space="preserve">Magistrinio darbo objektas – </w:t>
      </w:r>
      <w:r w:rsidRPr="0006604A">
        <w:rPr>
          <w:lang w:val="lt-LT"/>
        </w:rPr>
        <w:t>Jungtinių Tautų taikos mis</w:t>
      </w:r>
      <w:r w:rsidR="00D47155" w:rsidRPr="0006604A">
        <w:rPr>
          <w:lang w:val="lt-LT"/>
        </w:rPr>
        <w:t>ijų teisinis reglamentavimas.</w:t>
      </w:r>
    </w:p>
    <w:p w:rsidR="004A6EC7" w:rsidRPr="0006604A" w:rsidRDefault="004A6EC7" w:rsidP="00236507">
      <w:pPr>
        <w:ind w:firstLine="851"/>
        <w:rPr>
          <w:b/>
          <w:lang w:val="lt-LT"/>
        </w:rPr>
      </w:pPr>
      <w:r w:rsidRPr="0006604A">
        <w:rPr>
          <w:b/>
          <w:lang w:val="lt-LT"/>
        </w:rPr>
        <w:t xml:space="preserve">Magistrinio darbo dalykas – </w:t>
      </w:r>
      <w:r w:rsidRPr="0006604A">
        <w:rPr>
          <w:lang w:val="lt-LT"/>
        </w:rPr>
        <w:t>Jungtinių Tautų taikos misijų rūšys ir jų teisiniai pagrindai, pamatiniai taikos misijų principai, esminių problemų analizė praktikoje.</w:t>
      </w:r>
    </w:p>
    <w:p w:rsidR="004A6EC7" w:rsidRPr="0006604A" w:rsidRDefault="004A6EC7" w:rsidP="00113D43">
      <w:pPr>
        <w:ind w:firstLine="851"/>
        <w:rPr>
          <w:lang w:val="lt-LT"/>
        </w:rPr>
      </w:pPr>
      <w:r w:rsidRPr="0006604A">
        <w:rPr>
          <w:b/>
          <w:lang w:val="lt-LT"/>
        </w:rPr>
        <w:t>Magistrinio darbo tikslas</w:t>
      </w:r>
      <w:r w:rsidRPr="0006604A">
        <w:rPr>
          <w:lang w:val="lt-LT"/>
        </w:rPr>
        <w:t xml:space="preserve"> – išanalizuoti </w:t>
      </w:r>
      <w:r w:rsidR="00AC46CA" w:rsidRPr="0006604A">
        <w:rPr>
          <w:lang w:val="lt-LT"/>
        </w:rPr>
        <w:t xml:space="preserve">atskirų </w:t>
      </w:r>
      <w:r w:rsidR="0006604A">
        <w:rPr>
          <w:lang w:val="lt-LT"/>
        </w:rPr>
        <w:t>Jungti</w:t>
      </w:r>
      <w:r w:rsidRPr="0006604A">
        <w:rPr>
          <w:lang w:val="lt-LT"/>
        </w:rPr>
        <w:t>nių Tautų taikos misijų rūš</w:t>
      </w:r>
      <w:r w:rsidR="00AC46CA" w:rsidRPr="0006604A">
        <w:rPr>
          <w:lang w:val="lt-LT"/>
        </w:rPr>
        <w:t>ių teisinius pagrindus, pagrindinius</w:t>
      </w:r>
      <w:r w:rsidRPr="0006604A">
        <w:rPr>
          <w:lang w:val="lt-LT"/>
        </w:rPr>
        <w:t xml:space="preserve"> taikos misijų princi</w:t>
      </w:r>
      <w:r w:rsidR="00BB5674" w:rsidRPr="0006604A">
        <w:rPr>
          <w:lang w:val="lt-LT"/>
        </w:rPr>
        <w:t>pus,</w:t>
      </w:r>
      <w:r w:rsidR="00AC46CA" w:rsidRPr="0006604A">
        <w:rPr>
          <w:lang w:val="lt-LT"/>
        </w:rPr>
        <w:t xml:space="preserve"> atskleisti praktikai būdingas problemas, kylančias</w:t>
      </w:r>
      <w:r w:rsidR="00BB5674" w:rsidRPr="0006604A">
        <w:rPr>
          <w:lang w:val="lt-LT"/>
        </w:rPr>
        <w:t xml:space="preserve"> dėl neteisingo teisini</w:t>
      </w:r>
      <w:r w:rsidR="00DA3BFF" w:rsidRPr="0006604A">
        <w:rPr>
          <w:lang w:val="lt-LT"/>
        </w:rPr>
        <w:t>ų pagrindų</w:t>
      </w:r>
      <w:r w:rsidR="00544980" w:rsidRPr="0006604A">
        <w:rPr>
          <w:lang w:val="lt-LT"/>
        </w:rPr>
        <w:t xml:space="preserve"> suvokimo ir taikymo</w:t>
      </w:r>
      <w:r w:rsidR="00BB5674" w:rsidRPr="0006604A">
        <w:rPr>
          <w:lang w:val="lt-LT"/>
        </w:rPr>
        <w:t>.</w:t>
      </w:r>
    </w:p>
    <w:p w:rsidR="004A6EC7" w:rsidRPr="0006604A" w:rsidRDefault="003A0E7D" w:rsidP="00113D43">
      <w:pPr>
        <w:widowControl w:val="0"/>
        <w:overflowPunct w:val="0"/>
        <w:autoSpaceDE w:val="0"/>
        <w:autoSpaceDN w:val="0"/>
        <w:adjustRightInd w:val="0"/>
        <w:ind w:firstLine="851"/>
        <w:rPr>
          <w:kern w:val="28"/>
          <w:lang w:val="lt-LT"/>
        </w:rPr>
      </w:pPr>
      <w:r w:rsidRPr="0006604A">
        <w:rPr>
          <w:kern w:val="28"/>
          <w:lang w:val="lt-LT"/>
        </w:rPr>
        <w:t xml:space="preserve">Tyrimo tikslą išsamiau detalizuoja tyrimo uždaviniai: </w:t>
      </w:r>
    </w:p>
    <w:p w:rsidR="004A6EC7" w:rsidRPr="0006604A" w:rsidRDefault="004A6EC7" w:rsidP="00113D43">
      <w:pPr>
        <w:pStyle w:val="ListParagraph"/>
        <w:numPr>
          <w:ilvl w:val="0"/>
          <w:numId w:val="8"/>
        </w:numPr>
        <w:contextualSpacing/>
        <w:rPr>
          <w:lang w:val="lt-LT"/>
        </w:rPr>
      </w:pPr>
      <w:r w:rsidRPr="0006604A">
        <w:rPr>
          <w:lang w:val="lt-LT"/>
        </w:rPr>
        <w:t xml:space="preserve">Per taikos misijų </w:t>
      </w:r>
      <w:r w:rsidR="0006604A" w:rsidRPr="0006604A">
        <w:rPr>
          <w:lang w:val="lt-LT"/>
        </w:rPr>
        <w:t>vystymosi</w:t>
      </w:r>
      <w:r w:rsidRPr="0006604A">
        <w:rPr>
          <w:lang w:val="lt-LT"/>
        </w:rPr>
        <w:t xml:space="preserve"> kartas atskleisti taikos misijų sampratą ir taikos misijų rūšių įvairovę</w:t>
      </w:r>
      <w:r w:rsidR="005A500A" w:rsidRPr="0006604A">
        <w:rPr>
          <w:lang w:val="lt-LT"/>
        </w:rPr>
        <w:t>.</w:t>
      </w:r>
    </w:p>
    <w:p w:rsidR="004A6EC7" w:rsidRPr="0006604A" w:rsidRDefault="004A6EC7" w:rsidP="00113D43">
      <w:pPr>
        <w:pStyle w:val="ListParagraph"/>
        <w:numPr>
          <w:ilvl w:val="0"/>
          <w:numId w:val="8"/>
        </w:numPr>
        <w:contextualSpacing/>
        <w:rPr>
          <w:lang w:val="lt-LT"/>
        </w:rPr>
      </w:pPr>
      <w:r w:rsidRPr="0006604A">
        <w:rPr>
          <w:lang w:val="lt-LT"/>
        </w:rPr>
        <w:t>Analizuoti teisinį taikos misijų rūšių reglamentavimą, išryškinant ir atri</w:t>
      </w:r>
      <w:r w:rsidR="00A65DCB" w:rsidRPr="0006604A">
        <w:rPr>
          <w:lang w:val="lt-LT"/>
        </w:rPr>
        <w:t>bojant skirtingus taikos misijų</w:t>
      </w:r>
      <w:r w:rsidRPr="0006604A">
        <w:rPr>
          <w:lang w:val="lt-LT"/>
        </w:rPr>
        <w:t xml:space="preserve"> rūšių teisinius pagrindus, taip pat atskiriant Jungtinių Tautų pagrindinių organų kompetenciją taikos ir saugumo palaikymo kontekste</w:t>
      </w:r>
      <w:r w:rsidR="005A500A" w:rsidRPr="0006604A">
        <w:rPr>
          <w:lang w:val="lt-LT"/>
        </w:rPr>
        <w:t>.</w:t>
      </w:r>
    </w:p>
    <w:p w:rsidR="004A6EC7" w:rsidRPr="0006604A" w:rsidRDefault="004A6EC7" w:rsidP="00113D43">
      <w:pPr>
        <w:pStyle w:val="ListParagraph"/>
        <w:numPr>
          <w:ilvl w:val="0"/>
          <w:numId w:val="8"/>
        </w:numPr>
        <w:contextualSpacing/>
        <w:rPr>
          <w:lang w:val="lt-LT"/>
        </w:rPr>
      </w:pPr>
      <w:r w:rsidRPr="0006604A">
        <w:rPr>
          <w:lang w:val="lt-LT"/>
        </w:rPr>
        <w:t>Išanalizuoti</w:t>
      </w:r>
      <w:r w:rsidR="00447D85" w:rsidRPr="0006604A">
        <w:rPr>
          <w:lang w:val="lt-LT"/>
        </w:rPr>
        <w:t xml:space="preserve"> pamatinių taikos </w:t>
      </w:r>
      <w:r w:rsidR="00DF084F">
        <w:rPr>
          <w:lang w:val="lt-LT"/>
        </w:rPr>
        <w:t xml:space="preserve">misijų </w:t>
      </w:r>
      <w:r w:rsidR="00447D85" w:rsidRPr="0006604A">
        <w:rPr>
          <w:lang w:val="lt-LT"/>
        </w:rPr>
        <w:t xml:space="preserve">principų turinį, </w:t>
      </w:r>
      <w:r w:rsidR="00A65DCB" w:rsidRPr="0006604A">
        <w:rPr>
          <w:lang w:val="lt-LT"/>
        </w:rPr>
        <w:t xml:space="preserve">jų </w:t>
      </w:r>
      <w:r w:rsidR="00447D85" w:rsidRPr="0006604A">
        <w:rPr>
          <w:lang w:val="lt-LT"/>
        </w:rPr>
        <w:t>tarpusavio sąveiką.</w:t>
      </w:r>
    </w:p>
    <w:p w:rsidR="004A6EC7" w:rsidRPr="0006604A" w:rsidRDefault="004A6EC7" w:rsidP="00113D43">
      <w:pPr>
        <w:pStyle w:val="ListParagraph"/>
        <w:numPr>
          <w:ilvl w:val="0"/>
          <w:numId w:val="8"/>
        </w:numPr>
        <w:contextualSpacing/>
        <w:rPr>
          <w:lang w:val="lt-LT"/>
        </w:rPr>
      </w:pPr>
      <w:r w:rsidRPr="0006604A">
        <w:rPr>
          <w:lang w:val="lt-LT"/>
        </w:rPr>
        <w:t>Atskle</w:t>
      </w:r>
      <w:r w:rsidR="00447D85" w:rsidRPr="0006604A">
        <w:rPr>
          <w:lang w:val="lt-LT"/>
        </w:rPr>
        <w:t xml:space="preserve">isti ir išryškinti pagrindines </w:t>
      </w:r>
      <w:r w:rsidRPr="0006604A">
        <w:rPr>
          <w:lang w:val="lt-LT"/>
        </w:rPr>
        <w:t>problemas praktikoje</w:t>
      </w:r>
      <w:r w:rsidR="005A500A" w:rsidRPr="0006604A">
        <w:rPr>
          <w:lang w:val="lt-LT"/>
        </w:rPr>
        <w:t>, išanalizuoti taikos misijų konkrečius pavyzdžius ir atskleisti būdingiausias klaidas.</w:t>
      </w:r>
    </w:p>
    <w:p w:rsidR="004A6EC7" w:rsidRPr="0006604A" w:rsidRDefault="00BB5674" w:rsidP="00113D43">
      <w:pPr>
        <w:ind w:firstLine="851"/>
        <w:rPr>
          <w:lang w:val="lt-LT"/>
        </w:rPr>
      </w:pPr>
      <w:r w:rsidRPr="0006604A">
        <w:rPr>
          <w:b/>
          <w:lang w:val="lt-LT"/>
        </w:rPr>
        <w:t>Tyrimo metodika.</w:t>
      </w:r>
      <w:r w:rsidR="007A3818" w:rsidRPr="0006604A">
        <w:rPr>
          <w:b/>
          <w:lang w:val="lt-LT"/>
        </w:rPr>
        <w:t xml:space="preserve"> </w:t>
      </w:r>
      <w:r w:rsidR="007A3818" w:rsidRPr="0006604A">
        <w:rPr>
          <w:lang w:val="lt-LT"/>
        </w:rPr>
        <w:t>Magistriniame darb</w:t>
      </w:r>
      <w:r w:rsidR="00B92C5E" w:rsidRPr="0006604A">
        <w:rPr>
          <w:lang w:val="lt-LT"/>
        </w:rPr>
        <w:t>e</w:t>
      </w:r>
      <w:r w:rsidR="007A3818" w:rsidRPr="0006604A">
        <w:rPr>
          <w:lang w:val="lt-LT"/>
        </w:rPr>
        <w:t xml:space="preserve"> naudojami </w:t>
      </w:r>
      <w:r w:rsidR="004A6EC7" w:rsidRPr="0006604A">
        <w:rPr>
          <w:lang w:val="lt-LT"/>
        </w:rPr>
        <w:t>analizės,</w:t>
      </w:r>
      <w:r w:rsidR="004A6EC7" w:rsidRPr="0006604A">
        <w:rPr>
          <w:b/>
          <w:lang w:val="lt-LT"/>
        </w:rPr>
        <w:t xml:space="preserve"> </w:t>
      </w:r>
      <w:r w:rsidR="004A6EC7" w:rsidRPr="0006604A">
        <w:rPr>
          <w:lang w:val="lt-LT"/>
        </w:rPr>
        <w:t>lyginamasis,</w:t>
      </w:r>
      <w:r w:rsidR="004A6EC7" w:rsidRPr="0006604A">
        <w:rPr>
          <w:b/>
          <w:lang w:val="lt-LT"/>
        </w:rPr>
        <w:t xml:space="preserve"> </w:t>
      </w:r>
      <w:r w:rsidR="004A6EC7" w:rsidRPr="0006604A">
        <w:rPr>
          <w:lang w:val="lt-LT"/>
        </w:rPr>
        <w:t>istorinis-lyginamasis, loginis</w:t>
      </w:r>
      <w:r w:rsidR="007A3818" w:rsidRPr="0006604A">
        <w:rPr>
          <w:lang w:val="lt-LT"/>
        </w:rPr>
        <w:t xml:space="preserve"> bei </w:t>
      </w:r>
      <w:r w:rsidR="00447D85" w:rsidRPr="0006604A">
        <w:rPr>
          <w:lang w:val="lt-LT"/>
        </w:rPr>
        <w:t>sisteminis</w:t>
      </w:r>
      <w:r w:rsidR="007A3818" w:rsidRPr="0006604A">
        <w:rPr>
          <w:lang w:val="lt-LT"/>
        </w:rPr>
        <w:t xml:space="preserve"> metodas</w:t>
      </w:r>
      <w:r w:rsidR="004A6EC7" w:rsidRPr="0006604A">
        <w:rPr>
          <w:lang w:val="lt-LT"/>
        </w:rPr>
        <w:t>.</w:t>
      </w:r>
    </w:p>
    <w:p w:rsidR="004A6EC7" w:rsidRPr="0006604A" w:rsidRDefault="00447D85" w:rsidP="00113D43">
      <w:pPr>
        <w:ind w:firstLine="851"/>
        <w:rPr>
          <w:lang w:val="lt-LT"/>
        </w:rPr>
      </w:pPr>
      <w:r w:rsidRPr="0006604A">
        <w:rPr>
          <w:lang w:val="lt-LT"/>
        </w:rPr>
        <w:t xml:space="preserve">Analizės metodas naudojamas analizuojant taikos misijų teisinį pagrindą, taikos misijų principus, taip pat konkrečius taikos misijų </w:t>
      </w:r>
      <w:r w:rsidRPr="00BB751F">
        <w:rPr>
          <w:lang w:val="lt-LT"/>
        </w:rPr>
        <w:t>operacijų pavyzdžius</w:t>
      </w:r>
      <w:r w:rsidR="00D06841" w:rsidRPr="00BB751F">
        <w:rPr>
          <w:lang w:val="lt-LT"/>
        </w:rPr>
        <w:t xml:space="preserve"> norint atskleisti, kaip</w:t>
      </w:r>
      <w:r w:rsidR="00D06841" w:rsidRPr="0006604A">
        <w:rPr>
          <w:lang w:val="lt-LT"/>
        </w:rPr>
        <w:t xml:space="preserve"> buvo įgyvendinami Jungtinių Tautų tikslai ir kokios </w:t>
      </w:r>
      <w:r w:rsidR="004A6EC7" w:rsidRPr="0006604A">
        <w:rPr>
          <w:lang w:val="lt-LT"/>
        </w:rPr>
        <w:t>problemos iškilo. Analizuojami Jungtinių Tautų Organizacijos oficialūs do</w:t>
      </w:r>
      <w:r w:rsidRPr="0006604A">
        <w:rPr>
          <w:lang w:val="lt-LT"/>
        </w:rPr>
        <w:t>kumentai: rezoliucijos, at</w:t>
      </w:r>
      <w:r w:rsidR="0061256C">
        <w:rPr>
          <w:lang w:val="lt-LT"/>
        </w:rPr>
        <w:t>a</w:t>
      </w:r>
      <w:r w:rsidRPr="0006604A">
        <w:rPr>
          <w:lang w:val="lt-LT"/>
        </w:rPr>
        <w:t>skaitos</w:t>
      </w:r>
      <w:r w:rsidR="00EC4448" w:rsidRPr="0006604A">
        <w:rPr>
          <w:lang w:val="lt-LT"/>
        </w:rPr>
        <w:t>,</w:t>
      </w:r>
      <w:r w:rsidR="00791548" w:rsidRPr="0006604A">
        <w:rPr>
          <w:lang w:val="lt-LT"/>
        </w:rPr>
        <w:t xml:space="preserve"> taip pat </w:t>
      </w:r>
      <w:r w:rsidRPr="0006604A">
        <w:rPr>
          <w:lang w:val="lt-LT"/>
        </w:rPr>
        <w:t>Tarptautinio Teisingumo Teismo praktika.</w:t>
      </w:r>
    </w:p>
    <w:p w:rsidR="004A6EC7" w:rsidRPr="0006604A" w:rsidRDefault="004A6EC7" w:rsidP="00113D43">
      <w:pPr>
        <w:ind w:firstLine="851"/>
        <w:rPr>
          <w:lang w:val="lt-LT"/>
        </w:rPr>
      </w:pPr>
      <w:r w:rsidRPr="0006604A">
        <w:rPr>
          <w:lang w:val="lt-LT"/>
        </w:rPr>
        <w:t>Lyginamojo metodo pagalba atsklei</w:t>
      </w:r>
      <w:r w:rsidR="00A55103" w:rsidRPr="0006604A">
        <w:rPr>
          <w:lang w:val="lt-LT"/>
        </w:rPr>
        <w:t>džiamos taikos misijų praktinės problemos lyginant su teisiniu reglamentavimu.</w:t>
      </w:r>
    </w:p>
    <w:p w:rsidR="004A6EC7" w:rsidRPr="0006604A" w:rsidRDefault="004A6EC7" w:rsidP="00113D43">
      <w:pPr>
        <w:ind w:firstLine="851"/>
        <w:rPr>
          <w:lang w:val="lt-LT"/>
        </w:rPr>
      </w:pPr>
      <w:r w:rsidRPr="0006604A">
        <w:rPr>
          <w:lang w:val="lt-LT"/>
        </w:rPr>
        <w:t>Istorinis-lyginamasis metodas padeda</w:t>
      </w:r>
      <w:r w:rsidR="00EC4448" w:rsidRPr="0006604A">
        <w:rPr>
          <w:lang w:val="lt-LT"/>
        </w:rPr>
        <w:t xml:space="preserve"> atskleis</w:t>
      </w:r>
      <w:r w:rsidR="007A3818" w:rsidRPr="0006604A">
        <w:rPr>
          <w:lang w:val="lt-LT"/>
        </w:rPr>
        <w:t xml:space="preserve">ti taikos misijų ir jų funkcijų </w:t>
      </w:r>
      <w:r w:rsidR="0006604A" w:rsidRPr="0006604A">
        <w:rPr>
          <w:lang w:val="lt-LT"/>
        </w:rPr>
        <w:t>vystymąsi</w:t>
      </w:r>
      <w:r w:rsidR="00A55D5F">
        <w:rPr>
          <w:lang w:val="lt-LT"/>
        </w:rPr>
        <w:t xml:space="preserve"> nuo Š</w:t>
      </w:r>
      <w:r w:rsidRPr="0006604A">
        <w:rPr>
          <w:lang w:val="lt-LT"/>
        </w:rPr>
        <w:t>altojo karo pradžios iki šių dienų.</w:t>
      </w:r>
      <w:r w:rsidR="00D06841" w:rsidRPr="0006604A">
        <w:rPr>
          <w:lang w:val="lt-LT"/>
        </w:rPr>
        <w:t xml:space="preserve"> </w:t>
      </w:r>
    </w:p>
    <w:p w:rsidR="004A6EC7" w:rsidRPr="0006604A" w:rsidRDefault="004A6EC7" w:rsidP="00113D43">
      <w:pPr>
        <w:ind w:firstLine="851"/>
        <w:rPr>
          <w:lang w:val="lt-LT"/>
        </w:rPr>
      </w:pPr>
      <w:r w:rsidRPr="0006604A">
        <w:rPr>
          <w:lang w:val="lt-LT"/>
        </w:rPr>
        <w:t xml:space="preserve">Loginis metodas naudojamas </w:t>
      </w:r>
      <w:r w:rsidR="007A3818" w:rsidRPr="0006604A">
        <w:rPr>
          <w:lang w:val="lt-LT"/>
        </w:rPr>
        <w:t xml:space="preserve">aiškinant tarptautinės teisės normų turinį, </w:t>
      </w:r>
      <w:r w:rsidRPr="0006604A">
        <w:rPr>
          <w:lang w:val="lt-LT"/>
        </w:rPr>
        <w:t>darant apibendrinimus ir išvadas.</w:t>
      </w:r>
    </w:p>
    <w:p w:rsidR="004A6EC7" w:rsidRPr="0006604A" w:rsidRDefault="00D06841" w:rsidP="00113D43">
      <w:pPr>
        <w:ind w:firstLine="851"/>
        <w:rPr>
          <w:lang w:val="lt-LT"/>
        </w:rPr>
      </w:pPr>
      <w:r w:rsidRPr="0006604A">
        <w:rPr>
          <w:lang w:val="lt-LT"/>
        </w:rPr>
        <w:t>Sisteminis metod</w:t>
      </w:r>
      <w:r w:rsidR="0027076C" w:rsidRPr="0006604A">
        <w:rPr>
          <w:lang w:val="lt-LT"/>
        </w:rPr>
        <w:t>as naudojamas vertinan</w:t>
      </w:r>
      <w:r w:rsidR="007A3818" w:rsidRPr="0006604A">
        <w:rPr>
          <w:lang w:val="lt-LT"/>
        </w:rPr>
        <w:t>t</w:t>
      </w:r>
      <w:r w:rsidR="0027076C" w:rsidRPr="0006604A">
        <w:rPr>
          <w:lang w:val="lt-LT"/>
        </w:rPr>
        <w:t xml:space="preserve"> tam tikru</w:t>
      </w:r>
      <w:r w:rsidR="008B3FCA">
        <w:rPr>
          <w:lang w:val="lt-LT"/>
        </w:rPr>
        <w:t xml:space="preserve">s </w:t>
      </w:r>
      <w:r w:rsidR="0027076C" w:rsidRPr="0006604A">
        <w:rPr>
          <w:lang w:val="lt-LT"/>
        </w:rPr>
        <w:t>Chartijos straipsnius</w:t>
      </w:r>
      <w:r w:rsidR="004A6EC7" w:rsidRPr="0006604A">
        <w:rPr>
          <w:lang w:val="lt-LT"/>
        </w:rPr>
        <w:t xml:space="preserve"> bend</w:t>
      </w:r>
      <w:r w:rsidR="008B3FCA">
        <w:rPr>
          <w:lang w:val="lt-LT"/>
        </w:rPr>
        <w:t>rame</w:t>
      </w:r>
      <w:r w:rsidR="004A6EC7" w:rsidRPr="0006604A">
        <w:rPr>
          <w:lang w:val="lt-LT"/>
        </w:rPr>
        <w:t xml:space="preserve"> Chartijos kontekste</w:t>
      </w:r>
      <w:r w:rsidRPr="0006604A">
        <w:rPr>
          <w:lang w:val="lt-LT"/>
        </w:rPr>
        <w:t>.</w:t>
      </w:r>
    </w:p>
    <w:p w:rsidR="00A55103" w:rsidRPr="0006604A" w:rsidRDefault="004A6EC7" w:rsidP="00113D43">
      <w:pPr>
        <w:rPr>
          <w:b/>
          <w:lang w:val="lt-LT"/>
        </w:rPr>
      </w:pPr>
      <w:r w:rsidRPr="0006604A">
        <w:rPr>
          <w:b/>
          <w:lang w:val="lt-LT"/>
        </w:rPr>
        <w:t xml:space="preserve">Darbo struktūra. </w:t>
      </w:r>
      <w:r w:rsidR="00A55103" w:rsidRPr="0006604A">
        <w:rPr>
          <w:kern w:val="28"/>
          <w:lang w:val="lt-LT"/>
        </w:rPr>
        <w:t>Magistro darbo struktūrą sudaro įžanga, dvi dalys ir išvados.</w:t>
      </w:r>
    </w:p>
    <w:p w:rsidR="00B92C5E" w:rsidRPr="0006604A" w:rsidRDefault="008B3FCA" w:rsidP="00113D43">
      <w:pPr>
        <w:ind w:firstLine="851"/>
        <w:rPr>
          <w:lang w:val="lt-LT"/>
        </w:rPr>
      </w:pPr>
      <w:r>
        <w:rPr>
          <w:lang w:val="lt-LT"/>
        </w:rPr>
        <w:t>Pirmo</w:t>
      </w:r>
      <w:r w:rsidR="00A55103" w:rsidRPr="0006604A">
        <w:rPr>
          <w:lang w:val="lt-LT"/>
        </w:rPr>
        <w:t>je dalyje pateikia</w:t>
      </w:r>
      <w:r w:rsidR="00B92C5E" w:rsidRPr="0006604A">
        <w:rPr>
          <w:lang w:val="lt-LT"/>
        </w:rPr>
        <w:t>mas</w:t>
      </w:r>
      <w:r w:rsidR="00694E2B" w:rsidRPr="0006604A">
        <w:rPr>
          <w:lang w:val="lt-LT"/>
        </w:rPr>
        <w:t xml:space="preserve"> Jungtinių Tautų taikos</w:t>
      </w:r>
      <w:r w:rsidR="00A55103" w:rsidRPr="0006604A">
        <w:rPr>
          <w:lang w:val="lt-LT"/>
        </w:rPr>
        <w:t xml:space="preserve"> misijų </w:t>
      </w:r>
      <w:r w:rsidR="0006604A" w:rsidRPr="0006604A">
        <w:rPr>
          <w:lang w:val="lt-LT"/>
        </w:rPr>
        <w:t>vystymasis</w:t>
      </w:r>
      <w:r w:rsidR="00A55103" w:rsidRPr="0006604A">
        <w:rPr>
          <w:lang w:val="lt-LT"/>
        </w:rPr>
        <w:t xml:space="preserve"> nuo jų susikūrimo iki šių dienų</w:t>
      </w:r>
      <w:r w:rsidR="00B92C5E" w:rsidRPr="0006604A">
        <w:rPr>
          <w:lang w:val="lt-LT"/>
        </w:rPr>
        <w:t>,</w:t>
      </w:r>
      <w:r w:rsidR="00A55103" w:rsidRPr="0006604A">
        <w:rPr>
          <w:lang w:val="lt-LT"/>
        </w:rPr>
        <w:t xml:space="preserve"> atskleidžiama taikos misijų </w:t>
      </w:r>
      <w:r w:rsidR="00A65DCB" w:rsidRPr="0006604A">
        <w:rPr>
          <w:lang w:val="lt-LT"/>
        </w:rPr>
        <w:t>samprata. Taip pat analizuojami</w:t>
      </w:r>
      <w:r w:rsidR="00A55103" w:rsidRPr="0006604A">
        <w:rPr>
          <w:lang w:val="lt-LT"/>
        </w:rPr>
        <w:t xml:space="preserve"> ir </w:t>
      </w:r>
      <w:r w:rsidR="00A65DCB" w:rsidRPr="0006604A">
        <w:rPr>
          <w:lang w:val="lt-LT"/>
        </w:rPr>
        <w:t>vertinami</w:t>
      </w:r>
      <w:r w:rsidR="004A6EC7" w:rsidRPr="0006604A">
        <w:rPr>
          <w:lang w:val="lt-LT"/>
        </w:rPr>
        <w:t xml:space="preserve"> Jungtin</w:t>
      </w:r>
      <w:r w:rsidR="00A55103" w:rsidRPr="0006604A">
        <w:rPr>
          <w:lang w:val="lt-LT"/>
        </w:rPr>
        <w:t xml:space="preserve">ių Tautų </w:t>
      </w:r>
      <w:r w:rsidR="00A55103" w:rsidRPr="0006604A">
        <w:rPr>
          <w:lang w:val="lt-LT"/>
        </w:rPr>
        <w:lastRenderedPageBreak/>
        <w:t>taikos misijų rūšių</w:t>
      </w:r>
      <w:r w:rsidR="004A6EC7" w:rsidRPr="0006604A">
        <w:rPr>
          <w:lang w:val="lt-LT"/>
        </w:rPr>
        <w:t xml:space="preserve"> tei</w:t>
      </w:r>
      <w:r w:rsidR="00A65DCB" w:rsidRPr="0006604A">
        <w:rPr>
          <w:lang w:val="lt-LT"/>
        </w:rPr>
        <w:t>siniai pagrindai, esminiai principai, kaip sudėtiniai taikos misijų elem</w:t>
      </w:r>
      <w:r w:rsidR="00051FE7" w:rsidRPr="0006604A">
        <w:rPr>
          <w:lang w:val="lt-LT"/>
        </w:rPr>
        <w:t>en</w:t>
      </w:r>
      <w:r w:rsidR="00A65DCB" w:rsidRPr="0006604A">
        <w:rPr>
          <w:lang w:val="lt-LT"/>
        </w:rPr>
        <w:t>tai</w:t>
      </w:r>
      <w:r w:rsidR="00B92C5E" w:rsidRPr="0006604A">
        <w:rPr>
          <w:lang w:val="lt-LT"/>
        </w:rPr>
        <w:t>. Didžiausias dėmesys ski</w:t>
      </w:r>
      <w:r w:rsidR="00310A82">
        <w:rPr>
          <w:lang w:val="lt-LT"/>
        </w:rPr>
        <w:t xml:space="preserve">riamas </w:t>
      </w:r>
      <w:r w:rsidR="00A65DCB" w:rsidRPr="0006604A">
        <w:rPr>
          <w:lang w:val="lt-LT"/>
        </w:rPr>
        <w:t>Chartijai</w:t>
      </w:r>
      <w:r w:rsidR="00B92C5E" w:rsidRPr="0006604A">
        <w:rPr>
          <w:lang w:val="lt-LT"/>
        </w:rPr>
        <w:t xml:space="preserve"> bei Tarptautinio Teisingumo Teismo praktikai.</w:t>
      </w:r>
    </w:p>
    <w:p w:rsidR="004A6EC7" w:rsidRPr="0006604A" w:rsidRDefault="00310A82" w:rsidP="00113D43">
      <w:pPr>
        <w:ind w:firstLine="851"/>
        <w:rPr>
          <w:lang w:val="lt-LT"/>
        </w:rPr>
      </w:pPr>
      <w:r w:rsidRPr="00BB751F">
        <w:rPr>
          <w:lang w:val="lt-LT"/>
        </w:rPr>
        <w:t>Antro</w:t>
      </w:r>
      <w:r w:rsidR="004A6EC7" w:rsidRPr="00BB751F">
        <w:rPr>
          <w:lang w:val="lt-LT"/>
        </w:rPr>
        <w:t>je darbo dalyje</w:t>
      </w:r>
      <w:r w:rsidR="00694E2B" w:rsidRPr="00BB751F">
        <w:rPr>
          <w:lang w:val="lt-LT"/>
        </w:rPr>
        <w:t>,</w:t>
      </w:r>
      <w:r w:rsidR="004A6EC7" w:rsidRPr="00BB751F">
        <w:rPr>
          <w:lang w:val="lt-LT"/>
        </w:rPr>
        <w:t xml:space="preserve"> </w:t>
      </w:r>
      <w:r w:rsidR="0040433D" w:rsidRPr="00BB751F">
        <w:rPr>
          <w:lang w:val="lt-LT"/>
        </w:rPr>
        <w:t xml:space="preserve">analizuojant </w:t>
      </w:r>
      <w:r w:rsidRPr="00BB751F">
        <w:rPr>
          <w:lang w:val="lt-LT"/>
        </w:rPr>
        <w:t xml:space="preserve"> </w:t>
      </w:r>
      <w:r w:rsidR="0040433D" w:rsidRPr="00BB751F">
        <w:rPr>
          <w:lang w:val="lt-LT"/>
        </w:rPr>
        <w:t>Jungtinių Tautų oficialius dokumentus</w:t>
      </w:r>
      <w:r w:rsidR="00694E2B" w:rsidRPr="00BB751F">
        <w:rPr>
          <w:lang w:val="lt-LT"/>
        </w:rPr>
        <w:t>,</w:t>
      </w:r>
      <w:r w:rsidR="0040433D" w:rsidRPr="00BB751F">
        <w:rPr>
          <w:lang w:val="lt-LT"/>
        </w:rPr>
        <w:t xml:space="preserve"> išryškinamos tradicinių ir platesnio masto taikos misijų praktinės problemos.</w:t>
      </w:r>
      <w:r w:rsidR="0040433D" w:rsidRPr="0006604A">
        <w:rPr>
          <w:lang w:val="lt-LT"/>
        </w:rPr>
        <w:t xml:space="preserve"> Taip pat analizuojamas Lietuvos valstybės, kaip tarptautinės bendrijos narės</w:t>
      </w:r>
      <w:r w:rsidR="00694E2B" w:rsidRPr="0006604A">
        <w:rPr>
          <w:lang w:val="lt-LT"/>
        </w:rPr>
        <w:t>,</w:t>
      </w:r>
      <w:r w:rsidR="0040433D" w:rsidRPr="0006604A">
        <w:rPr>
          <w:lang w:val="lt-LT"/>
        </w:rPr>
        <w:t xml:space="preserve"> įsipareigojimų vykdymas.</w:t>
      </w:r>
    </w:p>
    <w:p w:rsidR="008029A3" w:rsidRPr="0006604A" w:rsidRDefault="00BB5674" w:rsidP="00113D43">
      <w:pPr>
        <w:rPr>
          <w:lang w:val="lt-LT"/>
        </w:rPr>
      </w:pPr>
      <w:r w:rsidRPr="0006604A">
        <w:rPr>
          <w:b/>
          <w:lang w:val="lt-LT"/>
        </w:rPr>
        <w:t xml:space="preserve">Darbo šaltiniai. </w:t>
      </w:r>
      <w:r w:rsidR="0040433D" w:rsidRPr="0006604A">
        <w:rPr>
          <w:lang w:val="lt-LT"/>
        </w:rPr>
        <w:t>M</w:t>
      </w:r>
      <w:r w:rsidRPr="0006604A">
        <w:rPr>
          <w:lang w:val="lt-LT"/>
        </w:rPr>
        <w:t xml:space="preserve">agistro baigiamajame </w:t>
      </w:r>
      <w:r w:rsidR="0040433D" w:rsidRPr="0006604A">
        <w:rPr>
          <w:lang w:val="lt-LT"/>
        </w:rPr>
        <w:t>darbe autorė</w:t>
      </w:r>
      <w:r w:rsidRPr="0006604A">
        <w:rPr>
          <w:lang w:val="lt-LT"/>
        </w:rPr>
        <w:t xml:space="preserve"> remiasi</w:t>
      </w:r>
      <w:r w:rsidR="008029A3" w:rsidRPr="0006604A">
        <w:rPr>
          <w:lang w:val="lt-LT"/>
        </w:rPr>
        <w:t xml:space="preserve"> norminiais teisės aktais: tarptautinėmis sutartimis,</w:t>
      </w:r>
      <w:r w:rsidRPr="0006604A">
        <w:rPr>
          <w:lang w:val="lt-LT"/>
        </w:rPr>
        <w:t xml:space="preserve"> Jungtinių Tautų organizacijos of</w:t>
      </w:r>
      <w:r w:rsidR="008029A3" w:rsidRPr="0006604A">
        <w:rPr>
          <w:lang w:val="lt-LT"/>
        </w:rPr>
        <w:t>icialiais dokumentais,</w:t>
      </w:r>
      <w:r w:rsidRPr="0006604A">
        <w:rPr>
          <w:lang w:val="lt-LT"/>
        </w:rPr>
        <w:t xml:space="preserve"> </w:t>
      </w:r>
      <w:r w:rsidR="0040433D" w:rsidRPr="0006604A">
        <w:rPr>
          <w:lang w:val="lt-LT"/>
        </w:rPr>
        <w:t>Lietuvos nacionaliniais</w:t>
      </w:r>
      <w:r w:rsidR="008029A3" w:rsidRPr="0006604A">
        <w:rPr>
          <w:lang w:val="lt-LT"/>
        </w:rPr>
        <w:t xml:space="preserve"> teisės aktais; Tarptautinio Teisingumo Teismo praktika; specialiąja literatūra ir kitais šaltiniais</w:t>
      </w:r>
      <w:r w:rsidRPr="0006604A">
        <w:rPr>
          <w:lang w:val="lt-LT"/>
        </w:rPr>
        <w:t>.</w:t>
      </w:r>
      <w:r w:rsidR="00B21E44" w:rsidRPr="0006604A">
        <w:rPr>
          <w:lang w:val="lt-LT"/>
        </w:rPr>
        <w:t xml:space="preserve"> </w:t>
      </w:r>
    </w:p>
    <w:p w:rsidR="00BB5674" w:rsidRPr="0006604A" w:rsidRDefault="00B21E44" w:rsidP="00113D43">
      <w:pPr>
        <w:ind w:firstLine="851"/>
        <w:rPr>
          <w:lang w:val="lt-LT"/>
        </w:rPr>
      </w:pPr>
      <w:r w:rsidRPr="0006604A">
        <w:rPr>
          <w:lang w:val="lt-LT"/>
        </w:rPr>
        <w:t>Pagrindiniai autoriai, kuriais remiamasi darbe yra A. J. Bellamy, P. D. Williams; T. G. Weiss, S. Da</w:t>
      </w:r>
      <w:r w:rsidR="00537E37">
        <w:rPr>
          <w:lang w:val="lt-LT"/>
        </w:rPr>
        <w:t>ws</w:t>
      </w:r>
      <w:r w:rsidRPr="0006604A">
        <w:rPr>
          <w:lang w:val="lt-LT"/>
        </w:rPr>
        <w:t xml:space="preserve">; </w:t>
      </w:r>
      <w:r w:rsidR="006675C7" w:rsidRPr="0006604A">
        <w:rPr>
          <w:lang w:val="lt-LT"/>
        </w:rPr>
        <w:t>Gareis S.V., Varwick J.</w:t>
      </w:r>
    </w:p>
    <w:p w:rsidR="002B1491" w:rsidRPr="0006604A" w:rsidRDefault="002B1491" w:rsidP="00113D43">
      <w:pPr>
        <w:spacing w:after="200" w:line="276" w:lineRule="auto"/>
        <w:jc w:val="left"/>
        <w:rPr>
          <w:rFonts w:eastAsiaTheme="majorEastAsia" w:cstheme="majorBidi"/>
          <w:b/>
          <w:bCs/>
          <w:lang w:val="lt-LT"/>
        </w:rPr>
      </w:pPr>
      <w:bookmarkStart w:id="2" w:name="_Toc280556711"/>
      <w:r w:rsidRPr="0006604A">
        <w:rPr>
          <w:lang w:val="lt-LT"/>
        </w:rPr>
        <w:br w:type="page"/>
      </w:r>
    </w:p>
    <w:p w:rsidR="00F234E7" w:rsidRPr="0006604A" w:rsidRDefault="004638F6" w:rsidP="00113D43">
      <w:pPr>
        <w:pStyle w:val="Heading1"/>
        <w:numPr>
          <w:ilvl w:val="0"/>
          <w:numId w:val="2"/>
        </w:numPr>
        <w:rPr>
          <w:sz w:val="24"/>
          <w:szCs w:val="24"/>
          <w:lang w:val="lt-LT"/>
        </w:rPr>
      </w:pPr>
      <w:bookmarkStart w:id="3" w:name="_Toc280807829"/>
      <w:r w:rsidRPr="0006604A">
        <w:rPr>
          <w:sz w:val="24"/>
          <w:szCs w:val="24"/>
          <w:lang w:val="lt-LT"/>
        </w:rPr>
        <w:lastRenderedPageBreak/>
        <w:t>JUNGTINIŲ TAUTŲ TAIKOS MISIJŲ BENDRA CHARAKTERISTIKA</w:t>
      </w:r>
      <w:bookmarkEnd w:id="2"/>
      <w:bookmarkEnd w:id="3"/>
    </w:p>
    <w:p w:rsidR="00F234E7" w:rsidRPr="0006604A" w:rsidRDefault="00F234E7" w:rsidP="00113D43">
      <w:pPr>
        <w:pStyle w:val="Heading2"/>
        <w:numPr>
          <w:ilvl w:val="1"/>
          <w:numId w:val="2"/>
        </w:numPr>
        <w:ind w:left="567" w:hanging="567"/>
        <w:rPr>
          <w:sz w:val="24"/>
          <w:szCs w:val="24"/>
          <w:lang w:val="lt-LT"/>
        </w:rPr>
      </w:pPr>
      <w:bookmarkStart w:id="4" w:name="_Toc280556712"/>
      <w:bookmarkStart w:id="5" w:name="_Toc280807830"/>
      <w:r w:rsidRPr="0006604A">
        <w:rPr>
          <w:sz w:val="24"/>
          <w:szCs w:val="24"/>
          <w:lang w:val="lt-LT"/>
        </w:rPr>
        <w:t xml:space="preserve">Taikos misijų atsiradimas ir jų istorinis </w:t>
      </w:r>
      <w:bookmarkEnd w:id="4"/>
      <w:bookmarkEnd w:id="5"/>
      <w:r w:rsidR="0006604A" w:rsidRPr="0006604A">
        <w:rPr>
          <w:sz w:val="24"/>
          <w:szCs w:val="24"/>
          <w:lang w:val="lt-LT"/>
        </w:rPr>
        <w:t>vystymasis</w:t>
      </w:r>
    </w:p>
    <w:p w:rsidR="00F234E7" w:rsidRPr="0006604A" w:rsidRDefault="00F234E7" w:rsidP="00113D43">
      <w:pPr>
        <w:ind w:firstLine="851"/>
        <w:rPr>
          <w:lang w:val="lt-LT"/>
        </w:rPr>
      </w:pPr>
      <w:r w:rsidRPr="0006604A">
        <w:rPr>
          <w:lang w:val="lt-LT"/>
        </w:rPr>
        <w:t>Nuo pirmosios taikos misijos sukūrimo praėj</w:t>
      </w:r>
      <w:r w:rsidR="002876A7">
        <w:rPr>
          <w:lang w:val="lt-LT"/>
        </w:rPr>
        <w:t>o daugiau nei šeši dešimtmečiai,</w:t>
      </w:r>
      <w:r w:rsidRPr="0006604A">
        <w:rPr>
          <w:lang w:val="lt-LT"/>
        </w:rPr>
        <w:t xml:space="preserve"> per kuriuos keitėsi ne tik konfliktų pobūdis, bet kartu ir taikos misijų funkcijų ratas. Šiame poskyryje atskleisime, kokie įvykiai įtakojo taikos misijos atsiradimą, analizuosime jos tolesnį </w:t>
      </w:r>
      <w:r w:rsidR="0006604A" w:rsidRPr="0006604A">
        <w:rPr>
          <w:lang w:val="lt-LT"/>
        </w:rPr>
        <w:t>vystymąsi</w:t>
      </w:r>
      <w:r w:rsidRPr="0006604A">
        <w:rPr>
          <w:lang w:val="lt-LT"/>
        </w:rPr>
        <w:t>, taip pat išskirsime taikos misijų kartas, kurios padės atskleisti ne tik skirtingus vyraujančius konfliktus, tačiau ir skirtingą taikos misijos dalyvių atliekamų funkcijų ratą.</w:t>
      </w:r>
    </w:p>
    <w:p w:rsidR="00F234E7" w:rsidRPr="0006604A" w:rsidRDefault="00F234E7" w:rsidP="00113D43">
      <w:pPr>
        <w:ind w:firstLine="851"/>
        <w:rPr>
          <w:lang w:val="lt-LT"/>
        </w:rPr>
      </w:pPr>
      <w:r w:rsidRPr="0006604A">
        <w:rPr>
          <w:lang w:val="lt-LT"/>
        </w:rPr>
        <w:t>Siekiant apsaugoti ateinančias kartas</w:t>
      </w:r>
      <w:r w:rsidR="00A97DD7">
        <w:rPr>
          <w:lang w:val="lt-LT"/>
        </w:rPr>
        <w:t xml:space="preserve"> nuo karo nelaimių, pasibaigus A</w:t>
      </w:r>
      <w:r w:rsidRPr="0006604A">
        <w:rPr>
          <w:lang w:val="lt-LT"/>
        </w:rPr>
        <w:t>ntrajam pasauliniam karui, 1945 metais įkuriama Jungtinių Tautų Organizacija.</w:t>
      </w:r>
      <w:r w:rsidRPr="0006604A">
        <w:rPr>
          <w:rStyle w:val="FootnoteReference"/>
          <w:rFonts w:eastAsiaTheme="majorEastAsia"/>
          <w:lang w:val="lt-LT"/>
        </w:rPr>
        <w:footnoteReference w:id="3"/>
      </w:r>
      <w:r w:rsidRPr="0006604A">
        <w:rPr>
          <w:lang w:val="lt-LT"/>
        </w:rPr>
        <w:t xml:space="preserve"> Šio tikslo įgyvendinimui, kaip viena iš pagrindinių priemonių, pasirenkama taikos misijos operacija. </w:t>
      </w:r>
      <w:r w:rsidR="00A97DD7">
        <w:rPr>
          <w:lang w:val="lt-LT"/>
        </w:rPr>
        <w:t xml:space="preserve">Pažymėtina, kad taikos misija, </w:t>
      </w:r>
      <w:r w:rsidRPr="0006604A">
        <w:rPr>
          <w:lang w:val="lt-LT"/>
        </w:rPr>
        <w:t xml:space="preserve">kaip Jungtinių Tautų tarptautinės taikos ir saugumo palaikymo priemonė, nebuvo iš anksto apgalvotas konfliktų sprendimo modelis, o išsivystė  kaip atsakas į tuo laikotarpiu vyravusias problemas. </w:t>
      </w:r>
    </w:p>
    <w:p w:rsidR="00F234E7" w:rsidRPr="0006604A" w:rsidRDefault="00F234E7" w:rsidP="00113D43">
      <w:pPr>
        <w:spacing w:before="100" w:beforeAutospacing="1" w:after="100" w:afterAutospacing="1"/>
        <w:ind w:firstLine="851"/>
        <w:contextualSpacing/>
        <w:rPr>
          <w:lang w:val="lt-LT"/>
        </w:rPr>
      </w:pPr>
      <w:r w:rsidRPr="0006604A">
        <w:rPr>
          <w:lang w:val="lt-LT"/>
        </w:rPr>
        <w:t>Taikos misijų praktikos pradžia siekia 1948 metus, kai Jungtinių Ta</w:t>
      </w:r>
      <w:r w:rsidR="00500E39">
        <w:rPr>
          <w:lang w:val="lt-LT"/>
        </w:rPr>
        <w:t>utų kariuomenės stebėtojai</w:t>
      </w:r>
      <w:r w:rsidRPr="0006604A">
        <w:rPr>
          <w:lang w:val="lt-LT"/>
        </w:rPr>
        <w:t xml:space="preserve"> buvo </w:t>
      </w:r>
      <w:r w:rsidR="002876A7">
        <w:rPr>
          <w:lang w:val="lt-LT"/>
        </w:rPr>
        <w:t>įkurdinti V</w:t>
      </w:r>
      <w:r w:rsidR="00500E39">
        <w:rPr>
          <w:lang w:val="lt-LT"/>
        </w:rPr>
        <w:t>iduriniuose R</w:t>
      </w:r>
      <w:r w:rsidR="009C3099" w:rsidRPr="0006604A">
        <w:rPr>
          <w:lang w:val="lt-LT"/>
        </w:rPr>
        <w:t xml:space="preserve">ytuose </w:t>
      </w:r>
      <w:r w:rsidRPr="0006604A">
        <w:rPr>
          <w:lang w:val="lt-LT"/>
        </w:rPr>
        <w:t>tam</w:t>
      </w:r>
      <w:r w:rsidR="009C3099" w:rsidRPr="0006604A">
        <w:rPr>
          <w:lang w:val="lt-LT"/>
        </w:rPr>
        <w:t>,</w:t>
      </w:r>
      <w:r w:rsidRPr="0006604A">
        <w:rPr>
          <w:lang w:val="lt-LT"/>
        </w:rPr>
        <w:t xml:space="preserve"> kad kontroliuotų paliaubų susitarimą</w:t>
      </w:r>
      <w:r w:rsidRPr="0006604A">
        <w:rPr>
          <w:rStyle w:val="FootnoteReference"/>
          <w:rFonts w:eastAsiaTheme="majorEastAsia"/>
          <w:lang w:val="lt-LT"/>
        </w:rPr>
        <w:footnoteReference w:id="4"/>
      </w:r>
      <w:r w:rsidRPr="0006604A">
        <w:rPr>
          <w:lang w:val="lt-LT"/>
        </w:rPr>
        <w:t xml:space="preserve"> tarp Izraelio ir Arabų kaimynų.</w:t>
      </w:r>
      <w:r w:rsidRPr="0006604A">
        <w:rPr>
          <w:rStyle w:val="FootnoteReference"/>
          <w:rFonts w:eastAsiaTheme="majorEastAsia"/>
          <w:lang w:val="lt-LT"/>
        </w:rPr>
        <w:footnoteReference w:id="5"/>
      </w:r>
      <w:r w:rsidRPr="0006604A">
        <w:rPr>
          <w:lang w:val="lt-LT"/>
        </w:rPr>
        <w:t xml:space="preserve"> O pats terminas „taikos misija“ pirmą kartą pavartotas įkuriant taikos misiją Sueco krizės metu. Sueco krizė iškilo 1956 metais, kai Egipto prezidentas Gamel Abdel Nasser  nacionali</w:t>
      </w:r>
      <w:r w:rsidR="00FE0286" w:rsidRPr="0006604A">
        <w:rPr>
          <w:lang w:val="lt-LT"/>
        </w:rPr>
        <w:t>zavo Sueco kanalą. Tai buvo</w:t>
      </w:r>
      <w:r w:rsidR="00A97DD7">
        <w:rPr>
          <w:lang w:val="lt-LT"/>
        </w:rPr>
        <w:t xml:space="preserve"> atsakas į Jungtinių</w:t>
      </w:r>
      <w:r w:rsidR="009C3099" w:rsidRPr="0006604A">
        <w:rPr>
          <w:lang w:val="lt-LT"/>
        </w:rPr>
        <w:t xml:space="preserve"> Valstijų atsisakymą finansuoti</w:t>
      </w:r>
      <w:r w:rsidRPr="0006604A">
        <w:rPr>
          <w:lang w:val="lt-LT"/>
        </w:rPr>
        <w:t xml:space="preserve"> užtvankos projektą. Prancūzija ir Didžioji Britanija</w:t>
      </w:r>
      <w:r w:rsidR="00012C06" w:rsidRPr="0006604A">
        <w:rPr>
          <w:lang w:val="lt-LT"/>
        </w:rPr>
        <w:t>,</w:t>
      </w:r>
      <w:r w:rsidRPr="0006604A">
        <w:rPr>
          <w:lang w:val="lt-LT"/>
        </w:rPr>
        <w:t xml:space="preserve"> turėdamos ekonominių interesų tame regione, liko nepatenkintos tokiu spr</w:t>
      </w:r>
      <w:r w:rsidR="00012C06" w:rsidRPr="0006604A">
        <w:rPr>
          <w:lang w:val="lt-LT"/>
        </w:rPr>
        <w:t>endimu ir pradėjo svarstyti</w:t>
      </w:r>
      <w:r w:rsidRPr="0006604A">
        <w:rPr>
          <w:lang w:val="lt-LT"/>
        </w:rPr>
        <w:t xml:space="preserve"> karinį šios situacijos sprendimą. Netrukus šios dvi valstybės bei Izraelio pajėgos užėmė Egipto teritoriją.  Didžioji Britanija ir Prancūzija</w:t>
      </w:r>
      <w:r w:rsidR="00714344" w:rsidRPr="0006604A">
        <w:rPr>
          <w:lang w:val="lt-LT"/>
        </w:rPr>
        <w:t>,</w:t>
      </w:r>
      <w:r w:rsidRPr="0006604A">
        <w:rPr>
          <w:lang w:val="lt-LT"/>
        </w:rPr>
        <w:t xml:space="preserve"> būdamos nuolatinėmis Saugumo Tarybos narėmis ir panaudodamos veto teisę</w:t>
      </w:r>
      <w:r w:rsidR="00714344" w:rsidRPr="0006604A">
        <w:rPr>
          <w:lang w:val="lt-LT"/>
        </w:rPr>
        <w:t>,</w:t>
      </w:r>
      <w:r w:rsidRPr="0006604A">
        <w:rPr>
          <w:lang w:val="lt-LT"/>
        </w:rPr>
        <w:t xml:space="preserve"> užkirto bet kokį Jungtinių Tautų Saugumo Tarybos įsitraukimą į šį konfliktą. Didžioji Britanija ir Prancūzija  pareiškė, kad išvestų savo karius tik tuo atveju, jeigu būtų įsteigtos Jungtinių Tautų pajėgos.</w:t>
      </w:r>
      <w:r w:rsidRPr="0006604A">
        <w:rPr>
          <w:rStyle w:val="FootnoteReference"/>
          <w:rFonts w:eastAsiaTheme="majorEastAsia"/>
          <w:lang w:val="lt-LT"/>
        </w:rPr>
        <w:footnoteReference w:id="6"/>
      </w:r>
      <w:r w:rsidRPr="0006604A">
        <w:rPr>
          <w:lang w:val="lt-LT"/>
        </w:rPr>
        <w:t xml:space="preserve"> </w:t>
      </w:r>
    </w:p>
    <w:p w:rsidR="00F234E7" w:rsidRPr="0006604A" w:rsidRDefault="00F234E7" w:rsidP="00113D43">
      <w:pPr>
        <w:spacing w:before="100" w:beforeAutospacing="1" w:after="100" w:afterAutospacing="1"/>
        <w:ind w:firstLine="851"/>
        <w:contextualSpacing/>
        <w:rPr>
          <w:lang w:val="lt-LT"/>
        </w:rPr>
      </w:pPr>
      <w:r w:rsidRPr="0006604A">
        <w:rPr>
          <w:lang w:val="lt-LT"/>
        </w:rPr>
        <w:t>Kadangi Saugumo Tarybos darbas buvo sustabdytas veto teisės panaudojimu, įsteigti taikos misiją Egipte buvo pavesta Generalinei Asamblėjai.</w:t>
      </w:r>
      <w:r w:rsidRPr="0006604A">
        <w:rPr>
          <w:rStyle w:val="FootnoteReference"/>
          <w:rFonts w:eastAsiaTheme="majorEastAsia"/>
          <w:lang w:val="lt-LT"/>
        </w:rPr>
        <w:footnoteReference w:id="7"/>
      </w:r>
      <w:r w:rsidRPr="0006604A">
        <w:rPr>
          <w:lang w:val="lt-LT"/>
        </w:rPr>
        <w:t xml:space="preserve"> 1956 metais, remiantis Generalinės </w:t>
      </w:r>
      <w:r w:rsidRPr="0006604A">
        <w:rPr>
          <w:lang w:val="lt-LT"/>
        </w:rPr>
        <w:lastRenderedPageBreak/>
        <w:t xml:space="preserve">Asamblėjos rezoliucija, buvo įkurtos Jungtinių </w:t>
      </w:r>
      <w:r w:rsidR="00A97DD7">
        <w:rPr>
          <w:lang w:val="lt-LT"/>
        </w:rPr>
        <w:t>Tautų N</w:t>
      </w:r>
      <w:r w:rsidR="00FE0286" w:rsidRPr="0006604A">
        <w:rPr>
          <w:lang w:val="lt-LT"/>
        </w:rPr>
        <w:t>epaprastųjų įvykių pajėgo</w:t>
      </w:r>
      <w:r w:rsidRPr="0006604A">
        <w:rPr>
          <w:lang w:val="lt-LT"/>
        </w:rPr>
        <w:t>s Egipte (angl. UNEF 1).</w:t>
      </w:r>
    </w:p>
    <w:p w:rsidR="00F234E7" w:rsidRPr="0006604A" w:rsidRDefault="00F234E7" w:rsidP="00113D43">
      <w:pPr>
        <w:spacing w:before="100" w:beforeAutospacing="1" w:after="100" w:afterAutospacing="1"/>
        <w:ind w:firstLine="851"/>
        <w:contextualSpacing/>
        <w:rPr>
          <w:lang w:val="lt-LT"/>
        </w:rPr>
      </w:pPr>
      <w:r w:rsidRPr="0006604A">
        <w:rPr>
          <w:lang w:val="lt-LT"/>
        </w:rPr>
        <w:t>Kad pirmoji taikos misija buvo sumodeliuota pagal to meto konf</w:t>
      </w:r>
      <w:r w:rsidR="005D3F58" w:rsidRPr="0006604A">
        <w:rPr>
          <w:lang w:val="lt-LT"/>
        </w:rPr>
        <w:t>liktinę situaciją, manoma</w:t>
      </w:r>
      <w:r w:rsidRPr="0006604A">
        <w:rPr>
          <w:lang w:val="lt-LT"/>
        </w:rPr>
        <w:t xml:space="preserve"> iš funkcijų, kurias atliko taikos misijos dalyviai Egipte</w:t>
      </w:r>
      <w:r w:rsidR="00D57E23" w:rsidRPr="0006604A">
        <w:rPr>
          <w:lang w:val="lt-LT"/>
        </w:rPr>
        <w:t>, t.y.</w:t>
      </w:r>
    </w:p>
    <w:p w:rsidR="00F234E7" w:rsidRPr="0006604A" w:rsidRDefault="00F234E7" w:rsidP="00113D43">
      <w:pPr>
        <w:pStyle w:val="ListParagraph"/>
        <w:numPr>
          <w:ilvl w:val="0"/>
          <w:numId w:val="9"/>
        </w:numPr>
        <w:spacing w:before="100" w:beforeAutospacing="1" w:after="100" w:afterAutospacing="1"/>
        <w:ind w:left="1560" w:hanging="426"/>
        <w:contextualSpacing/>
        <w:rPr>
          <w:lang w:val="lt-LT"/>
        </w:rPr>
      </w:pPr>
      <w:r w:rsidRPr="0006604A">
        <w:rPr>
          <w:lang w:val="lt-LT"/>
        </w:rPr>
        <w:t xml:space="preserve">įkurti Jungtinių Tautų pajėgas kontroliuoti paliaubas tarp ginčo šalių, </w:t>
      </w:r>
    </w:p>
    <w:p w:rsidR="00F234E7" w:rsidRPr="0006604A" w:rsidRDefault="00F234E7" w:rsidP="00113D43">
      <w:pPr>
        <w:pStyle w:val="ListParagraph"/>
        <w:numPr>
          <w:ilvl w:val="0"/>
          <w:numId w:val="9"/>
        </w:numPr>
        <w:spacing w:before="100" w:beforeAutospacing="1" w:after="100" w:afterAutospacing="1"/>
        <w:ind w:left="1560" w:hanging="426"/>
        <w:contextualSpacing/>
        <w:rPr>
          <w:lang w:val="lt-LT"/>
        </w:rPr>
      </w:pPr>
      <w:r w:rsidRPr="0006604A">
        <w:rPr>
          <w:lang w:val="lt-LT"/>
        </w:rPr>
        <w:t xml:space="preserve">išsiųsti Izraelio, Prancūzijos ir Didžiosios Britanijos kariuomenę iš Egipto teritorijos bei </w:t>
      </w:r>
    </w:p>
    <w:p w:rsidR="00F234E7" w:rsidRPr="0006604A" w:rsidRDefault="00F234E7" w:rsidP="00113D43">
      <w:pPr>
        <w:pStyle w:val="ListParagraph"/>
        <w:numPr>
          <w:ilvl w:val="0"/>
          <w:numId w:val="9"/>
        </w:numPr>
        <w:spacing w:before="100" w:beforeAutospacing="1" w:after="100" w:afterAutospacing="1"/>
        <w:ind w:left="1560" w:hanging="426"/>
        <w:contextualSpacing/>
        <w:rPr>
          <w:lang w:val="lt-LT"/>
        </w:rPr>
      </w:pPr>
      <w:r w:rsidRPr="0006604A">
        <w:rPr>
          <w:lang w:val="lt-LT"/>
        </w:rPr>
        <w:t>tapti buferine zona tarp Izraelio ir Egipto pajėgų.</w:t>
      </w:r>
      <w:r w:rsidRPr="0006604A">
        <w:rPr>
          <w:rStyle w:val="FootnoteReference"/>
          <w:rFonts w:eastAsiaTheme="majorEastAsia"/>
          <w:lang w:val="lt-LT"/>
        </w:rPr>
        <w:footnoteReference w:id="8"/>
      </w:r>
      <w:r w:rsidRPr="0006604A">
        <w:rPr>
          <w:lang w:val="lt-LT"/>
        </w:rPr>
        <w:t xml:space="preserve"> </w:t>
      </w:r>
    </w:p>
    <w:p w:rsidR="00F234E7" w:rsidRPr="0006604A" w:rsidRDefault="00F234E7" w:rsidP="00113D43">
      <w:pPr>
        <w:spacing w:before="100" w:beforeAutospacing="1" w:after="100" w:afterAutospacing="1"/>
        <w:ind w:firstLine="851"/>
        <w:contextualSpacing/>
        <w:rPr>
          <w:lang w:val="lt-LT"/>
        </w:rPr>
      </w:pPr>
      <w:r w:rsidRPr="0006604A">
        <w:rPr>
          <w:lang w:val="lt-LT"/>
        </w:rPr>
        <w:t>Taikos misiją, vykusią Egipte, priskiriame pirmosios kartos taikos misijų operacijoms. Prie pirmos kar</w:t>
      </w:r>
      <w:r w:rsidR="00B65E3C" w:rsidRPr="0006604A">
        <w:rPr>
          <w:lang w:val="lt-LT"/>
        </w:rPr>
        <w:t>t</w:t>
      </w:r>
      <w:r w:rsidR="001C589F" w:rsidRPr="0006604A">
        <w:rPr>
          <w:lang w:val="lt-LT"/>
        </w:rPr>
        <w:t xml:space="preserve">os misijų taip pat paminėtinos </w:t>
      </w:r>
      <w:r w:rsidR="00B65E3C" w:rsidRPr="0006604A">
        <w:rPr>
          <w:lang w:val="lt-LT"/>
        </w:rPr>
        <w:t xml:space="preserve">1948 metais Viduriniuose Rytuose, </w:t>
      </w:r>
      <w:r w:rsidRPr="0006604A">
        <w:rPr>
          <w:lang w:val="lt-LT"/>
        </w:rPr>
        <w:t>1960 m</w:t>
      </w:r>
      <w:r w:rsidR="00B65E3C" w:rsidRPr="0006604A">
        <w:rPr>
          <w:lang w:val="lt-LT"/>
        </w:rPr>
        <w:t>etais Konge, 1964 metais Kipre</w:t>
      </w:r>
      <w:r w:rsidRPr="0006604A">
        <w:rPr>
          <w:lang w:val="lt-LT"/>
        </w:rPr>
        <w:t xml:space="preserve"> įsteigtos ir kt.</w:t>
      </w:r>
      <w:r w:rsidR="001C589F" w:rsidRPr="0006604A">
        <w:rPr>
          <w:lang w:val="lt-LT"/>
        </w:rPr>
        <w:t xml:space="preserve"> </w:t>
      </w:r>
      <w:r w:rsidR="00E710DD" w:rsidRPr="0006604A">
        <w:rPr>
          <w:lang w:val="lt-LT"/>
        </w:rPr>
        <w:t>t</w:t>
      </w:r>
      <w:r w:rsidR="001C589F" w:rsidRPr="0006604A">
        <w:rPr>
          <w:lang w:val="lt-LT"/>
        </w:rPr>
        <w:t>aikos misijos.</w:t>
      </w:r>
      <w:r w:rsidRPr="0006604A">
        <w:rPr>
          <w:lang w:val="lt-LT"/>
        </w:rPr>
        <w:t xml:space="preserve"> </w:t>
      </w:r>
      <w:r w:rsidR="0023191F">
        <w:rPr>
          <w:lang w:val="lt-LT"/>
        </w:rPr>
        <w:t>(ž</w:t>
      </w:r>
      <w:r w:rsidR="00146276" w:rsidRPr="0006604A">
        <w:rPr>
          <w:lang w:val="lt-LT"/>
        </w:rPr>
        <w:t>r. I Priedas)</w:t>
      </w:r>
    </w:p>
    <w:p w:rsidR="00F234E7" w:rsidRPr="0006604A" w:rsidRDefault="00F234E7" w:rsidP="00113D43">
      <w:pPr>
        <w:spacing w:before="100" w:beforeAutospacing="1" w:after="100" w:afterAutospacing="1"/>
        <w:ind w:firstLine="851"/>
        <w:contextualSpacing/>
        <w:rPr>
          <w:lang w:val="lt-LT"/>
        </w:rPr>
      </w:pPr>
      <w:r w:rsidRPr="0006604A">
        <w:rPr>
          <w:lang w:val="lt-LT"/>
        </w:rPr>
        <w:t>Literatūroje pirmosios kartos misijoms priskiriamos dvi pagrindinės funkcijos: stebėjimas ir įsiterpimas tarp šalių.</w:t>
      </w:r>
      <w:r w:rsidRPr="0006604A">
        <w:rPr>
          <w:rStyle w:val="FootnoteReference"/>
          <w:rFonts w:eastAsiaTheme="majorEastAsia"/>
          <w:lang w:val="lt-LT"/>
        </w:rPr>
        <w:footnoteReference w:id="9"/>
      </w:r>
      <w:r w:rsidRPr="0006604A">
        <w:rPr>
          <w:lang w:val="lt-LT"/>
        </w:rPr>
        <w:t xml:space="preserve"> Stebėjimas prieš tai minėtų funkcijų atžvilgiu apima paliaubų kontroliavimą tarp ginč</w:t>
      </w:r>
      <w:r w:rsidR="00515656">
        <w:rPr>
          <w:lang w:val="lt-LT"/>
        </w:rPr>
        <w:t>o šalių. Atlikdami šią funkciją</w:t>
      </w:r>
      <w:r w:rsidRPr="0006604A">
        <w:rPr>
          <w:lang w:val="lt-LT"/>
        </w:rPr>
        <w:t xml:space="preserve"> taikos misijos dalyviai užtikrina, kad nė viena iš ginčo šalių nepažeidžia taikos susitarimo. Antroji funkcija – įsiterpimas tarp šalių</w:t>
      </w:r>
      <w:r w:rsidR="00515656">
        <w:rPr>
          <w:lang w:val="lt-LT"/>
        </w:rPr>
        <w:t>,</w:t>
      </w:r>
      <w:r w:rsidRPr="0006604A">
        <w:rPr>
          <w:lang w:val="lt-LT"/>
        </w:rPr>
        <w:t xml:space="preserve"> apima buferinės zonos</w:t>
      </w:r>
      <w:r w:rsidRPr="0006604A">
        <w:rPr>
          <w:rStyle w:val="FootnoteReference"/>
          <w:rFonts w:eastAsiaTheme="majorEastAsia"/>
          <w:lang w:val="lt-LT"/>
        </w:rPr>
        <w:footnoteReference w:id="10"/>
      </w:r>
      <w:r w:rsidRPr="0006604A">
        <w:rPr>
          <w:lang w:val="lt-LT"/>
        </w:rPr>
        <w:t xml:space="preserve"> įkūrimą, kuri yra kaip priemonė užkirsti kelią įvairiems incidentams. </w:t>
      </w:r>
    </w:p>
    <w:p w:rsidR="00F234E7" w:rsidRPr="0006604A" w:rsidRDefault="00F234E7" w:rsidP="00113D43">
      <w:pPr>
        <w:spacing w:before="100" w:beforeAutospacing="1" w:after="100" w:afterAutospacing="1"/>
        <w:ind w:firstLine="851"/>
        <w:contextualSpacing/>
        <w:rPr>
          <w:lang w:val="lt-LT"/>
        </w:rPr>
      </w:pPr>
      <w:r w:rsidRPr="0006604A">
        <w:rPr>
          <w:lang w:val="lt-LT"/>
        </w:rPr>
        <w:t xml:space="preserve">Pirmosios kartos operacijų metu taikos misijos dalyviai yra neginkluoti arba labai lengvai ginkluoti. </w:t>
      </w:r>
    </w:p>
    <w:p w:rsidR="00F234E7" w:rsidRPr="0006604A" w:rsidRDefault="00F234E7" w:rsidP="00113D43">
      <w:pPr>
        <w:spacing w:before="100" w:beforeAutospacing="1" w:after="100" w:afterAutospacing="1"/>
        <w:ind w:firstLine="851"/>
        <w:contextualSpacing/>
        <w:rPr>
          <w:lang w:val="lt-LT"/>
        </w:rPr>
      </w:pPr>
      <w:r w:rsidRPr="0006604A">
        <w:rPr>
          <w:lang w:val="lt-LT"/>
        </w:rPr>
        <w:t xml:space="preserve">Pažymėtina, </w:t>
      </w:r>
      <w:r w:rsidR="00445A72" w:rsidRPr="0006604A">
        <w:rPr>
          <w:lang w:val="lt-LT"/>
        </w:rPr>
        <w:t xml:space="preserve">kad pirmosios kartos operacijų </w:t>
      </w:r>
      <w:r w:rsidRPr="0006604A">
        <w:rPr>
          <w:lang w:val="lt-LT"/>
        </w:rPr>
        <w:t>metu išsivystė trys pamatiniai taikos misijų principai: priimančios šalies sutikimas, neutralumas ir jėgos panaudojimas tik savigynos atveju.</w:t>
      </w:r>
      <w:r w:rsidRPr="0006604A">
        <w:rPr>
          <w:rStyle w:val="FootnoteReference"/>
          <w:rFonts w:eastAsiaTheme="majorEastAsia"/>
          <w:lang w:val="lt-LT"/>
        </w:rPr>
        <w:footnoteReference w:id="11"/>
      </w:r>
      <w:r w:rsidRPr="0006604A">
        <w:rPr>
          <w:lang w:val="lt-LT"/>
        </w:rPr>
        <w:t xml:space="preserve"> Tai būtini t</w:t>
      </w:r>
      <w:r w:rsidR="005D0B08" w:rsidRPr="0006604A">
        <w:rPr>
          <w:lang w:val="lt-LT"/>
        </w:rPr>
        <w:t xml:space="preserve">aikos misijos elementai ir yra </w:t>
      </w:r>
      <w:r w:rsidRPr="0006604A">
        <w:rPr>
          <w:lang w:val="lt-LT"/>
        </w:rPr>
        <w:t>pri</w:t>
      </w:r>
      <w:r w:rsidR="00445A72" w:rsidRPr="0006604A">
        <w:rPr>
          <w:lang w:val="lt-LT"/>
        </w:rPr>
        <w:t xml:space="preserve">elaida teisiniam jos veikimui. </w:t>
      </w:r>
      <w:r w:rsidRPr="0006604A">
        <w:rPr>
          <w:lang w:val="lt-LT"/>
        </w:rPr>
        <w:t>Greta šių pagrindinių principų, kaip būtina sąlyga yra Jungtinių Tautų komandos bei kontrolės buvimas, taip pat didelę reikšmę turi užimti politinis šalių neutralumas.</w:t>
      </w:r>
      <w:r w:rsidRPr="0006604A">
        <w:rPr>
          <w:rStyle w:val="FootnoteReference"/>
          <w:rFonts w:eastAsiaTheme="majorEastAsia"/>
          <w:lang w:val="lt-LT"/>
        </w:rPr>
        <w:footnoteReference w:id="12"/>
      </w:r>
    </w:p>
    <w:p w:rsidR="00F234E7" w:rsidRPr="00E0765A" w:rsidRDefault="00F234E7" w:rsidP="00113D43">
      <w:pPr>
        <w:spacing w:before="100" w:beforeAutospacing="1" w:after="100" w:afterAutospacing="1"/>
        <w:ind w:firstLine="851"/>
        <w:contextualSpacing/>
        <w:rPr>
          <w:lang w:val="lt-LT"/>
        </w:rPr>
      </w:pPr>
      <w:r w:rsidRPr="0006604A">
        <w:rPr>
          <w:lang w:val="lt-LT"/>
        </w:rPr>
        <w:t>Pirmosios kartos operacijoms būdingų tarpvalstybinių konfliktų mažėjo ir laikui bėgant atsirado naujo tipo karai – civiliniai karai š</w:t>
      </w:r>
      <w:r w:rsidR="00BA5B09">
        <w:rPr>
          <w:lang w:val="lt-LT"/>
        </w:rPr>
        <w:t>alies viduje. Jie prasidėjo po Š</w:t>
      </w:r>
      <w:r w:rsidRPr="0006604A">
        <w:rPr>
          <w:lang w:val="lt-LT"/>
        </w:rPr>
        <w:t xml:space="preserve">altojo karo ir buvo kaip </w:t>
      </w:r>
      <w:r w:rsidRPr="0006604A">
        <w:rPr>
          <w:lang w:val="lt-LT"/>
        </w:rPr>
        <w:lastRenderedPageBreak/>
        <w:t>atsakas į sumažėjusį tarptautinės bendruomenės įsitraukimą į vidinius šalies reikalus.</w:t>
      </w:r>
      <w:r w:rsidRPr="0006604A">
        <w:rPr>
          <w:rStyle w:val="FootnoteReference"/>
          <w:rFonts w:eastAsiaTheme="majorEastAsia"/>
          <w:lang w:val="lt-LT"/>
        </w:rPr>
        <w:footnoteReference w:id="13"/>
      </w:r>
      <w:r w:rsidRPr="0006604A">
        <w:rPr>
          <w:lang w:val="lt-LT"/>
        </w:rPr>
        <w:t xml:space="preserve"> </w:t>
      </w:r>
      <w:r w:rsidRPr="00E0765A">
        <w:rPr>
          <w:lang w:val="lt-LT"/>
        </w:rPr>
        <w:t>Padaugėjus civilinių karų, etninių, relig</w:t>
      </w:r>
      <w:r w:rsidR="00C74AB2" w:rsidRPr="00E0765A">
        <w:rPr>
          <w:lang w:val="lt-LT"/>
        </w:rPr>
        <w:t>inių konfliktų, gamtos stichijų</w:t>
      </w:r>
      <w:r w:rsidR="00B6147C" w:rsidRPr="00E0765A">
        <w:rPr>
          <w:lang w:val="lt-LT"/>
        </w:rPr>
        <w:t>,</w:t>
      </w:r>
      <w:r w:rsidRPr="00E0765A">
        <w:rPr>
          <w:lang w:val="lt-LT"/>
        </w:rPr>
        <w:t xml:space="preserve"> taikos misijos esminės funkcijos pasikeičia, atsiranda platesnio masto taikos misijos – antrosios kartos misijos.</w:t>
      </w:r>
    </w:p>
    <w:p w:rsidR="00F234E7" w:rsidRPr="0006604A" w:rsidRDefault="00F234E7" w:rsidP="00113D43">
      <w:pPr>
        <w:spacing w:before="100" w:beforeAutospacing="1" w:after="100" w:afterAutospacing="1"/>
        <w:ind w:firstLine="851"/>
        <w:contextualSpacing/>
        <w:rPr>
          <w:lang w:val="lt-LT"/>
        </w:rPr>
      </w:pPr>
      <w:r w:rsidRPr="0006604A">
        <w:rPr>
          <w:lang w:val="lt-LT"/>
        </w:rPr>
        <w:t xml:space="preserve"> Pažymėtina, kad šio tipo misijos naudojamos ne tik sustabdyti konfliktą per trumpą laiką, tačiau jam pasibaigus padeda užtikrinti ir taikos įtvirtinimą (angl.</w:t>
      </w:r>
      <w:r w:rsidRPr="001D6E17">
        <w:rPr>
          <w:lang w:val="lt-LT"/>
        </w:rPr>
        <w:t xml:space="preserve"> </w:t>
      </w:r>
      <w:r w:rsidR="00BF4AA1">
        <w:rPr>
          <w:i/>
          <w:lang w:val="lt-LT"/>
        </w:rPr>
        <w:t>p</w:t>
      </w:r>
      <w:r w:rsidR="0006604A" w:rsidRPr="001D6E17">
        <w:rPr>
          <w:i/>
          <w:lang w:val="lt-LT"/>
        </w:rPr>
        <w:t>eace building</w:t>
      </w:r>
      <w:r w:rsidRPr="00E0765A">
        <w:rPr>
          <w:lang w:val="lt-LT"/>
        </w:rPr>
        <w:t>). Todėl be tradicinių</w:t>
      </w:r>
      <w:r w:rsidR="00E756F3" w:rsidRPr="00E0765A">
        <w:rPr>
          <w:lang w:val="lt-LT"/>
        </w:rPr>
        <w:t xml:space="preserve"> </w:t>
      </w:r>
      <w:r w:rsidRPr="00E0765A">
        <w:rPr>
          <w:lang w:val="lt-LT"/>
        </w:rPr>
        <w:t>kariu</w:t>
      </w:r>
      <w:r w:rsidR="00B146BE" w:rsidRPr="00E0765A">
        <w:rPr>
          <w:lang w:val="lt-LT"/>
        </w:rPr>
        <w:t>omenės funkci</w:t>
      </w:r>
      <w:r w:rsidR="00E756F3" w:rsidRPr="00E0765A">
        <w:rPr>
          <w:lang w:val="lt-LT"/>
        </w:rPr>
        <w:t>jų</w:t>
      </w:r>
      <w:r w:rsidR="00B146BE" w:rsidRPr="00E0765A">
        <w:rPr>
          <w:lang w:val="lt-LT"/>
        </w:rPr>
        <w:t xml:space="preserve"> taikos misijos </w:t>
      </w:r>
      <w:r w:rsidRPr="00E0765A">
        <w:rPr>
          <w:lang w:val="lt-LT"/>
        </w:rPr>
        <w:t>dalyviai tampa atsakingi už karinių dalinių</w:t>
      </w:r>
      <w:r w:rsidRPr="0006604A">
        <w:rPr>
          <w:lang w:val="lt-LT"/>
        </w:rPr>
        <w:t xml:space="preserve"> demobilizaciją, teikia pagalbą ir kontroliuoja valdžios rinkimus, laikinai gali apimti ir nacionalinės vyriausybės funkcijas, apmoko ir prižiūri nacionalinę policiją, grąžina bei integruoja į visuomenės gyvenimą pabėgėlius, atlieka įvairias policijos ir civilines užduotis, steigia naujas valdymo sistemas. Šios plataus masto funkcijos, naudojamos atkurti taiką, išskiriamos į keturias pagrindines funkcijų grupes: </w:t>
      </w:r>
    </w:p>
    <w:p w:rsidR="00F234E7" w:rsidRPr="0006604A" w:rsidRDefault="00F234E7" w:rsidP="00113D43">
      <w:pPr>
        <w:numPr>
          <w:ilvl w:val="0"/>
          <w:numId w:val="1"/>
        </w:numPr>
        <w:spacing w:before="100" w:beforeAutospacing="1" w:after="100" w:afterAutospacing="1"/>
        <w:ind w:left="1560" w:hanging="426"/>
        <w:contextualSpacing/>
        <w:rPr>
          <w:lang w:val="lt-LT"/>
        </w:rPr>
      </w:pPr>
      <w:r w:rsidRPr="0006604A">
        <w:rPr>
          <w:lang w:val="lt-LT"/>
        </w:rPr>
        <w:t xml:space="preserve">valstybės vidinio ir išorinio saugumo stiprinimas, </w:t>
      </w:r>
    </w:p>
    <w:p w:rsidR="00F234E7" w:rsidRPr="0006604A" w:rsidRDefault="00F234E7" w:rsidP="00113D43">
      <w:pPr>
        <w:numPr>
          <w:ilvl w:val="0"/>
          <w:numId w:val="1"/>
        </w:numPr>
        <w:spacing w:before="100" w:beforeAutospacing="1" w:after="100" w:afterAutospacing="1"/>
        <w:ind w:left="1560" w:hanging="426"/>
        <w:contextualSpacing/>
        <w:rPr>
          <w:lang w:val="lt-LT"/>
        </w:rPr>
      </w:pPr>
      <w:r w:rsidRPr="0006604A">
        <w:rPr>
          <w:lang w:val="lt-LT"/>
        </w:rPr>
        <w:t xml:space="preserve">politinių institucijų atsiradimo rėmimas, </w:t>
      </w:r>
    </w:p>
    <w:p w:rsidR="00F234E7" w:rsidRPr="0006604A" w:rsidRDefault="00F234E7" w:rsidP="00113D43">
      <w:pPr>
        <w:numPr>
          <w:ilvl w:val="0"/>
          <w:numId w:val="1"/>
        </w:numPr>
        <w:spacing w:before="100" w:beforeAutospacing="1" w:after="100" w:afterAutospacing="1"/>
        <w:ind w:left="1560" w:hanging="426"/>
        <w:contextualSpacing/>
        <w:rPr>
          <w:lang w:val="lt-LT"/>
        </w:rPr>
      </w:pPr>
      <w:r w:rsidRPr="0006604A">
        <w:rPr>
          <w:lang w:val="lt-LT"/>
        </w:rPr>
        <w:t xml:space="preserve">socialinio ir ekonominio atsigavimo </w:t>
      </w:r>
      <w:r w:rsidR="0006604A" w:rsidRPr="0006604A">
        <w:rPr>
          <w:lang w:val="lt-LT"/>
        </w:rPr>
        <w:t>vystymasis</w:t>
      </w:r>
      <w:r w:rsidRPr="0006604A">
        <w:rPr>
          <w:lang w:val="lt-LT"/>
        </w:rPr>
        <w:t xml:space="preserve"> bei </w:t>
      </w:r>
    </w:p>
    <w:p w:rsidR="00F234E7" w:rsidRPr="0006604A" w:rsidRDefault="00F234E7" w:rsidP="00236507">
      <w:pPr>
        <w:numPr>
          <w:ilvl w:val="0"/>
          <w:numId w:val="1"/>
        </w:numPr>
        <w:tabs>
          <w:tab w:val="left" w:pos="851"/>
        </w:tabs>
        <w:spacing w:before="100" w:beforeAutospacing="1" w:after="100" w:afterAutospacing="1"/>
        <w:ind w:left="1560" w:hanging="426"/>
        <w:contextualSpacing/>
        <w:rPr>
          <w:lang w:val="lt-LT"/>
        </w:rPr>
      </w:pPr>
      <w:r w:rsidRPr="0006604A">
        <w:rPr>
          <w:lang w:val="lt-LT"/>
        </w:rPr>
        <w:t>žmogaus teisių stiprinimas.</w:t>
      </w:r>
      <w:r w:rsidRPr="0006604A">
        <w:rPr>
          <w:rStyle w:val="FootnoteReference"/>
          <w:rFonts w:eastAsiaTheme="majorEastAsia"/>
          <w:lang w:val="lt-LT"/>
        </w:rPr>
        <w:footnoteReference w:id="14"/>
      </w:r>
      <w:r w:rsidRPr="0006604A">
        <w:rPr>
          <w:lang w:val="lt-LT"/>
        </w:rPr>
        <w:t xml:space="preserve"> </w:t>
      </w:r>
    </w:p>
    <w:p w:rsidR="00F234E7" w:rsidRPr="0006604A" w:rsidRDefault="00F234E7" w:rsidP="00236507">
      <w:pPr>
        <w:spacing w:before="100" w:beforeAutospacing="1" w:after="100" w:afterAutospacing="1"/>
        <w:ind w:firstLine="851"/>
        <w:contextualSpacing/>
        <w:rPr>
          <w:lang w:val="lt-LT"/>
        </w:rPr>
      </w:pPr>
      <w:r w:rsidRPr="0006604A">
        <w:rPr>
          <w:lang w:val="lt-LT"/>
        </w:rPr>
        <w:t xml:space="preserve">Dėl esančios </w:t>
      </w:r>
      <w:r w:rsidR="0004628F">
        <w:rPr>
          <w:lang w:val="lt-LT"/>
        </w:rPr>
        <w:t>sudėtingos konflikto situacijos</w:t>
      </w:r>
      <w:r w:rsidRPr="0006604A">
        <w:rPr>
          <w:lang w:val="lt-LT"/>
        </w:rPr>
        <w:t xml:space="preserve"> antrosios kartos taikos misijų metu tampa sunkiau gauti sutikimą iš vietinės valdžios, bendradarbiavimas tampa </w:t>
      </w:r>
      <w:r w:rsidRPr="0096345F">
        <w:rPr>
          <w:lang w:val="lt-LT"/>
        </w:rPr>
        <w:t>sudėtingesn</w:t>
      </w:r>
      <w:r w:rsidR="007C54ED" w:rsidRPr="0096345F">
        <w:rPr>
          <w:lang w:val="lt-LT"/>
        </w:rPr>
        <w:t xml:space="preserve">is, vykdant misijos įgaliojimus </w:t>
      </w:r>
      <w:r w:rsidRPr="0096345F">
        <w:rPr>
          <w:lang w:val="lt-LT"/>
        </w:rPr>
        <w:t>padidėja ir naudojamos jėgos apimtis.</w:t>
      </w:r>
      <w:r w:rsidRPr="00E0765A">
        <w:rPr>
          <w:rStyle w:val="FootnoteReference"/>
          <w:rFonts w:eastAsiaTheme="majorEastAsia"/>
          <w:lang w:val="lt-LT"/>
        </w:rPr>
        <w:footnoteReference w:id="15"/>
      </w:r>
      <w:r w:rsidRPr="00E0765A">
        <w:rPr>
          <w:lang w:val="lt-LT"/>
        </w:rPr>
        <w:t xml:space="preserve"> Taigi</w:t>
      </w:r>
      <w:r w:rsidR="00B6147C" w:rsidRPr="00E0765A">
        <w:rPr>
          <w:lang w:val="lt-LT"/>
        </w:rPr>
        <w:t>,</w:t>
      </w:r>
      <w:r w:rsidRPr="00E0765A">
        <w:rPr>
          <w:lang w:val="lt-LT"/>
        </w:rPr>
        <w:t xml:space="preserve"> nors pirmosios kartos operacijų metu išvystyti pamatiniai principai nesikeičia, tačiau neabejotinai juos taikyti tam</w:t>
      </w:r>
      <w:r w:rsidRPr="0006604A">
        <w:rPr>
          <w:lang w:val="lt-LT"/>
        </w:rPr>
        <w:t>pa daug sunkiau. Antrosios kartos operac</w:t>
      </w:r>
      <w:r w:rsidR="005D0B08" w:rsidRPr="0006604A">
        <w:rPr>
          <w:lang w:val="lt-LT"/>
        </w:rPr>
        <w:t>ijos yra plačiausiai naudojamos. Iš šiuo metu vykstančių šešiolikos taikos misijų operacijų, vienuolika priskiriame platesnio masto taikos misijoms. Daugelis iš jų vyksta Afrikos žemyne: Liberijoje, Centrinėje Afrikos Respublikoje ir Čade, Suda</w:t>
      </w:r>
      <w:r w:rsidR="0004628F">
        <w:rPr>
          <w:lang w:val="lt-LT"/>
        </w:rPr>
        <w:t>ne, Vakarų Sacharoje, Dramblio K</w:t>
      </w:r>
      <w:r w:rsidR="005D0B08" w:rsidRPr="0006604A">
        <w:rPr>
          <w:lang w:val="lt-LT"/>
        </w:rPr>
        <w:t xml:space="preserve">aulo krante, Demokratinėje Kongo Respublikoje, Darfūre. Taip </w:t>
      </w:r>
      <w:r w:rsidR="00B146BE" w:rsidRPr="0006604A">
        <w:rPr>
          <w:lang w:val="lt-LT"/>
        </w:rPr>
        <w:t xml:space="preserve">pat </w:t>
      </w:r>
      <w:r w:rsidR="005D0B08" w:rsidRPr="0006604A">
        <w:rPr>
          <w:lang w:val="lt-LT"/>
        </w:rPr>
        <w:t>ir kituose žemynuose:</w:t>
      </w:r>
      <w:r w:rsidR="001B63F2" w:rsidRPr="0006604A">
        <w:rPr>
          <w:lang w:val="lt-LT"/>
        </w:rPr>
        <w:t xml:space="preserve"> Haityje, Kosove, Lib</w:t>
      </w:r>
      <w:r w:rsidR="004C5AC3" w:rsidRPr="0006604A">
        <w:rPr>
          <w:lang w:val="lt-LT"/>
        </w:rPr>
        <w:t>ane</w:t>
      </w:r>
      <w:r w:rsidR="00043CC2">
        <w:rPr>
          <w:lang w:val="lt-LT"/>
        </w:rPr>
        <w:t>. (ž</w:t>
      </w:r>
      <w:r w:rsidR="001B63F2" w:rsidRPr="0006604A">
        <w:rPr>
          <w:lang w:val="lt-LT"/>
        </w:rPr>
        <w:t>r. Priedas I)</w:t>
      </w:r>
    </w:p>
    <w:p w:rsidR="00F234E7" w:rsidRPr="0006604A" w:rsidRDefault="001775A8" w:rsidP="00236507">
      <w:pPr>
        <w:spacing w:before="100" w:beforeAutospacing="1" w:after="100" w:afterAutospacing="1"/>
        <w:ind w:firstLine="851"/>
        <w:contextualSpacing/>
        <w:rPr>
          <w:lang w:val="lt-LT"/>
        </w:rPr>
      </w:pPr>
      <w:r w:rsidRPr="0006604A">
        <w:rPr>
          <w:lang w:val="lt-LT"/>
        </w:rPr>
        <w:t xml:space="preserve">Taip pat </w:t>
      </w:r>
      <w:r w:rsidR="002D58EE" w:rsidRPr="0006604A">
        <w:rPr>
          <w:lang w:val="lt-LT"/>
        </w:rPr>
        <w:t>išsivystė</w:t>
      </w:r>
      <w:r w:rsidRPr="0006604A">
        <w:rPr>
          <w:lang w:val="lt-LT"/>
        </w:rPr>
        <w:t xml:space="preserve"> </w:t>
      </w:r>
      <w:r w:rsidR="00F234E7" w:rsidRPr="0006604A">
        <w:rPr>
          <w:lang w:val="lt-LT"/>
        </w:rPr>
        <w:t>ir trečiosio</w:t>
      </w:r>
      <w:r w:rsidRPr="0006604A">
        <w:rPr>
          <w:lang w:val="lt-LT"/>
        </w:rPr>
        <w:t>s kartos taikos misijų operacijo</w:t>
      </w:r>
      <w:r w:rsidR="00F234E7" w:rsidRPr="0006604A">
        <w:rPr>
          <w:lang w:val="lt-LT"/>
        </w:rPr>
        <w:t>s, kurios lyginant su prieš tai minėtomis kartomis skiriasi iš esmės. Jos įkuriamos neegzistuojant taikai, kurią būtų galima išlaikyti, valstybėse vyrauja didelio masto žmogaus teisių pažeidimai. Pirmosios kartos operacijų metu sukurti esminiai principai nebetenka reikšmės: sutikimas yra n</w:t>
      </w:r>
      <w:r w:rsidR="00680BD4" w:rsidRPr="0006604A">
        <w:rPr>
          <w:lang w:val="lt-LT"/>
        </w:rPr>
        <w:t xml:space="preserve">eįmanomas, nes valdžia būna </w:t>
      </w:r>
      <w:r w:rsidR="00680BD4" w:rsidRPr="0006604A">
        <w:rPr>
          <w:lang w:val="lt-LT"/>
        </w:rPr>
        <w:lastRenderedPageBreak/>
        <w:t>suby</w:t>
      </w:r>
      <w:r w:rsidR="00F234E7" w:rsidRPr="0006604A">
        <w:rPr>
          <w:lang w:val="lt-LT"/>
        </w:rPr>
        <w:t xml:space="preserve">rėjusi, neutralumas ir jėgos panaudojimas tik savigynos atveju taip pat </w:t>
      </w:r>
      <w:r w:rsidR="0004628F">
        <w:rPr>
          <w:lang w:val="lt-LT"/>
        </w:rPr>
        <w:t>netenka prasmės, nes šiuo atveju</w:t>
      </w:r>
      <w:r w:rsidR="00F234E7" w:rsidRPr="0006604A">
        <w:rPr>
          <w:lang w:val="lt-LT"/>
        </w:rPr>
        <w:t xml:space="preserve"> misijos dalyviai aktyviai įsitraukę į karinio konflikto situaciją ir tampa kariaujančia šalimi, t.y</w:t>
      </w:r>
      <w:r w:rsidR="00F234E7" w:rsidRPr="00E0765A">
        <w:rPr>
          <w:lang w:val="lt-LT"/>
        </w:rPr>
        <w:t xml:space="preserve">. </w:t>
      </w:r>
      <w:r w:rsidR="007C54ED" w:rsidRPr="00E0765A">
        <w:rPr>
          <w:lang w:val="lt-LT"/>
        </w:rPr>
        <w:t xml:space="preserve">panaudojant jėgą </w:t>
      </w:r>
      <w:r w:rsidR="00F234E7" w:rsidRPr="00E0765A">
        <w:rPr>
          <w:lang w:val="lt-LT"/>
        </w:rPr>
        <w:t>vykdomas priverstinis t</w:t>
      </w:r>
      <w:r w:rsidR="007C54ED" w:rsidRPr="00E0765A">
        <w:rPr>
          <w:lang w:val="lt-LT"/>
        </w:rPr>
        <w:t>aikos vykdymas</w:t>
      </w:r>
      <w:r w:rsidR="00F234E7" w:rsidRPr="00E0765A">
        <w:rPr>
          <w:lang w:val="lt-LT"/>
        </w:rPr>
        <w:t>.</w:t>
      </w:r>
      <w:r w:rsidR="00F234E7" w:rsidRPr="0006604A">
        <w:rPr>
          <w:lang w:val="lt-LT"/>
        </w:rPr>
        <w:t xml:space="preserve"> Įgaliojimas naudoti jėgą paremtas kel</w:t>
      </w:r>
      <w:r w:rsidR="00640187">
        <w:rPr>
          <w:lang w:val="lt-LT"/>
        </w:rPr>
        <w:t xml:space="preserve">iomis priežastimis: pirmiausia </w:t>
      </w:r>
      <w:r w:rsidR="00F234E7" w:rsidRPr="0006604A">
        <w:rPr>
          <w:lang w:val="lt-LT"/>
        </w:rPr>
        <w:t>padidėja atakų skaičius prieš pačius misijos dalyvius; antra, esant realiai grėsmei, kad bus pažeista tarptautinė taika ir saugumas, taikos misijų dalyviai turi v</w:t>
      </w:r>
      <w:r w:rsidR="0004628F">
        <w:rPr>
          <w:lang w:val="lt-LT"/>
        </w:rPr>
        <w:t>ykdyti sudėtingus įgaliojimus,</w:t>
      </w:r>
      <w:r w:rsidR="00F234E7" w:rsidRPr="0006604A">
        <w:rPr>
          <w:lang w:val="lt-LT"/>
        </w:rPr>
        <w:t xml:space="preserve"> trečia, dėl pačios konflikto situacijos sudėtingumo.</w:t>
      </w:r>
      <w:r w:rsidR="00F234E7" w:rsidRPr="0006604A">
        <w:rPr>
          <w:rStyle w:val="FootnoteReference"/>
          <w:rFonts w:eastAsiaTheme="majorEastAsia"/>
          <w:lang w:val="lt-LT"/>
        </w:rPr>
        <w:footnoteReference w:id="16"/>
      </w:r>
    </w:p>
    <w:p w:rsidR="00F234E7" w:rsidRPr="0006604A" w:rsidRDefault="00F234E7" w:rsidP="00113D43">
      <w:pPr>
        <w:spacing w:before="100" w:beforeAutospacing="1" w:after="100" w:afterAutospacing="1"/>
        <w:ind w:firstLine="851"/>
        <w:contextualSpacing/>
        <w:rPr>
          <w:lang w:val="lt-LT"/>
        </w:rPr>
      </w:pPr>
      <w:r w:rsidRPr="0006604A">
        <w:rPr>
          <w:lang w:val="lt-LT"/>
        </w:rPr>
        <w:t>Prie auk</w:t>
      </w:r>
      <w:r w:rsidR="00246E58" w:rsidRPr="0006604A">
        <w:rPr>
          <w:lang w:val="lt-LT"/>
        </w:rPr>
        <w:t>ščiau minėtų misijų pateikiamas Jungtinių Tautų operacijos Somalyje pavyzdys.</w:t>
      </w:r>
    </w:p>
    <w:p w:rsidR="00F234E7" w:rsidRPr="0006604A" w:rsidRDefault="00F234E7" w:rsidP="00113D43">
      <w:pPr>
        <w:spacing w:before="100" w:beforeAutospacing="1" w:after="100" w:afterAutospacing="1"/>
        <w:ind w:firstLine="851"/>
        <w:contextualSpacing/>
        <w:rPr>
          <w:lang w:val="lt-LT"/>
        </w:rPr>
      </w:pPr>
      <w:r w:rsidRPr="00E0765A">
        <w:rPr>
          <w:lang w:val="lt-LT"/>
        </w:rPr>
        <w:t>Išsk</w:t>
      </w:r>
      <w:r w:rsidR="0004628F" w:rsidRPr="00E0765A">
        <w:rPr>
          <w:lang w:val="lt-LT"/>
        </w:rPr>
        <w:t>irdami taikos misijas į kartas</w:t>
      </w:r>
      <w:r w:rsidRPr="00E0765A">
        <w:rPr>
          <w:lang w:val="lt-LT"/>
        </w:rPr>
        <w:t xml:space="preserve"> atskleidėme, kaip keičiasi taikos misijų dalyvių funkcijos esant skirtingai konfliktinei situacijai. Ir</w:t>
      </w:r>
      <w:r w:rsidRPr="0006604A">
        <w:rPr>
          <w:lang w:val="lt-LT"/>
        </w:rPr>
        <w:t xml:space="preserve"> nors trijų kartų misijos išsivystė palaipsniui, tačiau svarbu pabrėžti, kad jos nepriskiriamos konkrečiam laikotarpiui ir vienu metu gali būti naudojamos kelių skirtingų kartų misijos. Kaip pavyzdį pateikiame iki šių dienų tebesitęsiančias pirmosios kart</w:t>
      </w:r>
      <w:r w:rsidR="0004628F">
        <w:rPr>
          <w:lang w:val="lt-LT"/>
        </w:rPr>
        <w:t>os taikos misijas Viduriniuose R</w:t>
      </w:r>
      <w:r w:rsidRPr="0006604A">
        <w:rPr>
          <w:lang w:val="lt-LT"/>
        </w:rPr>
        <w:t>ytuose ar Kipre, tuo pat metu turime didelį skaičių vykstančių antrosios kartos operacijų.</w:t>
      </w:r>
    </w:p>
    <w:p w:rsidR="00F234E7" w:rsidRPr="00E0765A" w:rsidRDefault="00F234E7" w:rsidP="00113D43">
      <w:pPr>
        <w:spacing w:before="100" w:beforeAutospacing="1" w:after="100" w:afterAutospacing="1"/>
        <w:ind w:firstLine="851"/>
        <w:contextualSpacing/>
        <w:rPr>
          <w:lang w:val="lt-LT"/>
        </w:rPr>
      </w:pPr>
      <w:r w:rsidRPr="0006604A">
        <w:rPr>
          <w:lang w:val="lt-LT"/>
        </w:rPr>
        <w:t xml:space="preserve">Taip pat paminėtina, kad misijos yra </w:t>
      </w:r>
      <w:r w:rsidR="0006604A" w:rsidRPr="0006604A">
        <w:rPr>
          <w:lang w:val="lt-LT"/>
        </w:rPr>
        <w:t>skirstomos</w:t>
      </w:r>
      <w:r w:rsidRPr="0006604A">
        <w:rPr>
          <w:lang w:val="lt-LT"/>
        </w:rPr>
        <w:t xml:space="preserve"> ne tik į jau aptartas kartas, tačiau išskiriamos ir taikos misijų rūšys. Nors literatūroje pateikiama nuo kelių iki keliolikos</w:t>
      </w:r>
      <w:r w:rsidR="0005055B">
        <w:rPr>
          <w:lang w:val="lt-LT"/>
        </w:rPr>
        <w:t xml:space="preserve"> taikos misijų rūšių, išskiria</w:t>
      </w:r>
      <w:r w:rsidRPr="0006604A">
        <w:rPr>
          <w:lang w:val="lt-LT"/>
        </w:rPr>
        <w:t>me keturias pagrindines rūšis: tradicines taikos misijas, prevencinę diplomatiją</w:t>
      </w:r>
      <w:r w:rsidRPr="0006604A">
        <w:rPr>
          <w:rStyle w:val="FootnoteReference"/>
          <w:rFonts w:eastAsiaTheme="majorEastAsia"/>
          <w:lang w:val="lt-LT"/>
        </w:rPr>
        <w:footnoteReference w:id="17"/>
      </w:r>
      <w:r w:rsidRPr="0006604A">
        <w:rPr>
          <w:lang w:val="lt-LT"/>
        </w:rPr>
        <w:t xml:space="preserve"> </w:t>
      </w:r>
      <w:r w:rsidRPr="0006604A">
        <w:rPr>
          <w:i/>
          <w:lang w:val="lt-LT"/>
        </w:rPr>
        <w:t>(</w:t>
      </w:r>
      <w:r w:rsidRPr="0006604A">
        <w:rPr>
          <w:lang w:val="lt-LT"/>
        </w:rPr>
        <w:t>angl.</w:t>
      </w:r>
      <w:r w:rsidRPr="006D5F99">
        <w:rPr>
          <w:i/>
          <w:lang w:val="lt-LT"/>
        </w:rPr>
        <w:t xml:space="preserve"> </w:t>
      </w:r>
      <w:r w:rsidRPr="00E0765A">
        <w:rPr>
          <w:i/>
          <w:lang w:val="lt-LT"/>
        </w:rPr>
        <w:t>preventive deployment)</w:t>
      </w:r>
      <w:r w:rsidRPr="00E0765A">
        <w:rPr>
          <w:lang w:val="lt-LT"/>
        </w:rPr>
        <w:t xml:space="preserve">, platesnio masto taikos misijas, priverstinį taikos vykdymą. </w:t>
      </w:r>
    </w:p>
    <w:p w:rsidR="00F234E7" w:rsidRPr="0006604A" w:rsidRDefault="00F234E7" w:rsidP="00236507">
      <w:pPr>
        <w:spacing w:before="100" w:beforeAutospacing="1" w:after="100" w:afterAutospacing="1"/>
        <w:ind w:firstLine="851"/>
        <w:contextualSpacing/>
        <w:rPr>
          <w:color w:val="0000FF"/>
          <w:lang w:val="lt-LT"/>
        </w:rPr>
      </w:pPr>
      <w:r w:rsidRPr="00E0765A">
        <w:rPr>
          <w:lang w:val="lt-LT"/>
        </w:rPr>
        <w:t>Atsiradusi ir išsivysčiusi praktikoje taikos misija</w:t>
      </w:r>
      <w:r w:rsidRPr="0006604A">
        <w:rPr>
          <w:lang w:val="lt-LT"/>
        </w:rPr>
        <w:t xml:space="preserve"> plėtojama Jungtinių Tautų Organizacijos dokumentuose ir apibūdinama kaip: „Jungtinių Tautų pajėgų įkurdinimas teritorijoje, turint visų susijusių šalių sutikimą ir susidedanti iš Jungtinių Tautų kariuomenės ir/ar policijos pajėgų bei civilių.“</w:t>
      </w:r>
      <w:r w:rsidRPr="0006604A">
        <w:rPr>
          <w:rStyle w:val="FootnoteReference"/>
          <w:rFonts w:eastAsiaTheme="majorEastAsia"/>
          <w:lang w:val="lt-LT"/>
        </w:rPr>
        <w:footnoteReference w:id="18"/>
      </w:r>
      <w:r w:rsidRPr="0006604A">
        <w:rPr>
          <w:lang w:val="lt-LT"/>
        </w:rPr>
        <w:t xml:space="preserve"> Kitas Jungtinių Tautų Generalinis Sekretorius taikos misiją apibrėžia kaip: „Jungtinių Tautų operaciją, įsteigtą turint visų šalių sutikimą, su tikslu kontroliuoti ir spręsti ginčus, naudojant valstybių narių lėšas bei turint kariuomenę ir kitą personalą, kurie veikia vadovaudamiesi nešališkumo principu ir naudodami jėgą tik būtinybės atveju“</w:t>
      </w:r>
      <w:r w:rsidRPr="0006604A">
        <w:rPr>
          <w:rStyle w:val="FootnoteReference"/>
          <w:rFonts w:eastAsiaTheme="majorEastAsia"/>
          <w:lang w:val="lt-LT"/>
        </w:rPr>
        <w:footnoteReference w:id="19"/>
      </w:r>
      <w:r w:rsidR="004C6397" w:rsidRPr="0006604A">
        <w:rPr>
          <w:lang w:val="lt-LT"/>
        </w:rPr>
        <w:t>. Matome, kad pirmųjų taikos</w:t>
      </w:r>
      <w:r w:rsidRPr="0006604A">
        <w:rPr>
          <w:lang w:val="lt-LT"/>
        </w:rPr>
        <w:t xml:space="preserve"> misijų metu išsivystę principai ir toliau išlieka taikos misijų esminiais elementais, nepaisant to, kad atsiranda sudėtinges</w:t>
      </w:r>
      <w:r w:rsidR="00B4451D" w:rsidRPr="0006604A">
        <w:rPr>
          <w:lang w:val="lt-LT"/>
        </w:rPr>
        <w:t>ni konfliktai</w:t>
      </w:r>
      <w:r w:rsidR="00E62CB3" w:rsidRPr="0006604A">
        <w:rPr>
          <w:lang w:val="lt-LT"/>
        </w:rPr>
        <w:t xml:space="preserve"> ir taikos misijų dalyvių įgaliojimai ženkliai padidėja.</w:t>
      </w:r>
    </w:p>
    <w:p w:rsidR="00F234E7" w:rsidRPr="0006604A" w:rsidRDefault="00F234E7" w:rsidP="00113D43">
      <w:pPr>
        <w:spacing w:before="100" w:beforeAutospacing="1" w:after="100" w:afterAutospacing="1"/>
        <w:ind w:firstLine="720"/>
        <w:contextualSpacing/>
        <w:rPr>
          <w:color w:val="0000FF"/>
          <w:lang w:val="lt-LT"/>
        </w:rPr>
      </w:pPr>
      <w:r w:rsidRPr="0006604A">
        <w:rPr>
          <w:color w:val="000000"/>
          <w:lang w:val="lt-LT"/>
        </w:rPr>
        <w:t xml:space="preserve">Apibendrinant galima teigti, kad taikos misijų praktikos pradžia siejama su  laikotarpiu, kai daugiausia vyravo tarpvalstybiniai konfliktai. Šis laikotarpis priskiriamas pirmosios kartos </w:t>
      </w:r>
      <w:r w:rsidRPr="0006604A">
        <w:rPr>
          <w:color w:val="000000"/>
          <w:lang w:val="lt-LT"/>
        </w:rPr>
        <w:lastRenderedPageBreak/>
        <w:t xml:space="preserve">operacijoms, kurių metu Jungtinių </w:t>
      </w:r>
      <w:r w:rsidRPr="00E0765A">
        <w:rPr>
          <w:lang w:val="lt-LT"/>
        </w:rPr>
        <w:t>Tautų taikos misijų dalyvių veiksmai buvo išimtinai kariniai. Jie atliko paliaubų stebėjimo funkcijas bei vykdė kontrolę įkurdami buferines zonas.</w:t>
      </w:r>
      <w:r w:rsidRPr="0006604A">
        <w:rPr>
          <w:color w:val="000000"/>
          <w:lang w:val="lt-LT"/>
        </w:rPr>
        <w:t xml:space="preserve"> Antrosios kartos taikos misijų operacijos vyksta civilinių karų niokojamose valstybėse, todėl taikos misijų dalyvių rolė tampa daug aktyvesnė – atsiranda daugiafunkcinės taikos misijų operacijos. Pirmosios kartos operacijų metu naudojamų karinių veiksmų jau nebepakanka, todėl greta karinių atsiranda policijos ir civilinės pajėgos. Tuo tarpu trečiosios kartos taikos misijų </w:t>
      </w:r>
      <w:r w:rsidR="0006604A" w:rsidRPr="0006604A">
        <w:rPr>
          <w:color w:val="000000"/>
          <w:lang w:val="lt-LT"/>
        </w:rPr>
        <w:t>operacijų</w:t>
      </w:r>
      <w:r w:rsidRPr="0006604A">
        <w:rPr>
          <w:color w:val="000000"/>
          <w:lang w:val="lt-LT"/>
        </w:rPr>
        <w:t xml:space="preserve"> esminis bruožas – </w:t>
      </w:r>
      <w:r w:rsidR="008D2047">
        <w:rPr>
          <w:color w:val="000000"/>
          <w:lang w:val="lt-LT"/>
        </w:rPr>
        <w:t>prievartos priemonių naudojimas</w:t>
      </w:r>
      <w:r w:rsidRPr="0006604A">
        <w:rPr>
          <w:color w:val="000000"/>
          <w:lang w:val="lt-LT"/>
        </w:rPr>
        <w:t xml:space="preserve"> esant didelio masto ir sunkumo konfliktinei situacijai valstybėje, kurioje neegzistuoja taika, yra smarkus vietinės valdžios pasipriešinimas. </w:t>
      </w:r>
    </w:p>
    <w:p w:rsidR="00F234E7" w:rsidRPr="0006604A" w:rsidRDefault="00F234E7" w:rsidP="00113D43">
      <w:pPr>
        <w:pStyle w:val="Heading2"/>
        <w:numPr>
          <w:ilvl w:val="1"/>
          <w:numId w:val="2"/>
        </w:numPr>
        <w:ind w:left="567" w:hanging="567"/>
        <w:rPr>
          <w:sz w:val="24"/>
          <w:szCs w:val="24"/>
          <w:lang w:val="lt-LT"/>
        </w:rPr>
      </w:pPr>
      <w:bookmarkStart w:id="6" w:name="_Toc280556713"/>
      <w:bookmarkStart w:id="7" w:name="_Toc280807831"/>
      <w:r w:rsidRPr="0006604A">
        <w:rPr>
          <w:sz w:val="24"/>
          <w:szCs w:val="24"/>
          <w:lang w:val="lt-LT"/>
        </w:rPr>
        <w:t>Jun</w:t>
      </w:r>
      <w:r w:rsidR="00F60ACD" w:rsidRPr="0006604A">
        <w:rPr>
          <w:sz w:val="24"/>
          <w:szCs w:val="24"/>
          <w:lang w:val="lt-LT"/>
        </w:rPr>
        <w:t>gtinių Tautų taikos misijų</w:t>
      </w:r>
      <w:r w:rsidRPr="0006604A">
        <w:rPr>
          <w:sz w:val="24"/>
          <w:szCs w:val="24"/>
          <w:lang w:val="lt-LT"/>
        </w:rPr>
        <w:t xml:space="preserve"> teisiniai pagrindai</w:t>
      </w:r>
      <w:bookmarkEnd w:id="6"/>
      <w:bookmarkEnd w:id="7"/>
    </w:p>
    <w:p w:rsidR="00A018DD" w:rsidRPr="0006604A" w:rsidRDefault="00A018DD" w:rsidP="00236507">
      <w:pPr>
        <w:spacing w:before="100" w:beforeAutospacing="1" w:after="100" w:afterAutospacing="1"/>
        <w:ind w:firstLine="851"/>
        <w:contextualSpacing/>
        <w:rPr>
          <w:color w:val="000000"/>
          <w:lang w:val="lt-LT"/>
        </w:rPr>
      </w:pPr>
      <w:r w:rsidRPr="0006604A">
        <w:rPr>
          <w:color w:val="000000"/>
          <w:lang w:val="lt-LT"/>
        </w:rPr>
        <w:t xml:space="preserve">Chartijoje </w:t>
      </w:r>
      <w:r w:rsidR="00F234E7" w:rsidRPr="0006604A">
        <w:rPr>
          <w:color w:val="000000"/>
          <w:lang w:val="lt-LT"/>
        </w:rPr>
        <w:t>nei „taikos misijos“, nei „taikos operacijos“ apibrėžimas nėra pateikiamas. Taigi</w:t>
      </w:r>
      <w:r w:rsidR="004B4C63">
        <w:rPr>
          <w:color w:val="000000"/>
          <w:lang w:val="lt-LT"/>
        </w:rPr>
        <w:t>,</w:t>
      </w:r>
      <w:r w:rsidR="00F234E7" w:rsidRPr="0006604A">
        <w:rPr>
          <w:color w:val="000000"/>
          <w:lang w:val="lt-LT"/>
        </w:rPr>
        <w:t xml:space="preserve"> valstybės nėra tiksliai nustačiusios konkretaus termino. Vietoj tikslaus apibrėžimo literatūroje randame taikos misijų karių ir civilių atliekamas užduotis.</w:t>
      </w:r>
      <w:r w:rsidR="00F234E7" w:rsidRPr="0006604A">
        <w:rPr>
          <w:rStyle w:val="FootnoteReference"/>
          <w:rFonts w:eastAsiaTheme="majorEastAsia"/>
          <w:color w:val="000000"/>
          <w:lang w:val="lt-LT"/>
        </w:rPr>
        <w:footnoteReference w:id="20"/>
      </w:r>
    </w:p>
    <w:p w:rsidR="00F234E7" w:rsidRPr="0006604A" w:rsidRDefault="00F234E7" w:rsidP="00236507">
      <w:pPr>
        <w:spacing w:before="100" w:beforeAutospacing="1" w:after="100" w:afterAutospacing="1"/>
        <w:ind w:firstLine="851"/>
        <w:contextualSpacing/>
        <w:rPr>
          <w:color w:val="0000FF"/>
          <w:lang w:val="lt-LT"/>
        </w:rPr>
      </w:pPr>
      <w:r w:rsidRPr="0006604A">
        <w:rPr>
          <w:color w:val="000000"/>
          <w:lang w:val="lt-LT"/>
        </w:rPr>
        <w:t xml:space="preserve"> Nesant aiškios nuostatos, kuri leistų sukurti taikos misijų pajėgas, galime teigti, kad taikos misija, kokia ji dabar yra, nebuvo numatyta Jungtinių Tautų Organizacijos kūrėjų. Visgi įdėmiau </w:t>
      </w:r>
      <w:r w:rsidR="004B4C63">
        <w:rPr>
          <w:color w:val="000000"/>
          <w:lang w:val="lt-LT"/>
        </w:rPr>
        <w:t>pažvelgus į Chartijos preambulę,</w:t>
      </w:r>
      <w:r w:rsidRPr="0006604A">
        <w:rPr>
          <w:color w:val="000000"/>
          <w:lang w:val="lt-LT"/>
        </w:rPr>
        <w:t xml:space="preserve"> matome, kad taikos palaikymas tarp valstybių iškeltas kaip vienas iš pagrindinių Jungtinių Tautų tikslų. Atitinkamai ir Chartijos pirmasis straipsnis į pirmąją vietą iškelia ir svarbiausiu tikslu laiko tarptautinės taikos ir saugumo palaikymą.</w:t>
      </w:r>
      <w:r w:rsidRPr="0006604A">
        <w:rPr>
          <w:rStyle w:val="FootnoteReference"/>
          <w:rFonts w:eastAsiaTheme="majorEastAsia"/>
          <w:color w:val="000000"/>
          <w:lang w:val="lt-LT"/>
        </w:rPr>
        <w:footnoteReference w:id="21"/>
      </w:r>
      <w:r w:rsidRPr="0006604A">
        <w:rPr>
          <w:color w:val="000000"/>
          <w:lang w:val="lt-LT"/>
        </w:rPr>
        <w:t xml:space="preserve"> Taigi</w:t>
      </w:r>
      <w:r w:rsidR="004B4C63">
        <w:rPr>
          <w:color w:val="000000"/>
          <w:lang w:val="lt-LT"/>
        </w:rPr>
        <w:t>,</w:t>
      </w:r>
      <w:r w:rsidRPr="0006604A">
        <w:rPr>
          <w:color w:val="000000"/>
          <w:lang w:val="lt-LT"/>
        </w:rPr>
        <w:t xml:space="preserve"> Jungtinių Tautų kompetencija, susijusi su tarptauti</w:t>
      </w:r>
      <w:r w:rsidR="00131FE2" w:rsidRPr="0006604A">
        <w:rPr>
          <w:color w:val="000000"/>
          <w:lang w:val="lt-LT"/>
        </w:rPr>
        <w:t xml:space="preserve">nės taikos ir saugumo palaikymu, </w:t>
      </w:r>
      <w:r w:rsidRPr="0006604A">
        <w:rPr>
          <w:color w:val="000000"/>
          <w:lang w:val="lt-LT"/>
        </w:rPr>
        <w:t>gali būti kildinama iš pagrindinio tikslo, numatyto Chartijoje, kitaip tariant</w:t>
      </w:r>
      <w:r w:rsidR="00131FE2" w:rsidRPr="0006604A">
        <w:rPr>
          <w:color w:val="000000"/>
          <w:lang w:val="lt-LT"/>
        </w:rPr>
        <w:t>,</w:t>
      </w:r>
      <w:r w:rsidRPr="0006604A">
        <w:rPr>
          <w:color w:val="000000"/>
          <w:lang w:val="lt-LT"/>
        </w:rPr>
        <w:t xml:space="preserve"> galima pritaikyti numanomų galių doktriną. Tą patvirtina ir Tarptautinis Teisingumo Teismas. Konsultacinėje išvadoje dėl žalos atlyginimo jis teigė: „nors Jungtinių Tautų Organizacijos galios neišreikštos tiesiogiai Chartijoje, tačiau jas organizacijai galima priskirti, nes jos būtinos vykdyti esmines Chartijoje numatytas pareigas“.</w:t>
      </w:r>
      <w:r w:rsidRPr="0006604A">
        <w:rPr>
          <w:rStyle w:val="FootnoteReference"/>
          <w:rFonts w:eastAsiaTheme="majorEastAsia"/>
          <w:color w:val="000000"/>
          <w:lang w:val="lt-LT"/>
        </w:rPr>
        <w:footnoteReference w:id="22"/>
      </w:r>
      <w:r w:rsidRPr="0006604A">
        <w:rPr>
          <w:color w:val="000000"/>
          <w:lang w:val="lt-LT"/>
        </w:rPr>
        <w:t xml:space="preserve"> Galios gali būti priskirtos tik tuomet, kai jos yra „esminės“ organizacijos tikslų įgyvendinimui.</w:t>
      </w:r>
      <w:r w:rsidRPr="0006604A">
        <w:rPr>
          <w:rStyle w:val="FootnoteReference"/>
          <w:rFonts w:eastAsiaTheme="majorEastAsia"/>
          <w:color w:val="000000"/>
          <w:lang w:val="lt-LT"/>
        </w:rPr>
        <w:footnoteReference w:id="23"/>
      </w:r>
      <w:r w:rsidRPr="0006604A">
        <w:rPr>
          <w:color w:val="000000"/>
          <w:lang w:val="lt-LT"/>
        </w:rPr>
        <w:t xml:space="preserve"> </w:t>
      </w:r>
    </w:p>
    <w:p w:rsidR="00F234E7" w:rsidRPr="0006604A" w:rsidRDefault="00F234E7" w:rsidP="00236507">
      <w:pPr>
        <w:spacing w:before="100" w:beforeAutospacing="1" w:after="100" w:afterAutospacing="1"/>
        <w:ind w:firstLine="851"/>
        <w:contextualSpacing/>
        <w:rPr>
          <w:lang w:val="lt-LT"/>
        </w:rPr>
      </w:pPr>
      <w:r w:rsidRPr="00BB751F">
        <w:rPr>
          <w:lang w:val="lt-LT"/>
        </w:rPr>
        <w:t>Detaliau išanal</w:t>
      </w:r>
      <w:r w:rsidR="00BB751F" w:rsidRPr="00BB751F">
        <w:rPr>
          <w:lang w:val="lt-LT"/>
        </w:rPr>
        <w:t xml:space="preserve">izavus Chartijos pirmąjį skyrių </w:t>
      </w:r>
      <w:r w:rsidRPr="00BB751F">
        <w:rPr>
          <w:lang w:val="lt-LT"/>
        </w:rPr>
        <w:t xml:space="preserve"> randame septynis principus, kurių </w:t>
      </w:r>
      <w:r w:rsidRPr="0006604A">
        <w:rPr>
          <w:lang w:val="lt-LT"/>
        </w:rPr>
        <w:t xml:space="preserve">laikantis Jungtinės Tautos siekia įgyvendinti savo nusistatytus tikslus, tarp kurių svarbiausias yra tarptautinės taikos ir saugumo palaikymas. Šie principai yra tapę paprotinės tarptautinės teisės dalimi ir </w:t>
      </w:r>
      <w:r w:rsidRPr="00BB751F">
        <w:rPr>
          <w:lang w:val="lt-LT"/>
        </w:rPr>
        <w:t>valstybės narės, norėdamos prisijungti prie Jungtinių Tautų Organizacijos, turi jų laikytis</w:t>
      </w:r>
      <w:r w:rsidRPr="0006604A">
        <w:rPr>
          <w:lang w:val="lt-LT"/>
        </w:rPr>
        <w:t>.</w:t>
      </w:r>
      <w:r w:rsidRPr="0006604A">
        <w:rPr>
          <w:rStyle w:val="FootnoteReference"/>
          <w:rFonts w:eastAsiaTheme="majorEastAsia"/>
          <w:lang w:val="lt-LT"/>
        </w:rPr>
        <w:footnoteReference w:id="24"/>
      </w:r>
      <w:r w:rsidRPr="0006604A">
        <w:rPr>
          <w:lang w:val="lt-LT"/>
        </w:rPr>
        <w:t xml:space="preserve"> Tarp šių </w:t>
      </w:r>
      <w:r w:rsidRPr="0006604A">
        <w:rPr>
          <w:lang w:val="lt-LT"/>
        </w:rPr>
        <w:lastRenderedPageBreak/>
        <w:t>principų minimas valstybių suverenios lygybės principas, nesikišimas į kitų valstybių vidaus reikalus, taikus ginčų sprendimas, Jungtinių Tautų susilaikymas nuo grasinimo jėga ir jos panaudojimo ir kt.</w:t>
      </w:r>
      <w:r w:rsidR="007C03E3" w:rsidRPr="0006604A">
        <w:rPr>
          <w:rStyle w:val="FootnoteReference"/>
          <w:lang w:val="lt-LT"/>
        </w:rPr>
        <w:footnoteReference w:id="25"/>
      </w:r>
      <w:r w:rsidRPr="0006604A">
        <w:rPr>
          <w:lang w:val="lt-LT"/>
        </w:rPr>
        <w:t xml:space="preserve"> Šie principai, sudarantys Jungtinių Tautų kolektyvinio saugumo sistemos normatyvinį pagrindą, detalizuo</w:t>
      </w:r>
      <w:r w:rsidR="004B4C63">
        <w:rPr>
          <w:lang w:val="lt-LT"/>
        </w:rPr>
        <w:t xml:space="preserve">jami tolesniuose </w:t>
      </w:r>
      <w:r w:rsidR="00D60200">
        <w:rPr>
          <w:lang w:val="lt-LT"/>
        </w:rPr>
        <w:t xml:space="preserve"> Chartijos skyriuose: VI ‒</w:t>
      </w:r>
      <w:r w:rsidRPr="0006604A">
        <w:rPr>
          <w:lang w:val="lt-LT"/>
        </w:rPr>
        <w:t xml:space="preserve"> taikus ginčų sprendimas, bei VII – </w:t>
      </w:r>
      <w:r w:rsidR="00131FE2" w:rsidRPr="0006604A">
        <w:rPr>
          <w:lang w:val="lt-LT"/>
        </w:rPr>
        <w:t>veiksmai, kai kyla grėsmė taikai, ji pažeidžiama ar įvykdomi agresijos aktai</w:t>
      </w:r>
      <w:r w:rsidRPr="0006604A">
        <w:rPr>
          <w:lang w:val="lt-LT"/>
        </w:rPr>
        <w:t>. Gali iškilti klausimas</w:t>
      </w:r>
      <w:r w:rsidRPr="00BB751F">
        <w:rPr>
          <w:lang w:val="lt-LT"/>
        </w:rPr>
        <w:t>, kokiu teis</w:t>
      </w:r>
      <w:r w:rsidR="00041FA6" w:rsidRPr="00BB751F">
        <w:rPr>
          <w:lang w:val="lt-LT"/>
        </w:rPr>
        <w:t>iniu pagrindu reikia vadovautis</w:t>
      </w:r>
      <w:r w:rsidRPr="00BB751F">
        <w:rPr>
          <w:lang w:val="lt-LT"/>
        </w:rPr>
        <w:t xml:space="preserve"> norint įsteigti taikos misiją</w:t>
      </w:r>
      <w:r w:rsidRPr="00376BD5">
        <w:rPr>
          <w:lang w:val="lt-LT"/>
        </w:rPr>
        <w:t>,</w:t>
      </w:r>
      <w:r w:rsidRPr="0006604A">
        <w:rPr>
          <w:lang w:val="lt-LT"/>
        </w:rPr>
        <w:t xml:space="preserve"> </w:t>
      </w:r>
      <w:r w:rsidR="00D60200">
        <w:rPr>
          <w:lang w:val="lt-LT"/>
        </w:rPr>
        <w:t>‒</w:t>
      </w:r>
      <w:r w:rsidR="003548F2">
        <w:rPr>
          <w:lang w:val="lt-LT"/>
        </w:rPr>
        <w:t xml:space="preserve"> Chartijos VI ar VII skyriumi. </w:t>
      </w:r>
      <w:r w:rsidRPr="0006604A">
        <w:rPr>
          <w:lang w:val="lt-LT"/>
        </w:rPr>
        <w:t>Atsakymo reikia ieškoti kiekvieno konkretaus atvejo analizėje: ypatingai svarbus konflikto sunkumo laipsnis, neramumų trukmė (kiek išsiplėtęs konfliktas, ar pakanka taikių priemonių, ar jau reikia imtis prievartos priemonių, minimų Chartijos VII skyriuje)</w:t>
      </w:r>
      <w:r w:rsidR="00131FE2" w:rsidRPr="0006604A">
        <w:rPr>
          <w:lang w:val="lt-LT"/>
        </w:rPr>
        <w:t>,</w:t>
      </w:r>
      <w:r w:rsidRPr="0006604A">
        <w:rPr>
          <w:lang w:val="lt-LT"/>
        </w:rPr>
        <w:t xml:space="preserve"> t.y. taikyti ekonomines, politines, diplomatines sankcijas ar jėgos panaudojimą prieš taikos pažeidėją. Du atskiri skyriai (VI ir VII) apima skirtingas ginčų sprendimo priemones ir, kaip bus atskleista tolesniuose skyriuose,  apima ne vieną taikos misijos rūšį. Chartijos VI ir VII</w:t>
      </w:r>
      <w:r w:rsidRPr="0006604A">
        <w:rPr>
          <w:color w:val="0000FF"/>
          <w:lang w:val="lt-LT"/>
        </w:rPr>
        <w:t xml:space="preserve"> </w:t>
      </w:r>
      <w:r w:rsidRPr="0006604A">
        <w:rPr>
          <w:lang w:val="lt-LT"/>
        </w:rPr>
        <w:t>skyrių  analizė bei jų taikymas padės lengviau suprasti, kokius veiksmus apima taikos misi</w:t>
      </w:r>
      <w:r w:rsidR="00131FE2" w:rsidRPr="0006604A">
        <w:rPr>
          <w:lang w:val="lt-LT"/>
        </w:rPr>
        <w:t>ja</w:t>
      </w:r>
      <w:r w:rsidR="000E2C59" w:rsidRPr="0006604A">
        <w:rPr>
          <w:lang w:val="lt-LT"/>
        </w:rPr>
        <w:t xml:space="preserve"> bei</w:t>
      </w:r>
      <w:r w:rsidRPr="0006604A">
        <w:rPr>
          <w:lang w:val="lt-LT"/>
        </w:rPr>
        <w:t xml:space="preserve"> kokie Jungtinių Tautų organai </w:t>
      </w:r>
      <w:r w:rsidR="00131FE2" w:rsidRPr="0006604A">
        <w:rPr>
          <w:lang w:val="lt-LT"/>
        </w:rPr>
        <w:t>dalyva</w:t>
      </w:r>
      <w:r w:rsidR="000E2C59" w:rsidRPr="0006604A">
        <w:rPr>
          <w:lang w:val="lt-LT"/>
        </w:rPr>
        <w:t>uja jos sukūrime.</w:t>
      </w:r>
    </w:p>
    <w:p w:rsidR="00F234E7" w:rsidRPr="0006604A" w:rsidRDefault="00F234E7" w:rsidP="00236507">
      <w:pPr>
        <w:spacing w:before="100" w:beforeAutospacing="1" w:after="100" w:afterAutospacing="1"/>
        <w:ind w:firstLine="851"/>
        <w:contextualSpacing/>
        <w:rPr>
          <w:lang w:val="lt-LT"/>
        </w:rPr>
      </w:pPr>
      <w:r w:rsidRPr="0006604A">
        <w:rPr>
          <w:lang w:val="lt-LT"/>
        </w:rPr>
        <w:t>Visų pirma</w:t>
      </w:r>
      <w:r w:rsidR="00BC7BDB">
        <w:rPr>
          <w:lang w:val="lt-LT"/>
        </w:rPr>
        <w:t>,</w:t>
      </w:r>
      <w:r w:rsidRPr="0006604A">
        <w:rPr>
          <w:lang w:val="lt-LT"/>
        </w:rPr>
        <w:t xml:space="preserve"> kiekviena misijos rūšis išskiriama pagal tai, kuris Chartijos skyrius, VI ar VII, yra jos teisinio veikimo pagrindas. </w:t>
      </w:r>
      <w:r w:rsidRPr="00BB751F">
        <w:rPr>
          <w:lang w:val="lt-LT"/>
        </w:rPr>
        <w:t>Kaip minėta anksčiau, koks Chartijos skyrius bus taikomas</w:t>
      </w:r>
      <w:r w:rsidR="00376BD5" w:rsidRPr="00BB751F">
        <w:rPr>
          <w:lang w:val="lt-LT"/>
        </w:rPr>
        <w:t>,</w:t>
      </w:r>
      <w:r w:rsidRPr="00BB751F">
        <w:rPr>
          <w:lang w:val="lt-LT"/>
        </w:rPr>
        <w:t xml:space="preserve"> priklauso nuo išsivysčiusios konflikto stadijos,</w:t>
      </w:r>
      <w:r w:rsidRPr="00442CCA">
        <w:rPr>
          <w:color w:val="FF0000"/>
          <w:lang w:val="lt-LT"/>
        </w:rPr>
        <w:t xml:space="preserve"> </w:t>
      </w:r>
      <w:r w:rsidRPr="0006604A">
        <w:rPr>
          <w:lang w:val="lt-LT"/>
        </w:rPr>
        <w:t>t.y. nuo grėsmės tarptautinei taikai ir saugumui dydžio. Priklausomai nuo konfliktinės situacijos skirsis ir Jungtinių Tautų organų suteiktų įgaliojimų</w:t>
      </w:r>
      <w:r w:rsidRPr="0006604A">
        <w:rPr>
          <w:rStyle w:val="FootnoteReference"/>
          <w:rFonts w:eastAsiaTheme="majorEastAsia"/>
          <w:lang w:val="lt-LT"/>
        </w:rPr>
        <w:footnoteReference w:id="26"/>
      </w:r>
      <w:r w:rsidRPr="0006604A">
        <w:rPr>
          <w:lang w:val="lt-LT"/>
        </w:rPr>
        <w:t xml:space="preserve"> apimtis. </w:t>
      </w:r>
    </w:p>
    <w:p w:rsidR="00041FA6" w:rsidRDefault="00041FA6" w:rsidP="00113D43">
      <w:pPr>
        <w:spacing w:before="100" w:beforeAutospacing="1" w:after="100" w:afterAutospacing="1"/>
        <w:ind w:firstLine="720"/>
        <w:contextualSpacing/>
        <w:jc w:val="right"/>
        <w:rPr>
          <w:lang w:val="lt-LT"/>
        </w:rPr>
      </w:pPr>
    </w:p>
    <w:p w:rsidR="00041FA6" w:rsidRDefault="00041FA6" w:rsidP="00113D43">
      <w:pPr>
        <w:spacing w:before="100" w:beforeAutospacing="1" w:after="100" w:afterAutospacing="1"/>
        <w:ind w:firstLine="720"/>
        <w:contextualSpacing/>
        <w:jc w:val="right"/>
        <w:rPr>
          <w:lang w:val="lt-LT"/>
        </w:rPr>
      </w:pPr>
    </w:p>
    <w:p w:rsidR="00041FA6" w:rsidRDefault="00041FA6" w:rsidP="00113D43">
      <w:pPr>
        <w:spacing w:before="100" w:beforeAutospacing="1" w:after="100" w:afterAutospacing="1"/>
        <w:ind w:firstLine="720"/>
        <w:contextualSpacing/>
        <w:jc w:val="right"/>
        <w:rPr>
          <w:lang w:val="lt-LT"/>
        </w:rPr>
      </w:pPr>
    </w:p>
    <w:p w:rsidR="00041FA6" w:rsidRDefault="00041FA6" w:rsidP="00113D43">
      <w:pPr>
        <w:spacing w:before="100" w:beforeAutospacing="1" w:after="100" w:afterAutospacing="1"/>
        <w:ind w:firstLine="720"/>
        <w:contextualSpacing/>
        <w:jc w:val="right"/>
        <w:rPr>
          <w:lang w:val="lt-LT"/>
        </w:rPr>
      </w:pPr>
    </w:p>
    <w:p w:rsidR="00664E3D" w:rsidRPr="0006604A" w:rsidRDefault="00664E3D" w:rsidP="00113D43">
      <w:pPr>
        <w:spacing w:before="100" w:beforeAutospacing="1" w:after="100" w:afterAutospacing="1"/>
        <w:ind w:firstLine="720"/>
        <w:contextualSpacing/>
        <w:jc w:val="right"/>
        <w:rPr>
          <w:lang w:val="lt-LT"/>
        </w:rPr>
      </w:pPr>
      <w:r w:rsidRPr="0006604A">
        <w:rPr>
          <w:lang w:val="lt-LT"/>
        </w:rPr>
        <w:lastRenderedPageBreak/>
        <w:t>Schema Nr. 1</w:t>
      </w:r>
    </w:p>
    <w:p w:rsidR="00664E3D" w:rsidRPr="0006604A" w:rsidRDefault="00664E3D" w:rsidP="00113D43">
      <w:pPr>
        <w:spacing w:before="100" w:beforeAutospacing="1" w:after="100" w:afterAutospacing="1"/>
        <w:ind w:firstLine="720"/>
        <w:contextualSpacing/>
        <w:jc w:val="right"/>
        <w:rPr>
          <w:lang w:val="lt-LT"/>
        </w:rPr>
      </w:pPr>
      <w:r w:rsidRPr="0006604A">
        <w:rPr>
          <w:lang w:val="lt-LT"/>
        </w:rPr>
        <w:t>Taikos misijų rūšys Jungtinių Tautų Chartijoje</w:t>
      </w:r>
    </w:p>
    <w:p w:rsidR="00664E3D" w:rsidRPr="0006604A" w:rsidRDefault="00664E3D" w:rsidP="00113D43">
      <w:pPr>
        <w:spacing w:before="100" w:beforeAutospacing="1" w:after="100" w:afterAutospacing="1"/>
        <w:ind w:firstLine="720"/>
        <w:contextualSpacing/>
        <w:rPr>
          <w:lang w:val="lt-LT"/>
        </w:rPr>
      </w:pPr>
    </w:p>
    <w:p w:rsidR="00F234E7" w:rsidRPr="0006604A" w:rsidRDefault="00F234E7" w:rsidP="00113D43">
      <w:pPr>
        <w:spacing w:before="100" w:beforeAutospacing="1" w:after="100" w:afterAutospacing="1"/>
        <w:ind w:firstLine="720"/>
        <w:contextualSpacing/>
        <w:jc w:val="center"/>
        <w:rPr>
          <w:lang w:val="lt-LT"/>
        </w:rPr>
      </w:pPr>
      <w:r w:rsidRPr="0006604A">
        <w:rPr>
          <w:noProof/>
          <w:lang w:val="lt-LT" w:eastAsia="lt-LT"/>
        </w:rPr>
        <w:drawing>
          <wp:inline distT="0" distB="0" distL="0" distR="0">
            <wp:extent cx="4097857" cy="1754802"/>
            <wp:effectExtent l="57150" t="0" r="55043" b="35898"/>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F234E7" w:rsidRPr="0006604A" w:rsidRDefault="00F234E7" w:rsidP="00113D43">
      <w:pPr>
        <w:spacing w:before="100" w:beforeAutospacing="1" w:after="100" w:afterAutospacing="1"/>
        <w:ind w:firstLine="720"/>
        <w:contextualSpacing/>
        <w:rPr>
          <w:lang w:val="lt-LT"/>
        </w:rPr>
      </w:pPr>
    </w:p>
    <w:p w:rsidR="00F234E7" w:rsidRPr="0006604A" w:rsidRDefault="00F234E7" w:rsidP="00236507">
      <w:pPr>
        <w:spacing w:before="100" w:beforeAutospacing="1" w:after="100" w:afterAutospacing="1"/>
        <w:ind w:firstLine="851"/>
        <w:contextualSpacing/>
        <w:rPr>
          <w:lang w:val="lt-LT"/>
        </w:rPr>
      </w:pPr>
      <w:r w:rsidRPr="0006604A">
        <w:rPr>
          <w:lang w:val="lt-LT"/>
        </w:rPr>
        <w:t xml:space="preserve"> Pažymėtina, kad pirmųjų, t.y. tradicinių taikos misijų, teisinis veikimo pagrindas buvo gana prieštaringas. Šiame kontekste minime pirmąją tradicinę taikos misijų operaciją Egipte. Jos teisinis veikimo pagrindas buvo apibūdinamas kaip esantis tarp Chartijos VI ir VII skyriaus.</w:t>
      </w:r>
      <w:r w:rsidRPr="0006604A">
        <w:rPr>
          <w:vertAlign w:val="superscript"/>
          <w:lang w:val="lt-LT"/>
        </w:rPr>
        <w:footnoteReference w:id="27"/>
      </w:r>
      <w:r w:rsidRPr="0006604A">
        <w:rPr>
          <w:lang w:val="lt-LT"/>
        </w:rPr>
        <w:t xml:space="preserve"> </w:t>
      </w:r>
      <w:r w:rsidRPr="00BB751F">
        <w:rPr>
          <w:lang w:val="lt-LT"/>
        </w:rPr>
        <w:t>Vadinasi</w:t>
      </w:r>
      <w:r w:rsidR="00E0765A" w:rsidRPr="00BB751F">
        <w:rPr>
          <w:lang w:val="lt-LT"/>
        </w:rPr>
        <w:t>,</w:t>
      </w:r>
      <w:r w:rsidRPr="00BB751F">
        <w:rPr>
          <w:lang w:val="lt-LT"/>
        </w:rPr>
        <w:t xml:space="preserve"> taikos misija, vykusi Egipte, nebuvo</w:t>
      </w:r>
      <w:r w:rsidRPr="0006604A">
        <w:rPr>
          <w:lang w:val="lt-LT"/>
        </w:rPr>
        <w:t xml:space="preserve"> visa apimtimi priskirta taikiajam ginčų sprendimui bei taip pat nepakliuvo ir į kito Chartijos skyriaus reguliavimą, kuris taikomas, kai kyla grėsmė taikai, ji pažeidžiama ar įvykdomi agresijos aktai. Dėl šios priežasties neišvengiamai kilo daug nesutarimų. </w:t>
      </w:r>
      <w:r w:rsidR="00E0765A">
        <w:rPr>
          <w:lang w:val="lt-LT"/>
        </w:rPr>
        <w:t xml:space="preserve"> </w:t>
      </w:r>
      <w:r w:rsidRPr="0006604A">
        <w:rPr>
          <w:lang w:val="lt-LT"/>
        </w:rPr>
        <w:t>Buvęs Jungtinių Tautų Generalinis Sekretorius Dag Hammarskjold ginčus, kilusius dėl pirmosios taikos misijos teisinio pagrindimo, sušvelnino teigdamas</w:t>
      </w:r>
      <w:r w:rsidRPr="00CA075F">
        <w:rPr>
          <w:lang w:val="lt-LT"/>
        </w:rPr>
        <w:t>, jog ji buvo įkurdinta remiantis Chartijos VI su puse skyriumi</w:t>
      </w:r>
      <w:r w:rsidRPr="00E0765A">
        <w:rPr>
          <w:color w:val="FF0000"/>
          <w:lang w:val="lt-LT"/>
        </w:rPr>
        <w:t xml:space="preserve"> </w:t>
      </w:r>
      <w:r w:rsidRPr="0006604A">
        <w:rPr>
          <w:lang w:val="lt-LT"/>
        </w:rPr>
        <w:t>(angl.</w:t>
      </w:r>
      <w:r w:rsidRPr="006D5F99">
        <w:rPr>
          <w:lang w:val="lt-LT"/>
        </w:rPr>
        <w:t xml:space="preserve"> </w:t>
      </w:r>
      <w:r w:rsidRPr="00F9068C">
        <w:rPr>
          <w:lang w:val="en-AU"/>
        </w:rPr>
        <w:t>Chapter Six and</w:t>
      </w:r>
      <w:r w:rsidRPr="0006604A">
        <w:rPr>
          <w:lang w:val="lt-LT"/>
        </w:rPr>
        <w:t xml:space="preserve"> a</w:t>
      </w:r>
      <w:r w:rsidRPr="00F9068C">
        <w:rPr>
          <w:lang w:val="en-AU"/>
        </w:rPr>
        <w:t xml:space="preserve"> Half</w:t>
      </w:r>
      <w:r w:rsidRPr="0006604A">
        <w:rPr>
          <w:lang w:val="lt-LT"/>
        </w:rPr>
        <w:t xml:space="preserve">). </w:t>
      </w:r>
    </w:p>
    <w:p w:rsidR="00F234E7" w:rsidRPr="0006604A" w:rsidRDefault="00F234E7" w:rsidP="00236507">
      <w:pPr>
        <w:spacing w:before="100" w:beforeAutospacing="1" w:after="100" w:afterAutospacing="1"/>
        <w:ind w:firstLine="851"/>
        <w:contextualSpacing/>
        <w:rPr>
          <w:lang w:val="lt-LT"/>
        </w:rPr>
      </w:pPr>
      <w:r w:rsidRPr="0006604A">
        <w:rPr>
          <w:lang w:val="lt-LT"/>
        </w:rPr>
        <w:t xml:space="preserve">Šis išsireiškimas pabrėžia to meto </w:t>
      </w:r>
      <w:r w:rsidRPr="0006604A">
        <w:rPr>
          <w:i/>
          <w:lang w:val="lt-LT"/>
        </w:rPr>
        <w:t>ad hoc</w:t>
      </w:r>
      <w:r w:rsidRPr="0006604A">
        <w:rPr>
          <w:lang w:val="lt-LT"/>
        </w:rPr>
        <w:t xml:space="preserve"> taikos misijų esmę. Jos buvo galingesnės nei VI skyriuje minimos tradicinės diplomatinės priemonės ir iš esmės skyrėsi nuo priverstinių priemonių</w:t>
      </w:r>
      <w:r w:rsidR="00F257F9" w:rsidRPr="0006604A">
        <w:rPr>
          <w:lang w:val="lt-LT"/>
        </w:rPr>
        <w:t>,</w:t>
      </w:r>
      <w:r w:rsidRPr="0006604A">
        <w:rPr>
          <w:lang w:val="lt-LT"/>
        </w:rPr>
        <w:t xml:space="preserve"> minimų Chartijos VII skyriuje</w:t>
      </w:r>
      <w:r w:rsidRPr="00BB751F">
        <w:rPr>
          <w:lang w:val="lt-LT"/>
        </w:rPr>
        <w:t>. Taigi</w:t>
      </w:r>
      <w:r w:rsidR="00E0765A" w:rsidRPr="00BB751F">
        <w:rPr>
          <w:lang w:val="lt-LT"/>
        </w:rPr>
        <w:t>,</w:t>
      </w:r>
      <w:r w:rsidR="00442CCA" w:rsidRPr="00BB751F">
        <w:rPr>
          <w:lang w:val="lt-LT"/>
        </w:rPr>
        <w:t xml:space="preserve"> taikos misija,</w:t>
      </w:r>
      <w:r w:rsidRPr="00BB751F">
        <w:rPr>
          <w:lang w:val="lt-LT"/>
        </w:rPr>
        <w:t xml:space="preserve"> vykusi Egipte</w:t>
      </w:r>
      <w:r w:rsidR="00442CCA" w:rsidRPr="00BB751F">
        <w:rPr>
          <w:lang w:val="lt-LT"/>
        </w:rPr>
        <w:t xml:space="preserve">, </w:t>
      </w:r>
      <w:r w:rsidRPr="00BB751F">
        <w:rPr>
          <w:lang w:val="lt-LT"/>
        </w:rPr>
        <w:t>buvo sumodeliuota pagal buvusią konflikto  s</w:t>
      </w:r>
      <w:r w:rsidR="00FF4046" w:rsidRPr="00BB751F">
        <w:rPr>
          <w:lang w:val="lt-LT"/>
        </w:rPr>
        <w:t>ituaciją tiek iš politinės</w:t>
      </w:r>
      <w:r w:rsidRPr="00BB751F">
        <w:rPr>
          <w:lang w:val="lt-LT"/>
        </w:rPr>
        <w:t>, tiek iš karinės</w:t>
      </w:r>
      <w:r w:rsidR="00FF4046" w:rsidRPr="00BB751F">
        <w:rPr>
          <w:lang w:val="lt-LT"/>
        </w:rPr>
        <w:t xml:space="preserve"> pusės</w:t>
      </w:r>
      <w:r w:rsidRPr="00BB751F">
        <w:rPr>
          <w:lang w:val="lt-LT"/>
        </w:rPr>
        <w:t xml:space="preserve">. </w:t>
      </w:r>
      <w:r w:rsidRPr="0006604A">
        <w:rPr>
          <w:lang w:val="lt-LT"/>
        </w:rPr>
        <w:t xml:space="preserve"> Ji buvo kompromisinė priemonė padėti spręsti reguliuoti tam laikotarpiui būdingus konfliktus. Jau aptartos operacijos Egipte funkcijos leidžia aiškiau suvokti, kodėl pirmoji tradicinė taikos misija nevisiškai atitinka Chartijoje minimą režimą: lengvai ginkluotų karinių dalinių stebėjimo ir kontrolės funkcijos neatitinka priverstinių priemonių</w:t>
      </w:r>
      <w:r w:rsidR="00E0765A">
        <w:rPr>
          <w:lang w:val="lt-LT"/>
        </w:rPr>
        <w:t>,</w:t>
      </w:r>
      <w:r w:rsidRPr="0006604A">
        <w:rPr>
          <w:lang w:val="lt-LT"/>
        </w:rPr>
        <w:t xml:space="preserve"> minimų Chartijos VII skyriuje. Taip pat šios funkcijos neatitinka ir prevencinės diplomatijos pagal Chartijos VI skyrių, nes</w:t>
      </w:r>
      <w:r w:rsidR="00863BB6" w:rsidRPr="0006604A">
        <w:rPr>
          <w:lang w:val="lt-LT"/>
        </w:rPr>
        <w:t xml:space="preserve"> tradicinių taikos misijų metu </w:t>
      </w:r>
      <w:r w:rsidRPr="0006604A">
        <w:rPr>
          <w:lang w:val="lt-LT"/>
        </w:rPr>
        <w:t>taikos misijos dalyviai atlieka išskirtinai karines, o ne diplomatines funkcijas.</w:t>
      </w:r>
    </w:p>
    <w:p w:rsidR="00A14C12" w:rsidRPr="0006604A" w:rsidRDefault="00B925B0" w:rsidP="00236507">
      <w:pPr>
        <w:spacing w:before="100" w:beforeAutospacing="1" w:after="100" w:afterAutospacing="1"/>
        <w:ind w:firstLine="851"/>
        <w:contextualSpacing/>
        <w:rPr>
          <w:lang w:val="lt-LT"/>
        </w:rPr>
      </w:pPr>
      <w:r w:rsidRPr="0006604A">
        <w:rPr>
          <w:color w:val="000000"/>
          <w:lang w:val="lt-LT"/>
        </w:rPr>
        <w:lastRenderedPageBreak/>
        <w:t>Tarptautinis</w:t>
      </w:r>
      <w:r w:rsidR="005807D7">
        <w:rPr>
          <w:color w:val="000000"/>
          <w:lang w:val="lt-LT"/>
        </w:rPr>
        <w:t xml:space="preserve"> Teisingumo Teismas i</w:t>
      </w:r>
      <w:r w:rsidR="00F234E7" w:rsidRPr="0006604A">
        <w:rPr>
          <w:color w:val="000000"/>
          <w:lang w:val="lt-LT"/>
        </w:rPr>
        <w:t>šlaidų (angl.</w:t>
      </w:r>
      <w:r w:rsidR="00F234E7" w:rsidRPr="0006604A">
        <w:rPr>
          <w:color w:val="000000"/>
          <w:lang w:val="en-AU"/>
        </w:rPr>
        <w:t xml:space="preserve"> Certain Expenses</w:t>
      </w:r>
      <w:r w:rsidR="00F234E7" w:rsidRPr="0006604A">
        <w:rPr>
          <w:color w:val="000000"/>
          <w:lang w:val="lt-LT"/>
        </w:rPr>
        <w:t xml:space="preserve">) konsultacinėje </w:t>
      </w:r>
      <w:r w:rsidR="0006604A" w:rsidRPr="0006604A">
        <w:rPr>
          <w:color w:val="000000"/>
          <w:lang w:val="lt-LT"/>
        </w:rPr>
        <w:t>išvadoje pasisakė</w:t>
      </w:r>
      <w:r w:rsidR="00F234E7" w:rsidRPr="0006604A">
        <w:rPr>
          <w:color w:val="000000"/>
          <w:lang w:val="lt-LT"/>
        </w:rPr>
        <w:t xml:space="preserve">: “kai </w:t>
      </w:r>
      <w:r w:rsidR="00F234E7" w:rsidRPr="0006604A">
        <w:rPr>
          <w:lang w:val="lt-LT"/>
        </w:rPr>
        <w:t xml:space="preserve">Jungtinių Tautų Organizacija imasi veiksmo, kuris </w:t>
      </w:r>
      <w:r w:rsidR="00C74451">
        <w:rPr>
          <w:lang w:val="lt-LT"/>
        </w:rPr>
        <w:t xml:space="preserve">atitinka </w:t>
      </w:r>
      <w:r w:rsidR="00F234E7" w:rsidRPr="0006604A">
        <w:rPr>
          <w:lang w:val="lt-LT"/>
        </w:rPr>
        <w:t xml:space="preserve">Chartijoje minimų tikslų įgyvendinimą, preziumuojama, kad šis veiksmas nėra </w:t>
      </w:r>
      <w:r w:rsidR="00F234E7" w:rsidRPr="0006604A">
        <w:rPr>
          <w:i/>
          <w:lang w:val="lt-LT"/>
        </w:rPr>
        <w:t xml:space="preserve">ultra vires </w:t>
      </w:r>
      <w:r w:rsidR="00F234E7" w:rsidRPr="0006604A">
        <w:rPr>
          <w:lang w:val="lt-LT"/>
        </w:rPr>
        <w:t>organizacijos ribų.”</w:t>
      </w:r>
      <w:r w:rsidR="00F234E7" w:rsidRPr="0006604A">
        <w:rPr>
          <w:rStyle w:val="FootnoteReference"/>
          <w:rFonts w:eastAsiaTheme="majorEastAsia"/>
          <w:lang w:val="lt-LT"/>
        </w:rPr>
        <w:footnoteReference w:id="28"/>
      </w:r>
      <w:r w:rsidR="00F234E7" w:rsidRPr="0006604A">
        <w:rPr>
          <w:lang w:val="lt-LT"/>
        </w:rPr>
        <w:t xml:space="preserve"> Vadinasi</w:t>
      </w:r>
      <w:r w:rsidR="00C74451">
        <w:rPr>
          <w:lang w:val="lt-LT"/>
        </w:rPr>
        <w:t>,</w:t>
      </w:r>
      <w:r w:rsidR="00F234E7" w:rsidRPr="0006604A">
        <w:rPr>
          <w:lang w:val="lt-LT"/>
        </w:rPr>
        <w:t xml:space="preserve"> kompetencija sukurti teisėtas taikos misijas negali išeiti iš organizacijos ribų, be to</w:t>
      </w:r>
      <w:r w:rsidR="00C74451">
        <w:rPr>
          <w:lang w:val="lt-LT"/>
        </w:rPr>
        <w:t>,</w:t>
      </w:r>
      <w:r w:rsidR="00F234E7" w:rsidRPr="0006604A">
        <w:rPr>
          <w:lang w:val="lt-LT"/>
        </w:rPr>
        <w:t xml:space="preserve"> turi atitikti nusistatytus tikslus, kurie ir atskleidžia jos veiklos pobūdį. </w:t>
      </w:r>
    </w:p>
    <w:p w:rsidR="00F234E7" w:rsidRPr="0006604A" w:rsidRDefault="00F234E7" w:rsidP="00236507">
      <w:pPr>
        <w:spacing w:before="100" w:beforeAutospacing="1" w:after="100" w:afterAutospacing="1"/>
        <w:ind w:firstLine="851"/>
        <w:contextualSpacing/>
        <w:rPr>
          <w:color w:val="0000FF"/>
          <w:lang w:val="lt-LT"/>
        </w:rPr>
      </w:pPr>
      <w:r w:rsidRPr="0006604A">
        <w:rPr>
          <w:lang w:val="lt-LT"/>
        </w:rPr>
        <w:t>Ši Tarptautinio Teisingumo Teismo nu</w:t>
      </w:r>
      <w:r w:rsidR="00A14C12" w:rsidRPr="0006604A">
        <w:rPr>
          <w:lang w:val="lt-LT"/>
        </w:rPr>
        <w:t>omonė patvirtina Jungtinių Tautų</w:t>
      </w:r>
      <w:r w:rsidRPr="0006604A">
        <w:rPr>
          <w:lang w:val="lt-LT"/>
        </w:rPr>
        <w:t xml:space="preserve"> operacijos</w:t>
      </w:r>
      <w:r w:rsidR="00A14C12" w:rsidRPr="0006604A">
        <w:rPr>
          <w:lang w:val="lt-LT"/>
        </w:rPr>
        <w:t xml:space="preserve"> Egipte teisėtą pagrindą. Pirmo</w:t>
      </w:r>
      <w:r w:rsidRPr="0006604A">
        <w:rPr>
          <w:lang w:val="lt-LT"/>
        </w:rPr>
        <w:t xml:space="preserve">ji taikos misija Egipte sukurta vadovaujantis vienu iš svarbiausių Chartijoje minimų tikslų – tarptautinės taikos ir saugumo palaikymu, kurio vykdymas priskiriamas Jungtinių Tautų organizacijos kompetencijai. Todėl nors misija neatitiko konkretaus Chartijoje minimo teisinio režimo, ji buvo teisėta, nes buvo </w:t>
      </w:r>
      <w:r w:rsidR="00C404A0" w:rsidRPr="0006604A">
        <w:rPr>
          <w:lang w:val="lt-LT"/>
        </w:rPr>
        <w:t xml:space="preserve">įsteigta neišeinant iš </w:t>
      </w:r>
      <w:r w:rsidRPr="0006604A">
        <w:rPr>
          <w:lang w:val="lt-LT"/>
        </w:rPr>
        <w:t>Jung</w:t>
      </w:r>
      <w:r w:rsidR="00C404A0" w:rsidRPr="0006604A">
        <w:rPr>
          <w:lang w:val="lt-LT"/>
        </w:rPr>
        <w:t>tinių Tautų kompetencijos ribų</w:t>
      </w:r>
      <w:r w:rsidRPr="0006604A">
        <w:rPr>
          <w:lang w:val="lt-LT"/>
        </w:rPr>
        <w:t>.</w:t>
      </w:r>
    </w:p>
    <w:p w:rsidR="00F234E7" w:rsidRPr="0006604A" w:rsidRDefault="00F234E7" w:rsidP="00236507">
      <w:pPr>
        <w:spacing w:before="100" w:beforeAutospacing="1" w:after="100" w:afterAutospacing="1"/>
        <w:ind w:firstLine="851"/>
        <w:contextualSpacing/>
        <w:rPr>
          <w:lang w:val="lt-LT"/>
        </w:rPr>
      </w:pPr>
      <w:r w:rsidRPr="0006604A">
        <w:rPr>
          <w:lang w:val="lt-LT"/>
        </w:rPr>
        <w:t>VI Chartijos skyrius apima taikų ginčų sprendimą, kuriam priskiriame antrąją taikos misijų rūšį – prevencinę diplomatiją.</w:t>
      </w:r>
      <w:r w:rsidRPr="0006604A">
        <w:rPr>
          <w:color w:val="0000FF"/>
          <w:lang w:val="lt-LT"/>
        </w:rPr>
        <w:t xml:space="preserve"> </w:t>
      </w:r>
      <w:r w:rsidRPr="00442CCA">
        <w:rPr>
          <w:lang w:val="lt-LT"/>
        </w:rPr>
        <w:t>Prevencinę diplomatiją, kaip vieną iš taiko</w:t>
      </w:r>
      <w:r w:rsidR="00B23D87" w:rsidRPr="00442CCA">
        <w:rPr>
          <w:lang w:val="lt-LT"/>
        </w:rPr>
        <w:t>s misijų rūšių, reikia suprasti</w:t>
      </w:r>
      <w:r w:rsidR="002E4B25" w:rsidRPr="00442CCA">
        <w:rPr>
          <w:lang w:val="lt-LT"/>
        </w:rPr>
        <w:t>,</w:t>
      </w:r>
      <w:r w:rsidRPr="00442CCA">
        <w:rPr>
          <w:lang w:val="lt-LT"/>
        </w:rPr>
        <w:t xml:space="preserve"> </w:t>
      </w:r>
      <w:r w:rsidRPr="00BB751F">
        <w:rPr>
          <w:lang w:val="lt-LT"/>
        </w:rPr>
        <w:t>kaip specialių priemonių panaudojimą siekiant užkirsti kelią konfliktams dar jiems neįsiplieskus.</w:t>
      </w:r>
      <w:r w:rsidRPr="0006604A">
        <w:rPr>
          <w:lang w:val="lt-LT"/>
        </w:rPr>
        <w:t xml:space="preserve"> Ši misijos rūšis naudojama, kai yra kilęs ginčas ir jam užsitęsus gali iškilti grėsmė tarptautinei taikai ir saugumui. Kadangi grėsmė dar yra neperžengusi realumo ribos, naudojamos taikios ginčo sprendimo priemonės – derybos, tyrimai, tarpininkavimas, sutaikinimas, arbitražas </w:t>
      </w:r>
      <w:r w:rsidR="00D35FA0">
        <w:rPr>
          <w:lang w:val="lt-LT"/>
        </w:rPr>
        <w:t xml:space="preserve">ir kt. Šių priemonių naudojimas </w:t>
      </w:r>
      <w:r w:rsidRPr="0006604A">
        <w:rPr>
          <w:lang w:val="lt-LT"/>
        </w:rPr>
        <w:t xml:space="preserve">nukreiptas užkirsti kelią konflikto išsiplėtimui, kuris galėtų sukelti grėsmę tarptautinei taikai ir saugumui. </w:t>
      </w:r>
    </w:p>
    <w:p w:rsidR="00F234E7" w:rsidRPr="0006604A" w:rsidRDefault="00F234E7" w:rsidP="00236507">
      <w:pPr>
        <w:spacing w:before="100" w:beforeAutospacing="1" w:after="100" w:afterAutospacing="1"/>
        <w:ind w:firstLine="851"/>
        <w:contextualSpacing/>
        <w:rPr>
          <w:lang w:val="lt-LT"/>
        </w:rPr>
      </w:pPr>
      <w:r w:rsidRPr="0006604A">
        <w:rPr>
          <w:lang w:val="lt-LT"/>
        </w:rPr>
        <w:t>Svarbu paminėti, ka</w:t>
      </w:r>
      <w:r w:rsidR="00675D73" w:rsidRPr="0006604A">
        <w:rPr>
          <w:lang w:val="lt-LT"/>
        </w:rPr>
        <w:t>d pareiga spręsti ginčus taikiu</w:t>
      </w:r>
      <w:r w:rsidRPr="0006604A">
        <w:rPr>
          <w:lang w:val="lt-LT"/>
        </w:rPr>
        <w:t xml:space="preserve"> būdu pirmiausia tenka valstybėms: „šalys bet kurį ginčą, kuriam užtrukus gali kilti grėsmė tarptautinei taikai ir saugumui, pirmiausia turi stengtis išspręsti derybomis, tyrimu, tarpininkavimu [...] kitomis jų nuožiūra pasirinktomis taikiomis priemonėmis.“</w:t>
      </w:r>
      <w:r w:rsidRPr="0006604A">
        <w:rPr>
          <w:rStyle w:val="FootnoteReference"/>
          <w:rFonts w:eastAsiaTheme="majorEastAsia"/>
          <w:lang w:val="lt-LT"/>
        </w:rPr>
        <w:footnoteReference w:id="29"/>
      </w:r>
      <w:r w:rsidRPr="0006604A">
        <w:rPr>
          <w:lang w:val="lt-LT"/>
        </w:rPr>
        <w:t xml:space="preserve"> Chartijos antrame straipsnyje įtvirtintas taikaus ginčų sprendimo principas yra plėtojamas Chartijos VI skyriuje, kuris suteikia Saugumo Tarybai kompetenciją rekomenduoti tam tikras procedūras ar sureguliavimo metodus, kai yra vykdoma</w:t>
      </w:r>
      <w:r w:rsidRPr="0006604A">
        <w:rPr>
          <w:color w:val="0000FF"/>
          <w:lang w:val="lt-LT"/>
        </w:rPr>
        <w:t xml:space="preserve"> </w:t>
      </w:r>
      <w:r w:rsidRPr="0006604A">
        <w:rPr>
          <w:lang w:val="lt-LT"/>
        </w:rPr>
        <w:t>prevencinė diplomatija. Jungtinių Tautų Saugumo Taryba, kai, jos nuomone, tai yra būtina, reikalauja, kad šalys spręstų ginčą taikiomis priemonėmis.</w:t>
      </w:r>
      <w:r w:rsidRPr="0006604A">
        <w:rPr>
          <w:rStyle w:val="FootnoteReference"/>
          <w:rFonts w:eastAsiaTheme="majorEastAsia"/>
          <w:lang w:val="lt-LT"/>
        </w:rPr>
        <w:footnoteReference w:id="30"/>
      </w:r>
      <w:r w:rsidRPr="0006604A">
        <w:rPr>
          <w:lang w:val="lt-LT"/>
        </w:rPr>
        <w:t xml:space="preserve"> Jeigu šalys neišsprendžia ginčo, kurio tęsimasis gali kelti grėsmę tarptautinei taikai ir saugumui, minėtomis taikiomis priemonėmis, toks ginčas perduodamas Saugumo Tarybai. Visgi atkreiptinas dėmesys, kad Saugumo Taryba VI skyriu</w:t>
      </w:r>
      <w:r w:rsidR="008F6C5C" w:rsidRPr="0006604A">
        <w:rPr>
          <w:lang w:val="lt-LT"/>
        </w:rPr>
        <w:t>je turi siauresnius įgaliojimus:</w:t>
      </w:r>
      <w:r w:rsidRPr="0006604A">
        <w:rPr>
          <w:lang w:val="lt-LT"/>
        </w:rPr>
        <w:t xml:space="preserve"> ji gali veikti tik tuomet, kai šalys nesiima taikių priemonių išspręsti ginčą. </w:t>
      </w:r>
    </w:p>
    <w:p w:rsidR="00F234E7" w:rsidRPr="0006604A" w:rsidRDefault="00F234E7" w:rsidP="00236507">
      <w:pPr>
        <w:spacing w:before="100" w:beforeAutospacing="1" w:after="100" w:afterAutospacing="1"/>
        <w:ind w:firstLine="851"/>
        <w:contextualSpacing/>
        <w:rPr>
          <w:lang w:val="lt-LT"/>
        </w:rPr>
      </w:pPr>
      <w:r w:rsidRPr="0006604A">
        <w:rPr>
          <w:lang w:val="lt-LT"/>
        </w:rPr>
        <w:lastRenderedPageBreak/>
        <w:t xml:space="preserve">VII skyrius, kuris apima veiksmus, kai kyla grėsmė taikai, ji pažeidžiama ar įvykdomi agresijos aktai, savo pavadinimu rodo, kad konfliktinė situacija yra daug labiau išsivysčiusi ir kyla reali grėsmė tarptautiniam saugumui. Remiantis šiuo skyriumi </w:t>
      </w:r>
      <w:r w:rsidR="002D3599" w:rsidRPr="0006604A">
        <w:rPr>
          <w:lang w:val="lt-LT"/>
        </w:rPr>
        <w:t>vykdomos dvi taikos misijos rūšy</w:t>
      </w:r>
      <w:r w:rsidRPr="0006604A">
        <w:rPr>
          <w:lang w:val="lt-LT"/>
        </w:rPr>
        <w:t xml:space="preserve">s – </w:t>
      </w:r>
      <w:r w:rsidRPr="0006604A">
        <w:rPr>
          <w:i/>
          <w:lang w:val="lt-LT"/>
        </w:rPr>
        <w:t>platesnio masto taikos misij</w:t>
      </w:r>
      <w:r w:rsidR="00F56475" w:rsidRPr="0006604A">
        <w:rPr>
          <w:i/>
          <w:lang w:val="lt-LT"/>
        </w:rPr>
        <w:t>a</w:t>
      </w:r>
      <w:r w:rsidRPr="0006604A">
        <w:rPr>
          <w:lang w:val="lt-LT"/>
        </w:rPr>
        <w:t xml:space="preserve"> bei </w:t>
      </w:r>
      <w:r w:rsidR="00AF19DF" w:rsidRPr="0006604A">
        <w:rPr>
          <w:i/>
          <w:lang w:val="lt-LT"/>
        </w:rPr>
        <w:t>priverstinis</w:t>
      </w:r>
      <w:r w:rsidRPr="0006604A">
        <w:rPr>
          <w:i/>
          <w:lang w:val="lt-LT"/>
        </w:rPr>
        <w:t xml:space="preserve"> taikos vykdym</w:t>
      </w:r>
      <w:r w:rsidR="00F56475" w:rsidRPr="0006604A">
        <w:rPr>
          <w:i/>
          <w:lang w:val="lt-LT"/>
        </w:rPr>
        <w:t>as</w:t>
      </w:r>
      <w:r w:rsidRPr="0006604A">
        <w:rPr>
          <w:lang w:val="lt-LT"/>
        </w:rPr>
        <w:t xml:space="preserve">. </w:t>
      </w:r>
    </w:p>
    <w:p w:rsidR="00F234E7" w:rsidRPr="0006604A" w:rsidRDefault="00F234E7" w:rsidP="00236507">
      <w:pPr>
        <w:spacing w:before="100" w:beforeAutospacing="1" w:after="100" w:afterAutospacing="1"/>
        <w:ind w:firstLine="851"/>
        <w:contextualSpacing/>
        <w:rPr>
          <w:lang w:val="lt-LT"/>
        </w:rPr>
      </w:pPr>
      <w:r w:rsidRPr="0006604A">
        <w:rPr>
          <w:lang w:val="lt-LT"/>
        </w:rPr>
        <w:t>Šių misijų rūšių atskyrimas turi esminę reikšmę. Paminėtina, kad platesnio masto taikos misijos įgaliojimai iš esmės skiriasi nuo priverstinio taikos vykdymo. Platesnio masto taikos misijai priskiriamas 40 straipsnis, kuris mini laikinas priemones, kuriomis “siekiama išvengti situacijos pablogėjimo”</w:t>
      </w:r>
      <w:r w:rsidRPr="0006604A">
        <w:rPr>
          <w:rStyle w:val="FootnoteReference"/>
          <w:rFonts w:eastAsiaTheme="majorEastAsia"/>
          <w:lang w:val="lt-LT"/>
        </w:rPr>
        <w:footnoteReference w:id="31"/>
      </w:r>
      <w:r w:rsidRPr="0006604A">
        <w:rPr>
          <w:lang w:val="lt-LT"/>
        </w:rPr>
        <w:t>, t.y. kol dar nėra g</w:t>
      </w:r>
      <w:r w:rsidR="00804369">
        <w:rPr>
          <w:lang w:val="lt-LT"/>
        </w:rPr>
        <w:t xml:space="preserve">rėsmės taikai. Platesnio masto taikos misija neįeina </w:t>
      </w:r>
      <w:r w:rsidRPr="0006604A">
        <w:rPr>
          <w:lang w:val="lt-LT"/>
        </w:rPr>
        <w:t xml:space="preserve">į taikų ginčų sprendimą, minimą Chartijos VI skyriuje, taip pat neapima ir priverstinio taikos vykdymo, kuomet kyla grėsmė taikai ir saugumui. Todėl kyla klausimas, kodėl platesnio masto taikos misija priskiriama Chartijos VII skyriui. </w:t>
      </w:r>
    </w:p>
    <w:p w:rsidR="00F234E7" w:rsidRPr="0006604A" w:rsidRDefault="00F234E7" w:rsidP="00236507">
      <w:pPr>
        <w:spacing w:before="100" w:beforeAutospacing="1" w:after="100" w:afterAutospacing="1"/>
        <w:ind w:firstLine="851"/>
        <w:contextualSpacing/>
        <w:rPr>
          <w:lang w:val="lt-LT"/>
        </w:rPr>
      </w:pPr>
      <w:r w:rsidRPr="0006604A">
        <w:rPr>
          <w:lang w:val="lt-LT"/>
        </w:rPr>
        <w:t>Šios rūšies priskyrimas VII skyriui priklauso nuo esančios konfliktinės situacijos, t.y. egzistuoja didelė tikimybė, kad gali būti pažeista tarptautinė taika ir saugumas. Šios misijos metu laikomasi pagrindinių tradicinės taikos misijos principų: laikomasi nešališkumo principo, taip pat būtinas valstybės sutikimas, nors pažymėtina, kad tokioje konflikto situacijoje jis būna netvirtas ir dažnai besikeičiantis. Kalbant apie jėgos panaudojimą savigynai šios misijos metu reikia pažymėti, kad teisė naudoti jėgą savigynai yra išplečiama nuo individualios gynybos iki visos misijos gynybos, t.y. Jungtinių Tautų kariuomenė turi ginti ne tik pačius save, bet ir naudoti ginklą, jei reikia užtikrinti tinkamą misijos įgaliojimų vykdymą.</w:t>
      </w:r>
      <w:r w:rsidRPr="0006604A">
        <w:rPr>
          <w:rStyle w:val="FootnoteReference"/>
          <w:rFonts w:eastAsiaTheme="majorEastAsia"/>
          <w:lang w:val="lt-LT"/>
        </w:rPr>
        <w:footnoteReference w:id="32"/>
      </w:r>
      <w:r w:rsidRPr="0006604A">
        <w:rPr>
          <w:lang w:val="lt-LT"/>
        </w:rPr>
        <w:t xml:space="preserve"> Taip yra todėl, kad esant sud</w:t>
      </w:r>
      <w:r w:rsidR="00804369">
        <w:rPr>
          <w:lang w:val="lt-LT"/>
        </w:rPr>
        <w:t xml:space="preserve">ėtingesnei </w:t>
      </w:r>
      <w:r w:rsidR="00804369" w:rsidRPr="00BB751F">
        <w:rPr>
          <w:lang w:val="lt-LT"/>
        </w:rPr>
        <w:t>konflikto situacijai</w:t>
      </w:r>
      <w:r w:rsidRPr="00BB751F">
        <w:rPr>
          <w:lang w:val="lt-LT"/>
        </w:rPr>
        <w:t xml:space="preserve"> atitinkamai ir  įgaliojimai  yra daug platesni lyginant su tradicine taikos misija. Todėl praplėtus jėgos panaudojimą</w:t>
      </w:r>
      <w:r w:rsidR="00BB751F" w:rsidRPr="00BB751F">
        <w:rPr>
          <w:lang w:val="lt-LT"/>
        </w:rPr>
        <w:t>,</w:t>
      </w:r>
      <w:r w:rsidR="00804369" w:rsidRPr="00BB751F">
        <w:rPr>
          <w:lang w:val="lt-LT"/>
        </w:rPr>
        <w:t xml:space="preserve"> ne tik individualiai savigynai</w:t>
      </w:r>
      <w:r w:rsidR="00BB751F" w:rsidRPr="00BB751F">
        <w:rPr>
          <w:lang w:val="lt-LT"/>
        </w:rPr>
        <w:t>,</w:t>
      </w:r>
      <w:r w:rsidRPr="00BB751F">
        <w:rPr>
          <w:lang w:val="lt-LT"/>
        </w:rPr>
        <w:t xml:space="preserve"> šios misijos metu padaugėja prievartos priemonių komponentų, tačiau svarbu pabrėžti, kad  tai n</w:t>
      </w:r>
      <w:r w:rsidR="00804369" w:rsidRPr="00BB751F">
        <w:rPr>
          <w:lang w:val="lt-LT"/>
        </w:rPr>
        <w:t>ėra pagrindinė misijos priemonė</w:t>
      </w:r>
      <w:r w:rsidRPr="00BB751F">
        <w:rPr>
          <w:lang w:val="lt-LT"/>
        </w:rPr>
        <w:t xml:space="preserve"> kaip priverstinio taikos vykdymo metu.</w:t>
      </w:r>
      <w:r w:rsidRPr="0006604A">
        <w:rPr>
          <w:lang w:val="lt-LT"/>
        </w:rPr>
        <w:t xml:space="preserve"> </w:t>
      </w:r>
    </w:p>
    <w:p w:rsidR="00F234E7" w:rsidRPr="0006604A" w:rsidRDefault="00F234E7" w:rsidP="00236507">
      <w:pPr>
        <w:spacing w:before="100" w:beforeAutospacing="1" w:after="100" w:afterAutospacing="1"/>
        <w:ind w:firstLine="851"/>
        <w:contextualSpacing/>
        <w:rPr>
          <w:lang w:val="lt-LT"/>
        </w:rPr>
      </w:pPr>
      <w:r w:rsidRPr="0006604A">
        <w:rPr>
          <w:lang w:val="lt-LT"/>
        </w:rPr>
        <w:t>Taikos</w:t>
      </w:r>
      <w:r w:rsidRPr="0006604A">
        <w:rPr>
          <w:color w:val="0000FF"/>
          <w:lang w:val="lt-LT"/>
        </w:rPr>
        <w:t xml:space="preserve"> </w:t>
      </w:r>
      <w:r w:rsidRPr="0006604A">
        <w:rPr>
          <w:lang w:val="lt-LT"/>
        </w:rPr>
        <w:t>misijų kūrimui Saugumo Taryba turi plačiausius įgaliojimus. Pabrėžtina, kad pagrindinė atsakomybė už tarptautinės taikos ir Saugumo įgyvendinimą tenka būtent Saugumo Ta</w:t>
      </w:r>
      <w:r w:rsidR="00494011">
        <w:rPr>
          <w:lang w:val="lt-LT"/>
        </w:rPr>
        <w:t xml:space="preserve">rybai. Saugumo Tarybos </w:t>
      </w:r>
      <w:r w:rsidRPr="0006604A">
        <w:rPr>
          <w:lang w:val="lt-LT"/>
        </w:rPr>
        <w:t>kompetencija įtvirtinta Chartijos 24 straipsnyje. Platūs Saugumo Tarybos įgaliojimai patvirtinti ir Tarptautinio Teisingumo Teismo: „Saugumo Tarybos įgaliojimai suteikia teisę atlikti ne tik priverstinio vykdymo veiksmus, tačiau naudoti ir kitas priemones, minimas Chartijos VII skyriuje.“</w:t>
      </w:r>
      <w:r w:rsidRPr="0006604A">
        <w:rPr>
          <w:rStyle w:val="FootnoteReference"/>
          <w:rFonts w:eastAsiaTheme="majorEastAsia"/>
          <w:lang w:val="lt-LT"/>
        </w:rPr>
        <w:footnoteReference w:id="33"/>
      </w:r>
      <w:r w:rsidRPr="0006604A">
        <w:rPr>
          <w:lang w:val="lt-LT"/>
        </w:rPr>
        <w:t xml:space="preserve"> Kitoje Tarptautinio Teisingumo Teismo konsultacinėje išvadoje teigiama, kad „Saugumo Tarybos galios pagal 24 straipsnį neapsiriboja Saugumo Tarybos </w:t>
      </w:r>
      <w:r w:rsidRPr="0006604A">
        <w:rPr>
          <w:lang w:val="lt-LT"/>
        </w:rPr>
        <w:lastRenderedPageBreak/>
        <w:t>įgaliojimais</w:t>
      </w:r>
      <w:r w:rsidR="00804369">
        <w:rPr>
          <w:lang w:val="lt-LT"/>
        </w:rPr>
        <w:t>,</w:t>
      </w:r>
      <w:r w:rsidRPr="0006604A">
        <w:rPr>
          <w:lang w:val="lt-LT"/>
        </w:rPr>
        <w:t xml:space="preserve"> minimais atitinkamuose Chartijos skyriuose. Saugumo Tarybai įgaliojimai gali būti suteikti atitinkamai su turima atsakomybe palaikyti tarptautinę taiką ir saugumą.“</w:t>
      </w:r>
      <w:r w:rsidRPr="0006604A">
        <w:rPr>
          <w:rStyle w:val="FootnoteReference"/>
          <w:rFonts w:eastAsiaTheme="majorEastAsia"/>
          <w:lang w:val="lt-LT"/>
        </w:rPr>
        <w:footnoteReference w:id="34"/>
      </w:r>
      <w:r w:rsidRPr="0006604A">
        <w:rPr>
          <w:lang w:val="lt-LT"/>
        </w:rPr>
        <w:t xml:space="preserve"> Vadinasi</w:t>
      </w:r>
      <w:r w:rsidR="00C957DF">
        <w:rPr>
          <w:lang w:val="lt-LT"/>
        </w:rPr>
        <w:t>,</w:t>
      </w:r>
      <w:r w:rsidRPr="0006604A">
        <w:rPr>
          <w:lang w:val="lt-LT"/>
        </w:rPr>
        <w:t xml:space="preserve"> funkcijas, kurios nenumatytos Chartijoje, galima priskirti Saugumo Tarybai, jeigu jos yra būtinos tarptautinei taikai ir saugumui palaikyti, kitaip tariant, galime pritaikyti minėtą numanomų galių doktriną. </w:t>
      </w:r>
    </w:p>
    <w:p w:rsidR="00F234E7" w:rsidRPr="0006604A" w:rsidRDefault="00F234E7" w:rsidP="00236507">
      <w:pPr>
        <w:spacing w:before="100" w:beforeAutospacing="1" w:after="100" w:afterAutospacing="1"/>
        <w:ind w:firstLine="851"/>
        <w:contextualSpacing/>
        <w:rPr>
          <w:color w:val="0000FF"/>
          <w:lang w:val="lt-LT"/>
        </w:rPr>
      </w:pPr>
      <w:r w:rsidRPr="0006604A">
        <w:rPr>
          <w:lang w:val="lt-LT"/>
        </w:rPr>
        <w:t>Chartijos 40 straipsnis Saugumo Tarybai suteikia teisę įsteigti taikos misiją, kurios tikslas sustabdyti esamą ginčą ir užkirsti kelią situacijos pablogėjimui, kuris sukeltų grėsmę tarptautinei taikai ir saugumui. Tačiau kaip buvo analizuojama, pasirinkimą, kokia taikos misijos rūšis yra tinkama, lemia situacijos sunkumas, todėl taikos misijos įsteigimas pagal 40 straipsnį pasirenkamas tada, kai grėsmė taikai ir saugumui yra gana didelė ir taikaus ginčo sprendimo priemonių jau nebepakanka. Paga</w:t>
      </w:r>
      <w:r w:rsidR="00F86103" w:rsidRPr="0006604A">
        <w:rPr>
          <w:lang w:val="lt-LT"/>
        </w:rPr>
        <w:t xml:space="preserve">l </w:t>
      </w:r>
      <w:r w:rsidRPr="0006604A">
        <w:rPr>
          <w:lang w:val="lt-LT"/>
        </w:rPr>
        <w:t>Chartijos 39 straipsnį Saugumo Tarybai suteikti šie įgaliojimai: nustatyti  grėsmę taikai, jos pažeidim</w:t>
      </w:r>
      <w:r w:rsidR="00F86103" w:rsidRPr="0006604A">
        <w:rPr>
          <w:lang w:val="lt-LT"/>
        </w:rPr>
        <w:t xml:space="preserve">ą ar agresijos akto pavojų bei </w:t>
      </w:r>
      <w:r w:rsidRPr="0006604A">
        <w:rPr>
          <w:lang w:val="lt-LT"/>
        </w:rPr>
        <w:t>teikti rekomendacijas dėl reikalingų priemonių panaudojimo</w:t>
      </w:r>
      <w:r w:rsidRPr="0006604A">
        <w:rPr>
          <w:rStyle w:val="FootnoteReference"/>
          <w:rFonts w:eastAsiaTheme="majorEastAsia"/>
          <w:lang w:val="lt-LT"/>
        </w:rPr>
        <w:footnoteReference w:id="35"/>
      </w:r>
      <w:r w:rsidRPr="0006604A">
        <w:rPr>
          <w:lang w:val="lt-LT"/>
        </w:rPr>
        <w:t>. Pagal minėtąjį straipsnį Saugumo Tarybos įgaliojimus išsk</w:t>
      </w:r>
      <w:r w:rsidR="007677BB">
        <w:rPr>
          <w:lang w:val="lt-LT"/>
        </w:rPr>
        <w:t xml:space="preserve">iriame i du etapus: pirmajame ‒ </w:t>
      </w:r>
      <w:r w:rsidRPr="0006604A">
        <w:rPr>
          <w:lang w:val="lt-LT"/>
        </w:rPr>
        <w:t>nustatomas grėsmės tarptautinei taikai ir saugumui dydis, tuo tarpu antrajame etape pasirenkamos atitinkamos priemonės, kurios bus naudojamos taikos misijos metu. Priemonės, kurios būtinos palaikyti tarptautinę taiką ir saugumą, yra dviejų rūšių: susijusios su ginkluota jėga ir kitokio pobūdžio priemonės. Šių priemonių išskyrimas į dvi dalis</w:t>
      </w:r>
      <w:r w:rsidR="004E77BA">
        <w:rPr>
          <w:lang w:val="lt-LT"/>
        </w:rPr>
        <w:t xml:space="preserve"> turi esminę reikšmę. </w:t>
      </w:r>
      <w:r w:rsidR="004E77BA" w:rsidRPr="00BB751F">
        <w:rPr>
          <w:lang w:val="lt-LT"/>
        </w:rPr>
        <w:t>Priemonės</w:t>
      </w:r>
      <w:r w:rsidRPr="00BB751F">
        <w:rPr>
          <w:lang w:val="lt-LT"/>
        </w:rPr>
        <w:t xml:space="preserve"> ne</w:t>
      </w:r>
      <w:r w:rsidR="00773BFD" w:rsidRPr="00BB751F">
        <w:rPr>
          <w:lang w:val="lt-LT"/>
        </w:rPr>
        <w:t>susijusios su jėgos panaudojimu</w:t>
      </w:r>
      <w:r w:rsidR="00773BFD" w:rsidRPr="0006604A">
        <w:rPr>
          <w:lang w:val="lt-LT"/>
        </w:rPr>
        <w:t>:</w:t>
      </w:r>
      <w:r w:rsidRPr="0006604A">
        <w:rPr>
          <w:lang w:val="lt-LT"/>
        </w:rPr>
        <w:t xml:space="preserve"> tai visiškas arba dalinis ekonominių santykių, geležinkelio, jūrų, uosto, pašto, telegrafo, radijo ir kitokių ryšių bei susisiekimo nutraukimas, taip pat diplomati</w:t>
      </w:r>
      <w:r w:rsidR="00F86103" w:rsidRPr="0006604A">
        <w:rPr>
          <w:lang w:val="lt-LT"/>
        </w:rPr>
        <w:t>nių priemonių nutraukimas</w:t>
      </w:r>
      <w:r w:rsidR="00F86103" w:rsidRPr="005569B5">
        <w:rPr>
          <w:color w:val="FF0000"/>
          <w:lang w:val="lt-LT"/>
        </w:rPr>
        <w:t xml:space="preserve"> </w:t>
      </w:r>
      <w:r w:rsidR="00F86103" w:rsidRPr="007677BB">
        <w:rPr>
          <w:lang w:val="lt-LT"/>
        </w:rPr>
        <w:t>minim</w:t>
      </w:r>
      <w:r w:rsidR="007677BB" w:rsidRPr="007677BB">
        <w:rPr>
          <w:lang w:val="lt-LT"/>
        </w:rPr>
        <w:t>a</w:t>
      </w:r>
      <w:r w:rsidRPr="007677BB">
        <w:rPr>
          <w:lang w:val="lt-LT"/>
        </w:rPr>
        <w:t xml:space="preserve">s </w:t>
      </w:r>
      <w:r w:rsidRPr="0006604A">
        <w:rPr>
          <w:lang w:val="lt-LT"/>
        </w:rPr>
        <w:t>41 straipsnyje</w:t>
      </w:r>
      <w:r w:rsidRPr="0006604A">
        <w:rPr>
          <w:rStyle w:val="FootnoteReference"/>
          <w:rFonts w:eastAsiaTheme="majorEastAsia"/>
          <w:lang w:val="lt-LT"/>
        </w:rPr>
        <w:footnoteReference w:id="36"/>
      </w:r>
      <w:r w:rsidRPr="0006604A">
        <w:rPr>
          <w:lang w:val="lt-LT"/>
        </w:rPr>
        <w:t xml:space="preserve"> nesukuria priverstinio vykdymo pagal VII skyrių pagrindo. </w:t>
      </w:r>
      <w:r w:rsidR="005569B5" w:rsidRPr="00BB751F">
        <w:rPr>
          <w:lang w:val="lt-LT"/>
        </w:rPr>
        <w:t>Priemonės,</w:t>
      </w:r>
      <w:r w:rsidRPr="00BB751F">
        <w:rPr>
          <w:lang w:val="lt-LT"/>
        </w:rPr>
        <w:t xml:space="preserve"> susijusios su ginkluota jėga</w:t>
      </w:r>
      <w:r w:rsidR="00BB751F" w:rsidRPr="00BB751F">
        <w:rPr>
          <w:lang w:val="lt-LT"/>
        </w:rPr>
        <w:t>,</w:t>
      </w:r>
      <w:r w:rsidRPr="00BB751F">
        <w:rPr>
          <w:lang w:val="lt-LT"/>
        </w:rPr>
        <w:t xml:space="preserve"> apima priverstinio vykdymo taikos misiją.</w:t>
      </w:r>
    </w:p>
    <w:p w:rsidR="00F234E7" w:rsidRPr="0006604A" w:rsidRDefault="005569B5" w:rsidP="00236507">
      <w:pPr>
        <w:spacing w:before="100" w:beforeAutospacing="1" w:after="100" w:afterAutospacing="1"/>
        <w:ind w:firstLine="851"/>
        <w:contextualSpacing/>
        <w:rPr>
          <w:lang w:val="lt-LT"/>
        </w:rPr>
      </w:pPr>
      <w:r>
        <w:rPr>
          <w:lang w:val="lt-LT"/>
        </w:rPr>
        <w:t xml:space="preserve">Priverstinio taikos vykdymo </w:t>
      </w:r>
      <w:r w:rsidR="00F234E7" w:rsidRPr="0006604A">
        <w:rPr>
          <w:lang w:val="lt-LT"/>
        </w:rPr>
        <w:t>teisinis pagrindas minimas Chartijos 42 straipsnyje. Straipsnyje minimas ginkluotos jėgos panaudojimas: „Tokie veiksmai gali būti demonstracijos, blokada ir kitokios Jungtinių Tautų narių oro, jūrų bei sausumos pajėgų operacijos“</w:t>
      </w:r>
      <w:r w:rsidR="00F234E7" w:rsidRPr="0006604A">
        <w:rPr>
          <w:rStyle w:val="FootnoteReference"/>
          <w:rFonts w:eastAsiaTheme="majorEastAsia"/>
          <w:lang w:val="lt-LT"/>
        </w:rPr>
        <w:footnoteReference w:id="37"/>
      </w:r>
      <w:r w:rsidR="00F234E7" w:rsidRPr="0006604A">
        <w:rPr>
          <w:lang w:val="lt-LT"/>
        </w:rPr>
        <w:t>. Svarbu paminėti, kad tik Saugumo Taryba turi teisę reikalauti vykdyti veiksmus pagal šią rūšį, t.y. veiksmus, apimančius ginkluotos jėgos panaudojimą. Svarbu pažymėti, kad šios misijos metu nesilaikoma nei vieno tr</w:t>
      </w:r>
      <w:r>
        <w:rPr>
          <w:lang w:val="lt-LT"/>
        </w:rPr>
        <w:t>adicinių taikos misijų principo:</w:t>
      </w:r>
      <w:r w:rsidR="00F234E7" w:rsidRPr="0006604A">
        <w:rPr>
          <w:lang w:val="lt-LT"/>
        </w:rPr>
        <w:t xml:space="preserve"> nekeliamas veiksmų neutralumo klausimas, nereikalaujamas šalies sutikimas, o prievartos priemonių naudojimas sudaro šios misijos rūšies </w:t>
      </w:r>
      <w:r w:rsidR="00F234E7" w:rsidRPr="005569B5">
        <w:rPr>
          <w:lang w:val="lt-LT"/>
        </w:rPr>
        <w:t>esmę, todėl tokia teisė, kaip jėgos panaudojimas tik savigynos atveju, praranda savo reikšmę.</w:t>
      </w:r>
      <w:r w:rsidR="00F234E7" w:rsidRPr="0006604A">
        <w:rPr>
          <w:lang w:val="lt-LT"/>
        </w:rPr>
        <w:t xml:space="preserve"> Šios </w:t>
      </w:r>
      <w:r w:rsidR="00F234E7" w:rsidRPr="0006604A">
        <w:rPr>
          <w:lang w:val="lt-LT"/>
        </w:rPr>
        <w:lastRenderedPageBreak/>
        <w:t>misijos metu verčiama jėga paklusti politiniam sprendimui, t.y. per jėgos naudojimą stengiamasi pasiekti taiką.</w:t>
      </w:r>
    </w:p>
    <w:p w:rsidR="00F234E7" w:rsidRPr="0006604A" w:rsidRDefault="00F234E7" w:rsidP="00236507">
      <w:pPr>
        <w:spacing w:before="100" w:beforeAutospacing="1" w:after="100" w:afterAutospacing="1"/>
        <w:ind w:firstLine="851"/>
        <w:contextualSpacing/>
        <w:rPr>
          <w:lang w:val="lt-LT"/>
        </w:rPr>
      </w:pPr>
      <w:r w:rsidRPr="0006604A">
        <w:rPr>
          <w:lang w:val="lt-LT"/>
        </w:rPr>
        <w:t xml:space="preserve">Prie šios misijos rūšies svarbu paminėti Chartijos 2 straipsnio 4 dalyje minimą principą: „Visos narės tarptautiniuose santykiuose susilaiko nuo grasinimo jėga ir jos panaudojimo tiek prieš kurios nors valstybės teritorinį vientisumą arba politinę nepriklausomybę [...] nesuderinamu su Jungtinių Tautų tikslais.“ Tai yra jėgos draudimo tarptautiniuose santykiuose principas, turintis </w:t>
      </w:r>
      <w:r w:rsidRPr="0006604A">
        <w:rPr>
          <w:i/>
          <w:lang w:val="lt-LT"/>
        </w:rPr>
        <w:t>jus cogens</w:t>
      </w:r>
      <w:r w:rsidRPr="0006604A">
        <w:rPr>
          <w:lang w:val="lt-LT"/>
        </w:rPr>
        <w:t xml:space="preserve"> normų galią. Pažymėtina, kad Saugumo Tarybos kompetencijos atžvilgiu tai yra teisėta išimtis. Saugumo Taryba gali sankcionuoti jėgos panaudojimą prieš agresorių,  t.y. turi teisę naudoti priverstinį vykdymą pagal Chartijos 42 straipsnį, tačiau tik vieninteliu atveju, kai iškyla grėsmė tarptautinei taikai ir saugumui.</w:t>
      </w:r>
    </w:p>
    <w:p w:rsidR="00F234E7" w:rsidRPr="0006604A" w:rsidRDefault="00F234E7" w:rsidP="00236507">
      <w:pPr>
        <w:spacing w:before="100" w:beforeAutospacing="1" w:after="100" w:afterAutospacing="1"/>
        <w:ind w:firstLine="851"/>
        <w:contextualSpacing/>
        <w:rPr>
          <w:lang w:val="lt-LT"/>
        </w:rPr>
      </w:pPr>
      <w:r w:rsidRPr="0006604A">
        <w:rPr>
          <w:lang w:val="lt-LT"/>
        </w:rPr>
        <w:t>Apibendrinant šį p</w:t>
      </w:r>
      <w:r w:rsidR="00E408DF" w:rsidRPr="0006604A">
        <w:rPr>
          <w:lang w:val="lt-LT"/>
        </w:rPr>
        <w:t xml:space="preserve">oskyrį </w:t>
      </w:r>
      <w:r w:rsidRPr="0006604A">
        <w:rPr>
          <w:lang w:val="lt-LT"/>
        </w:rPr>
        <w:t>galime teigti, kad Jungtinių Tautų kompetencija sukurti taikos misijas kildinama iš pagrindinio Chartijoje numatyto tikslo – tarptautinės taikos ir saugumo palaikymo, o taikos misijų teisinis pagrindas kyla iš Chartijos pirmame skyriuje minimų principų, kurie toliau detalizuojami Chartijos VI ir VII skyriuose.</w:t>
      </w:r>
    </w:p>
    <w:p w:rsidR="00F234E7" w:rsidRPr="0006604A" w:rsidRDefault="00E408DF" w:rsidP="00236507">
      <w:pPr>
        <w:spacing w:before="100" w:beforeAutospacing="1" w:after="100" w:afterAutospacing="1"/>
        <w:ind w:firstLine="851"/>
        <w:contextualSpacing/>
        <w:rPr>
          <w:lang w:val="lt-LT"/>
        </w:rPr>
      </w:pPr>
      <w:r w:rsidRPr="0006604A">
        <w:rPr>
          <w:lang w:val="lt-LT"/>
        </w:rPr>
        <w:t>Priklausomai</w:t>
      </w:r>
      <w:r w:rsidR="00F234E7" w:rsidRPr="0006604A">
        <w:rPr>
          <w:lang w:val="lt-LT"/>
        </w:rPr>
        <w:t xml:space="preserve"> nuo konfliktinės situacijos minėtiems Chartijos skyriams priskiriame tris taikos misijų rūšis: VI skyrius skirtas prevencinei diplomatijai, tuo tarpu VII skyrius suteikia teisinį pagrindą </w:t>
      </w:r>
      <w:r w:rsidR="0006604A" w:rsidRPr="0006604A">
        <w:rPr>
          <w:lang w:val="lt-LT"/>
        </w:rPr>
        <w:t>dviem</w:t>
      </w:r>
      <w:r w:rsidR="00F234E7" w:rsidRPr="0006604A">
        <w:rPr>
          <w:lang w:val="lt-LT"/>
        </w:rPr>
        <w:t xml:space="preserve"> taikos misijų rūšims: platesnio masto taikos misijai ir priverstiniam vykdymui. Ketvirtoji – tradicinė taikos misija</w:t>
      </w:r>
      <w:r w:rsidR="002B3264">
        <w:rPr>
          <w:lang w:val="lt-LT"/>
        </w:rPr>
        <w:t>,</w:t>
      </w:r>
      <w:r w:rsidR="00F234E7" w:rsidRPr="0006604A">
        <w:rPr>
          <w:lang w:val="lt-LT"/>
        </w:rPr>
        <w:t xml:space="preserve"> nors ir neatitiko Chartijos VI ir VII skyriaus teisinio režimo, buvo teisėta, nes buvo sukurta įgyvendinant Jungtinių Tautų Chartijoje minimus tikslus ir neišeinant iš Jungtinių Tautų organų kompetencijos ribų.</w:t>
      </w:r>
    </w:p>
    <w:p w:rsidR="00C24316" w:rsidRPr="00240BAE" w:rsidRDefault="00236507" w:rsidP="00113D43">
      <w:pPr>
        <w:pStyle w:val="Heading2"/>
        <w:numPr>
          <w:ilvl w:val="1"/>
          <w:numId w:val="2"/>
        </w:numPr>
        <w:rPr>
          <w:sz w:val="24"/>
          <w:szCs w:val="24"/>
          <w:lang w:val="lt-LT"/>
        </w:rPr>
      </w:pPr>
      <w:bookmarkStart w:id="8" w:name="_Toc280807832"/>
      <w:r w:rsidRPr="00240BAE">
        <w:rPr>
          <w:sz w:val="24"/>
          <w:szCs w:val="24"/>
          <w:lang w:val="lt-LT"/>
        </w:rPr>
        <w:t xml:space="preserve"> </w:t>
      </w:r>
      <w:r w:rsidR="00C24316" w:rsidRPr="00240BAE">
        <w:rPr>
          <w:sz w:val="24"/>
          <w:szCs w:val="24"/>
          <w:lang w:val="lt-LT"/>
        </w:rPr>
        <w:t>Jungtinių Tautų organų kompetencijos atribojimas</w:t>
      </w:r>
      <w:bookmarkEnd w:id="8"/>
    </w:p>
    <w:p w:rsidR="00C24316" w:rsidRPr="0006604A" w:rsidRDefault="00C24316" w:rsidP="00236507">
      <w:pPr>
        <w:spacing w:before="100" w:beforeAutospacing="1" w:after="100" w:afterAutospacing="1"/>
        <w:ind w:firstLine="851"/>
        <w:contextualSpacing/>
        <w:rPr>
          <w:lang w:val="lt-LT"/>
        </w:rPr>
      </w:pPr>
      <w:r w:rsidRPr="0006604A">
        <w:rPr>
          <w:lang w:val="lt-LT"/>
        </w:rPr>
        <w:t>Kaip buvo minėta pirmame poskyryje</w:t>
      </w:r>
      <w:r w:rsidRPr="00F43D57">
        <w:rPr>
          <w:lang w:val="lt-LT"/>
        </w:rPr>
        <w:t>, Saugumo Tarybai negalint sukurti pirmosios tradicinės taikos misijos dėl nuolatinių narių veto teisės panaudojimo ši užduotis buvo pavesta Generalinei Asamblėjai. Šioje situacijoje svarbu išsiaiškinti, ar tai nepažeidžia Chartijos 24 straipsnio, kuriuo Saugumo Tarybai suteikiama pagrindinė</w:t>
      </w:r>
      <w:r w:rsidRPr="0006604A">
        <w:rPr>
          <w:lang w:val="lt-LT"/>
        </w:rPr>
        <w:t xml:space="preserve"> ir svarbiausia funkcija – palaikyti taiką ir saugumą.</w:t>
      </w:r>
      <w:r w:rsidRPr="0006604A">
        <w:rPr>
          <w:rStyle w:val="FootnoteReference"/>
          <w:rFonts w:eastAsiaTheme="majorEastAsia"/>
          <w:lang w:val="lt-LT"/>
        </w:rPr>
        <w:footnoteReference w:id="38"/>
      </w:r>
      <w:r w:rsidRPr="0006604A">
        <w:rPr>
          <w:lang w:val="lt-LT"/>
        </w:rPr>
        <w:t xml:space="preserve"> </w:t>
      </w:r>
    </w:p>
    <w:p w:rsidR="00C24316" w:rsidRPr="0006604A" w:rsidRDefault="00C24316" w:rsidP="00236507">
      <w:pPr>
        <w:spacing w:before="100" w:beforeAutospacing="1" w:after="100" w:afterAutospacing="1"/>
        <w:ind w:firstLine="851"/>
        <w:contextualSpacing/>
        <w:rPr>
          <w:lang w:val="lt-LT"/>
        </w:rPr>
      </w:pPr>
      <w:r w:rsidRPr="0006604A">
        <w:rPr>
          <w:lang w:val="lt-LT"/>
        </w:rPr>
        <w:t>Svarbu paminėti, jog Generalinės Asamblėjos teisė suteikti įgaliojimus pirmajam taikos misijos veikimui Egipte buvo paremta Vienybės taikos labui (angl.</w:t>
      </w:r>
      <w:r w:rsidRPr="006D5F99">
        <w:rPr>
          <w:lang w:val="lt-LT"/>
        </w:rPr>
        <w:t xml:space="preserve"> </w:t>
      </w:r>
      <w:r w:rsidRPr="001D6E17">
        <w:rPr>
          <w:lang w:val="lt-LT"/>
        </w:rPr>
        <w:t>Uniting for Peace</w:t>
      </w:r>
      <w:r w:rsidRPr="0006604A">
        <w:rPr>
          <w:lang w:val="lt-LT"/>
        </w:rPr>
        <w:t>)</w:t>
      </w:r>
      <w:r w:rsidRPr="0006604A">
        <w:rPr>
          <w:i/>
          <w:lang w:val="lt-LT"/>
        </w:rPr>
        <w:t xml:space="preserve"> </w:t>
      </w:r>
      <w:r w:rsidRPr="0006604A">
        <w:rPr>
          <w:lang w:val="lt-LT"/>
        </w:rPr>
        <w:t>rezoliucija</w:t>
      </w:r>
      <w:r w:rsidRPr="0006604A">
        <w:rPr>
          <w:rStyle w:val="FootnoteReference"/>
          <w:rFonts w:eastAsiaTheme="majorEastAsia"/>
          <w:lang w:val="lt-LT"/>
        </w:rPr>
        <w:footnoteReference w:id="39"/>
      </w:r>
      <w:r w:rsidRPr="0006604A">
        <w:rPr>
          <w:lang w:val="lt-LT"/>
        </w:rPr>
        <w:t xml:space="preserve">. </w:t>
      </w:r>
      <w:r w:rsidRPr="0006604A">
        <w:rPr>
          <w:lang w:val="lt-LT"/>
        </w:rPr>
        <w:lastRenderedPageBreak/>
        <w:t xml:space="preserve">Čia minima Generalinės Asamblėjos kompetencija: „jeigu Saugumo Taryba dėl nuolatinių narių vienbalsiškumo trūkumo atsisako vykdyti savo pagrindinę pareigą – palaikyti tarptautinę taiką ir saugumą visais atvejais, kuomet iškyla grėsmė taikai, atsiranda taikos pažeidimas ar agresijos aktas, Generalinė Asamblėja gali svarstyti atvejį pateikdama atitinkamas rekomendacijas Jungtinių Tautų nariams imtis kolektyvių priemonių, įskaitant karinės jėgos panaudojimą </w:t>
      </w:r>
      <w:r w:rsidRPr="0006604A">
        <w:rPr>
          <w:rStyle w:val="apple-style-span"/>
          <w:lang w:val="lt-LT"/>
        </w:rPr>
        <w:t>[…]</w:t>
      </w:r>
      <w:r w:rsidRPr="0006604A">
        <w:rPr>
          <w:lang w:val="lt-LT"/>
        </w:rPr>
        <w:t>“</w:t>
      </w:r>
      <w:r w:rsidRPr="0006604A">
        <w:rPr>
          <w:rStyle w:val="FootnoteReference"/>
          <w:rFonts w:eastAsiaTheme="majorEastAsia"/>
          <w:lang w:val="lt-LT"/>
        </w:rPr>
        <w:footnoteReference w:id="40"/>
      </w:r>
      <w:r w:rsidRPr="0006604A">
        <w:rPr>
          <w:lang w:val="lt-LT"/>
        </w:rPr>
        <w:t>. Taigi</w:t>
      </w:r>
      <w:r w:rsidR="00F43D57">
        <w:rPr>
          <w:lang w:val="lt-LT"/>
        </w:rPr>
        <w:t>,</w:t>
      </w:r>
      <w:r w:rsidRPr="0006604A">
        <w:rPr>
          <w:lang w:val="lt-LT"/>
        </w:rPr>
        <w:t xml:space="preserve"> jau pačioje rezoliucijoje įtvirtinta Generalinės Asamblėjos kompetencija, kai Saugumo Tarybos darbas yra blokuojamas veto teisės. </w:t>
      </w:r>
    </w:p>
    <w:p w:rsidR="00C24316" w:rsidRPr="0006604A" w:rsidRDefault="00C24316" w:rsidP="00236507">
      <w:pPr>
        <w:spacing w:before="100" w:beforeAutospacing="1" w:after="100" w:afterAutospacing="1"/>
        <w:ind w:firstLine="851"/>
        <w:contextualSpacing/>
        <w:rPr>
          <w:lang w:val="lt-LT"/>
        </w:rPr>
      </w:pPr>
      <w:r w:rsidRPr="0006604A">
        <w:rPr>
          <w:lang w:val="lt-LT"/>
        </w:rPr>
        <w:t>Tarptautinis Teisingumo Teismas  konsultacinėje išvadoje dėl Palestinos sienos pabrėžia, kad Chartijos 24 straipsnis suteikia pagrindinę, bet ne išskirtinę Saugumo Tarybos kompetenciją tarptautinės taikos ir saugumo palaikymo kontekste.</w:t>
      </w:r>
      <w:r w:rsidRPr="0006604A">
        <w:rPr>
          <w:rStyle w:val="FootnoteReference"/>
          <w:rFonts w:eastAsiaTheme="majorEastAsia"/>
          <w:lang w:val="lt-LT"/>
        </w:rPr>
        <w:footnoteReference w:id="41"/>
      </w:r>
      <w:r w:rsidRPr="0006604A">
        <w:rPr>
          <w:lang w:val="lt-LT"/>
        </w:rPr>
        <w:t xml:space="preserve"> Jungtinių Tautų Chartija nedraudžia Generalinei Asamblėjai svarstyti tarptautinės taikos ir saugumo palaikymo klausimų bei kvalifikuoti grėsmės taikai, taikos pažeidimo ir agresijos aktus, kadangi pagal Chartiją Saugumo Tarybos naudai apribota tik Generalinės Asamblėjos galia teikti rekomendacijas.</w:t>
      </w:r>
      <w:r w:rsidRPr="0006604A">
        <w:rPr>
          <w:rStyle w:val="FootnoteReference"/>
          <w:rFonts w:eastAsiaTheme="majorEastAsia"/>
          <w:lang w:val="lt-LT"/>
        </w:rPr>
        <w:footnoteReference w:id="42"/>
      </w:r>
      <w:r w:rsidRPr="0006604A">
        <w:rPr>
          <w:lang w:val="lt-LT"/>
        </w:rPr>
        <w:t xml:space="preserve"> </w:t>
      </w:r>
    </w:p>
    <w:p w:rsidR="00C24316" w:rsidRPr="0006604A" w:rsidRDefault="00C24316" w:rsidP="00236507">
      <w:pPr>
        <w:spacing w:before="100" w:beforeAutospacing="1" w:after="100" w:afterAutospacing="1"/>
        <w:ind w:firstLine="851"/>
        <w:contextualSpacing/>
        <w:rPr>
          <w:lang w:val="lt-LT"/>
        </w:rPr>
      </w:pPr>
      <w:r w:rsidRPr="0006604A">
        <w:rPr>
          <w:lang w:val="lt-LT"/>
        </w:rPr>
        <w:t>Tarptautinis Teisingumo Teis</w:t>
      </w:r>
      <w:r w:rsidR="00341B4A">
        <w:rPr>
          <w:lang w:val="lt-LT"/>
        </w:rPr>
        <w:t xml:space="preserve">mas išlaidų </w:t>
      </w:r>
      <w:r w:rsidRPr="0006604A">
        <w:rPr>
          <w:lang w:val="lt-LT"/>
        </w:rPr>
        <w:t>konsultacinėje išvadoje pripažino, kad Generalinė Asamblėja saugumo palaikymo kontekste turi įgaliojimus, kuriuos atskleidžia Chartijos 14 straipsnis, numatantis: „remdamosi 12 straipsnio nuostatomis, Generalinė Asamblėja gali rekomenduoti kiekvienos situacijos taikaus sureguliavimo priemones.“</w:t>
      </w:r>
      <w:r w:rsidRPr="0006604A">
        <w:rPr>
          <w:rStyle w:val="FootnoteReference"/>
          <w:rFonts w:eastAsiaTheme="majorEastAsia"/>
          <w:lang w:val="lt-LT"/>
        </w:rPr>
        <w:footnoteReference w:id="43"/>
      </w:r>
      <w:r w:rsidRPr="0006604A">
        <w:rPr>
          <w:lang w:val="lt-LT"/>
        </w:rPr>
        <w:t xml:space="preserve"> Kad Generalinė Asamblėja turi galią </w:t>
      </w:r>
      <w:r w:rsidRPr="0006604A">
        <w:rPr>
          <w:i/>
          <w:lang w:val="lt-LT"/>
        </w:rPr>
        <w:t>inter alia</w:t>
      </w:r>
      <w:r w:rsidRPr="0006604A">
        <w:rPr>
          <w:lang w:val="lt-LT"/>
        </w:rPr>
        <w:t xml:space="preserve"> pagal 14 straipsnį rekomenduoti taikias sureguliavimo priemones minima ir kitoje konsultacinėje išvadoje dėl Palestinos sienos.</w:t>
      </w:r>
      <w:r w:rsidRPr="0006604A">
        <w:rPr>
          <w:rStyle w:val="FootnoteReference"/>
          <w:lang w:val="lt-LT"/>
        </w:rPr>
        <w:footnoteReference w:id="44"/>
      </w:r>
      <w:r w:rsidRPr="0006604A">
        <w:rPr>
          <w:lang w:val="lt-LT"/>
        </w:rPr>
        <w:t xml:space="preserve"> Vienintelis 14 straipsnio ribojimas randamas Chartijos 12 straipsnyje: „</w:t>
      </w:r>
      <w:r w:rsidRPr="0006604A">
        <w:rPr>
          <w:rStyle w:val="apple-style-span"/>
          <w:lang w:val="lt-LT"/>
        </w:rPr>
        <w:t xml:space="preserve">[…] </w:t>
      </w:r>
      <w:r w:rsidRPr="0006604A">
        <w:rPr>
          <w:lang w:val="lt-LT"/>
        </w:rPr>
        <w:t>Generalinė Asamblėja neteikia jokios rekomendacijos dėl šio ginčo, ar situacijos, jeigu Saugumo Taryba to neprašo“.</w:t>
      </w:r>
      <w:r w:rsidRPr="0006604A">
        <w:rPr>
          <w:rStyle w:val="FootnoteReference"/>
          <w:rFonts w:eastAsiaTheme="majorEastAsia"/>
          <w:lang w:val="lt-LT"/>
        </w:rPr>
        <w:footnoteReference w:id="45"/>
      </w:r>
      <w:r w:rsidRPr="0006604A">
        <w:rPr>
          <w:lang w:val="lt-LT"/>
        </w:rPr>
        <w:t xml:space="preserve"> Analizuoda</w:t>
      </w:r>
      <w:r w:rsidR="00E66C66">
        <w:rPr>
          <w:lang w:val="lt-LT"/>
        </w:rPr>
        <w:t>mi šiuos du minimus straipsnius</w:t>
      </w:r>
      <w:r w:rsidRPr="0006604A">
        <w:rPr>
          <w:lang w:val="lt-LT"/>
        </w:rPr>
        <w:t xml:space="preserve"> galime teigti, kad Generalinė Asamblėja negali</w:t>
      </w:r>
      <w:r w:rsidRPr="0006604A">
        <w:rPr>
          <w:color w:val="0000FF"/>
          <w:lang w:val="lt-LT"/>
        </w:rPr>
        <w:t xml:space="preserve"> </w:t>
      </w:r>
      <w:r w:rsidRPr="0006604A">
        <w:rPr>
          <w:lang w:val="lt-LT"/>
        </w:rPr>
        <w:t xml:space="preserve">nieko rekomenduoti tik tuo atveju, jeigu Saugumo Taryba vykdo savo funkcijas. Tačiau paminėtina, kad Tarptautinis Teisingumo Teismas pastebi išryškėjusias tendencijas, kai Saugumo Taryba ir Generalinė Asamblėja palaikydamos tarptautinę taiką ir saugumą veikia kartu ir kaip pavyzdžius įvardija Kipro, Pietų Afrikos, Angolos, Pietų </w:t>
      </w:r>
      <w:r w:rsidRPr="0006604A">
        <w:rPr>
          <w:lang w:val="lt-LT"/>
        </w:rPr>
        <w:lastRenderedPageBreak/>
        <w:t>Rodezijos, Bosnijos ir Hercegovinos bei Somalio atvejus.</w:t>
      </w:r>
      <w:r w:rsidRPr="0006604A">
        <w:rPr>
          <w:rStyle w:val="FootnoteReference"/>
          <w:lang w:val="lt-LT"/>
        </w:rPr>
        <w:footnoteReference w:id="46"/>
      </w:r>
      <w:r w:rsidRPr="0006604A">
        <w:rPr>
          <w:lang w:val="lt-LT"/>
        </w:rPr>
        <w:t xml:space="preserve"> Saugumo Taryba sprendžia konkrečius klausimus, susijusius su tarptautine taika ir saugumu, tuo tarpu  Generalinė Asamblėja sprendžia humanitarinius, socialinius ir ekonominius šalies reikalus.</w:t>
      </w:r>
      <w:r w:rsidRPr="0006604A">
        <w:rPr>
          <w:rStyle w:val="FootnoteReference"/>
          <w:lang w:val="lt-LT"/>
        </w:rPr>
        <w:footnoteReference w:id="47"/>
      </w:r>
    </w:p>
    <w:p w:rsidR="00C24316" w:rsidRPr="00113D43" w:rsidRDefault="00C24316" w:rsidP="00236507">
      <w:pPr>
        <w:spacing w:before="100" w:beforeAutospacing="1" w:after="100" w:afterAutospacing="1"/>
        <w:ind w:firstLine="851"/>
        <w:contextualSpacing/>
        <w:rPr>
          <w:lang w:val="lt-LT"/>
        </w:rPr>
      </w:pPr>
      <w:r w:rsidRPr="0006604A">
        <w:rPr>
          <w:lang w:val="lt-LT"/>
        </w:rPr>
        <w:t>Generalinės Asamblėjos kompetencijos apribojimas</w:t>
      </w:r>
      <w:r w:rsidR="004F30D6">
        <w:rPr>
          <w:lang w:val="lt-LT"/>
        </w:rPr>
        <w:t>,</w:t>
      </w:r>
      <w:r w:rsidRPr="0006604A">
        <w:rPr>
          <w:lang w:val="lt-LT"/>
        </w:rPr>
        <w:t xml:space="preserve"> sprendžiant taikos ir saugumo klausimus</w:t>
      </w:r>
      <w:r w:rsidR="004F30D6">
        <w:rPr>
          <w:lang w:val="lt-LT"/>
        </w:rPr>
        <w:t>,</w:t>
      </w:r>
      <w:r w:rsidRPr="0006604A">
        <w:rPr>
          <w:lang w:val="lt-LT"/>
        </w:rPr>
        <w:t xml:space="preserve"> </w:t>
      </w:r>
      <w:r w:rsidRPr="00113D43">
        <w:rPr>
          <w:lang w:val="lt-LT"/>
        </w:rPr>
        <w:t>yra įtvirtintas C</w:t>
      </w:r>
      <w:r w:rsidR="009D5DA3">
        <w:rPr>
          <w:lang w:val="lt-LT"/>
        </w:rPr>
        <w:t>hartijos 11 str. antroje dalyje:</w:t>
      </w:r>
      <w:r w:rsidRPr="00113D43">
        <w:rPr>
          <w:lang w:val="lt-LT"/>
        </w:rPr>
        <w:t xml:space="preserve"> “</w:t>
      </w:r>
      <w:r w:rsidR="008964C3">
        <w:rPr>
          <w:rStyle w:val="apple-style-span"/>
          <w:lang w:val="lt-LT"/>
        </w:rPr>
        <w:t>B</w:t>
      </w:r>
      <w:r w:rsidRPr="00113D43">
        <w:rPr>
          <w:rStyle w:val="apple-style-span"/>
          <w:lang w:val="lt-LT"/>
        </w:rPr>
        <w:t>et kurį tokį klausimą, dėl kurio būtina imtis veiksmų, Generalinė Asamblėja perduoda Saugumo Tarybai prieš svarstymą arba po jo”</w:t>
      </w:r>
      <w:r w:rsidR="009D5DA3">
        <w:rPr>
          <w:rStyle w:val="FootnoteReference"/>
          <w:lang w:val="lt-LT"/>
        </w:rPr>
        <w:footnoteReference w:id="48"/>
      </w:r>
      <w:r w:rsidRPr="00113D43">
        <w:rPr>
          <w:rStyle w:val="apple-style-span"/>
          <w:lang w:val="lt-LT"/>
        </w:rPr>
        <w:t>. Pažymėtina, kad Tarptautinis Teisingumo Teismas pasisakė, kad tik Saugumo Taryba gali reikalauti priverstinio vykdymo Chartijos VII skyriaus rėmuose.</w:t>
      </w:r>
      <w:r w:rsidRPr="00113D43">
        <w:rPr>
          <w:rStyle w:val="FootnoteReference"/>
          <w:rFonts w:eastAsiaTheme="majorEastAsia"/>
          <w:lang w:val="lt-LT"/>
        </w:rPr>
        <w:footnoteReference w:id="49"/>
      </w:r>
      <w:r w:rsidRPr="00113D43">
        <w:rPr>
          <w:rStyle w:val="apple-style-span"/>
          <w:lang w:val="lt-LT"/>
        </w:rPr>
        <w:t xml:space="preserve"> Tarptautinio Teisingumo Teismo </w:t>
      </w:r>
      <w:r w:rsidRPr="00113D43">
        <w:rPr>
          <w:lang w:val="lt-LT"/>
        </w:rPr>
        <w:t>teisėjas Koretsky atskirojoje nuomonėje teigė, kad Generalinės Asamblėjos rekomendacijos kai kuriuose atvejuose gali būti susijusios su „veiksmu“, tačiau tai negali būti veiksmas Chartijos 11 straipsnio 2 dalies prasme.</w:t>
      </w:r>
      <w:r w:rsidRPr="00113D43">
        <w:rPr>
          <w:rStyle w:val="FootnoteReference"/>
          <w:rFonts w:eastAsiaTheme="majorEastAsia"/>
          <w:lang w:val="lt-LT"/>
        </w:rPr>
        <w:footnoteReference w:id="50"/>
      </w:r>
      <w:r w:rsidRPr="00113D43">
        <w:rPr>
          <w:lang w:val="lt-LT"/>
        </w:rPr>
        <w:t xml:space="preserve"> Todėl Generalinė Asamb</w:t>
      </w:r>
      <w:r w:rsidR="00981AFE">
        <w:rPr>
          <w:lang w:val="lt-LT"/>
        </w:rPr>
        <w:t xml:space="preserve">lėja  </w:t>
      </w:r>
      <w:r w:rsidRPr="00113D43">
        <w:rPr>
          <w:lang w:val="lt-LT"/>
        </w:rPr>
        <w:t xml:space="preserve">iškilus problemoms, susijusioms su tarptautine taika ir saugumu, gali tik diskutuoti ir teikti rekomendacijas, tačiau jos neturi būti įpareigojančios Chartijos VII skyriaus priverstinio vykdymo prasme. </w:t>
      </w:r>
    </w:p>
    <w:p w:rsidR="00C24316" w:rsidRPr="00113D43" w:rsidRDefault="00C24316" w:rsidP="00981AFE">
      <w:pPr>
        <w:spacing w:before="100" w:beforeAutospacing="1" w:after="100" w:afterAutospacing="1"/>
        <w:ind w:firstLine="851"/>
        <w:contextualSpacing/>
        <w:rPr>
          <w:lang w:val="lt-LT"/>
        </w:rPr>
      </w:pPr>
      <w:r w:rsidRPr="00113D43">
        <w:rPr>
          <w:lang w:val="lt-LT"/>
        </w:rPr>
        <w:t>Generalinė Asamblėja galėtų inicijuoti taikos misijos operaciją</w:t>
      </w:r>
      <w:r w:rsidR="00981AFE">
        <w:rPr>
          <w:lang w:val="lt-LT"/>
        </w:rPr>
        <w:t xml:space="preserve">, </w:t>
      </w:r>
      <w:r w:rsidRPr="00113D43">
        <w:rPr>
          <w:lang w:val="lt-LT"/>
        </w:rPr>
        <w:t xml:space="preserve"> kaip pavyzdžiui, Jungtinių Tautų </w:t>
      </w:r>
      <w:r w:rsidR="00981AFE">
        <w:rPr>
          <w:lang w:val="lt-LT"/>
        </w:rPr>
        <w:t>N</w:t>
      </w:r>
      <w:r w:rsidR="0006604A" w:rsidRPr="00113D43">
        <w:rPr>
          <w:lang w:val="lt-LT"/>
        </w:rPr>
        <w:t>epaprastąsias</w:t>
      </w:r>
      <w:r w:rsidRPr="00113D43">
        <w:rPr>
          <w:lang w:val="lt-LT"/>
        </w:rPr>
        <w:t xml:space="preserve"> pajėgas Egipte, jeigu turėtų</w:t>
      </w:r>
      <w:r w:rsidR="00C368BD">
        <w:rPr>
          <w:lang w:val="lt-LT"/>
        </w:rPr>
        <w:t xml:space="preserve"> </w:t>
      </w:r>
      <w:r w:rsidRPr="00113D43">
        <w:rPr>
          <w:lang w:val="lt-LT"/>
        </w:rPr>
        <w:t xml:space="preserve"> įtrauktų į ginčą šalių sutikimą.</w:t>
      </w:r>
      <w:r w:rsidRPr="00113D43">
        <w:rPr>
          <w:rStyle w:val="FootnoteReference"/>
          <w:rFonts w:eastAsiaTheme="majorEastAsia"/>
          <w:lang w:val="lt-LT"/>
        </w:rPr>
        <w:footnoteReference w:id="51"/>
      </w:r>
      <w:r w:rsidRPr="00113D43">
        <w:rPr>
          <w:lang w:val="lt-LT"/>
        </w:rPr>
        <w:t xml:space="preserve"> Minimas ginčo šalių sutikimas, kaip vienas iš pamatinių taikos principų, nurodo Generalinės Asamblėjos teisę inicijuoti tradicines taikos misijas. Jeigu į operaciją įtrauktas priverstinis vykdymas pagal VII Chartijos skyrių, Generalinė Asamblėja neturėtų kompetencijos duoti pagrindą sukurti  tokio pobūdžio taikos misiją.</w:t>
      </w:r>
    </w:p>
    <w:p w:rsidR="00C24316" w:rsidRPr="0006604A" w:rsidRDefault="00C24316" w:rsidP="00236507">
      <w:pPr>
        <w:spacing w:before="100" w:beforeAutospacing="1" w:after="100" w:afterAutospacing="1"/>
        <w:ind w:firstLine="851"/>
        <w:contextualSpacing/>
        <w:rPr>
          <w:lang w:val="lt-LT"/>
        </w:rPr>
      </w:pPr>
      <w:r w:rsidRPr="00113D43">
        <w:rPr>
          <w:lang w:val="lt-LT"/>
        </w:rPr>
        <w:t>Apibendrinant galime teigti, kad kalbant apie Saugumo Tarybos kompetenciją tarptautinės taikos ir saugumo palaikymo kontekste tikslinga sakyti, kad ji yra pagrindinė, tačiau ne išskirtinė. Tarptautinio Teisingumo Teismo praktikoje įtvirtinta, kad tik Saugumo Taryba gali reikalauti priverstinio vykdymo veiksmų pagal Chartijos VII skyrių, tačiau tais atvejais, kai yra kilusi grėsmė tarptautiniam saugum</w:t>
      </w:r>
      <w:r w:rsidRPr="0006604A">
        <w:rPr>
          <w:lang w:val="lt-LT"/>
        </w:rPr>
        <w:t xml:space="preserve">ui, o Saugumo Tarybos darbas yra blokuojamas nuolatinių narių veto teisės panaudojimu, Generalinė Asamblėja, remiantis Vienybės taikos labui rezoliucija, gali teikti rekomendacijas, įtraukiančias ir karinės jėgos panaudojimą. Taip pat paminėtina, </w:t>
      </w:r>
      <w:r w:rsidR="0044333E" w:rsidRPr="0006604A">
        <w:rPr>
          <w:lang w:val="lt-LT"/>
        </w:rPr>
        <w:t xml:space="preserve">kad dviejų Chartijos straipsnių: 12 ir 14, analizė leidžia teigti, kad Generalinė Asamblėja negali nieko </w:t>
      </w:r>
      <w:r w:rsidR="0044333E" w:rsidRPr="0006604A">
        <w:rPr>
          <w:lang w:val="lt-LT"/>
        </w:rPr>
        <w:lastRenderedPageBreak/>
        <w:t>rekomenduoti, jeigu Saugumo Taryba vykdo savo funkcijas. Tačiau praktikoje buvę pavyzdžiai parodo, kad šie du Jungtinių Tautų organai palaikyda</w:t>
      </w:r>
      <w:r w:rsidR="00C368BD">
        <w:rPr>
          <w:lang w:val="lt-LT"/>
        </w:rPr>
        <w:t>mi tarptautinę taiką ir saugumą</w:t>
      </w:r>
      <w:r w:rsidR="0044333E" w:rsidRPr="0006604A">
        <w:rPr>
          <w:lang w:val="lt-LT"/>
        </w:rPr>
        <w:t xml:space="preserve"> gali veikti kartu:</w:t>
      </w:r>
      <w:r w:rsidR="007D2676" w:rsidRPr="0006604A">
        <w:rPr>
          <w:lang w:val="lt-LT"/>
        </w:rPr>
        <w:t xml:space="preserve"> kol Saugumo Taryba sprendžia su tarptautine taika ir saugumu susijusius klausimus, Generalinė Asamblėja svarsto humanitarinius, socialinius ir ekonominius šalies reikalus</w:t>
      </w:r>
      <w:r w:rsidR="003A6BC0" w:rsidRPr="0006604A">
        <w:rPr>
          <w:lang w:val="lt-LT"/>
        </w:rPr>
        <w:t>.</w:t>
      </w:r>
    </w:p>
    <w:p w:rsidR="00F234E7" w:rsidRPr="0006604A" w:rsidRDefault="00F234E7" w:rsidP="00113D43">
      <w:pPr>
        <w:pStyle w:val="Heading2"/>
        <w:numPr>
          <w:ilvl w:val="1"/>
          <w:numId w:val="2"/>
        </w:numPr>
        <w:rPr>
          <w:sz w:val="24"/>
          <w:szCs w:val="24"/>
          <w:lang w:val="lt-LT"/>
        </w:rPr>
      </w:pPr>
      <w:bookmarkStart w:id="9" w:name="_Toc280556714"/>
      <w:bookmarkStart w:id="10" w:name="_Toc280807833"/>
      <w:r w:rsidRPr="0006604A">
        <w:rPr>
          <w:sz w:val="24"/>
          <w:szCs w:val="24"/>
          <w:lang w:val="lt-LT"/>
        </w:rPr>
        <w:t xml:space="preserve">Taikos misijų </w:t>
      </w:r>
      <w:bookmarkEnd w:id="9"/>
      <w:bookmarkEnd w:id="10"/>
      <w:r w:rsidR="0084289D">
        <w:rPr>
          <w:sz w:val="24"/>
          <w:szCs w:val="24"/>
          <w:lang w:val="lt-LT"/>
        </w:rPr>
        <w:t>principai</w:t>
      </w:r>
    </w:p>
    <w:p w:rsidR="00F234E7" w:rsidRPr="0006604A" w:rsidRDefault="0006604A" w:rsidP="00236507">
      <w:pPr>
        <w:spacing w:before="100" w:beforeAutospacing="1" w:after="100" w:afterAutospacing="1"/>
        <w:ind w:firstLine="851"/>
        <w:contextualSpacing/>
        <w:rPr>
          <w:lang w:val="lt-LT"/>
        </w:rPr>
      </w:pPr>
      <w:r>
        <w:rPr>
          <w:lang w:val="lt-LT"/>
        </w:rPr>
        <w:t>Kaip buvo minėta pirma</w:t>
      </w:r>
      <w:r w:rsidRPr="0006604A">
        <w:rPr>
          <w:lang w:val="lt-LT"/>
        </w:rPr>
        <w:t>me poskyryje, pirmosios tradicinės taikos misijos Egipte metu išsivystė trys pamatiniai taikos misijų principai:  priimančios šalies sutikimas, taikos misijos pajėgų nešališkumas prieš visas į ginčą įtrauktas šalis bei jėgos panaudojimas tik savigynos atveju.</w:t>
      </w:r>
    </w:p>
    <w:p w:rsidR="00F234E7" w:rsidRPr="0006604A" w:rsidRDefault="00F234E7" w:rsidP="00236507">
      <w:pPr>
        <w:spacing w:before="100" w:beforeAutospacing="1" w:after="100" w:afterAutospacing="1"/>
        <w:ind w:firstLine="851"/>
        <w:contextualSpacing/>
        <w:rPr>
          <w:lang w:val="lt-LT"/>
        </w:rPr>
      </w:pPr>
      <w:r w:rsidRPr="0006604A">
        <w:rPr>
          <w:lang w:val="lt-LT"/>
        </w:rPr>
        <w:t>Principai buvo suformuluoti Generalinio Sekretoriaus Dag Hammarskjold ir pateikti įvairiose ataskaitose</w:t>
      </w:r>
      <w:r w:rsidR="00D60200">
        <w:rPr>
          <w:lang w:val="lt-LT"/>
        </w:rPr>
        <w:t>,</w:t>
      </w:r>
      <w:r w:rsidRPr="0006604A">
        <w:rPr>
          <w:lang w:val="lt-LT"/>
        </w:rPr>
        <w:t xml:space="preserve"> skirtose Generalinei Asamblėjai ir Saugumo Tarybai.</w:t>
      </w:r>
      <w:r w:rsidRPr="0006604A">
        <w:rPr>
          <w:rStyle w:val="FootnoteReference"/>
          <w:rFonts w:eastAsiaTheme="majorEastAsia"/>
          <w:lang w:val="lt-LT"/>
        </w:rPr>
        <w:footnoteReference w:id="52"/>
      </w:r>
      <w:r w:rsidRPr="0006604A">
        <w:rPr>
          <w:lang w:val="lt-LT"/>
        </w:rPr>
        <w:t xml:space="preserve"> Šie principai yra taikos misijų pagrindas, todėl jų fundamentali reikšmė bus atskleista analizuojant kiekvieną principą  atskirai. </w:t>
      </w:r>
    </w:p>
    <w:p w:rsidR="00F234E7" w:rsidRPr="0006604A" w:rsidRDefault="00F234E7" w:rsidP="00113D43">
      <w:pPr>
        <w:pStyle w:val="Heading2"/>
        <w:numPr>
          <w:ilvl w:val="2"/>
          <w:numId w:val="2"/>
        </w:numPr>
        <w:ind w:left="709" w:hanging="709"/>
        <w:rPr>
          <w:sz w:val="24"/>
          <w:szCs w:val="24"/>
          <w:lang w:val="lt-LT"/>
        </w:rPr>
      </w:pPr>
      <w:bookmarkStart w:id="11" w:name="_Toc280556715"/>
      <w:bookmarkStart w:id="12" w:name="_Toc280807834"/>
      <w:r w:rsidRPr="0006604A">
        <w:rPr>
          <w:sz w:val="24"/>
          <w:szCs w:val="24"/>
          <w:lang w:val="lt-LT"/>
        </w:rPr>
        <w:t>Šalies sutikimas</w:t>
      </w:r>
      <w:bookmarkEnd w:id="11"/>
      <w:bookmarkEnd w:id="12"/>
    </w:p>
    <w:p w:rsidR="00F234E7" w:rsidRPr="0006604A" w:rsidRDefault="00F234E7" w:rsidP="00236507">
      <w:pPr>
        <w:spacing w:before="100" w:beforeAutospacing="1" w:after="100" w:afterAutospacing="1"/>
        <w:ind w:firstLine="851"/>
        <w:contextualSpacing/>
        <w:rPr>
          <w:lang w:val="lt-LT"/>
        </w:rPr>
      </w:pPr>
      <w:r w:rsidRPr="0006604A">
        <w:rPr>
          <w:lang w:val="lt-LT"/>
        </w:rPr>
        <w:t xml:space="preserve">Jungtinių Tautų </w:t>
      </w:r>
      <w:r w:rsidR="00FF5419">
        <w:rPr>
          <w:lang w:val="lt-LT"/>
        </w:rPr>
        <w:t xml:space="preserve"> </w:t>
      </w:r>
      <w:r w:rsidRPr="0006604A">
        <w:rPr>
          <w:lang w:val="lt-LT"/>
        </w:rPr>
        <w:t>Generalinis Sekretorius savo ataskaitoje teigė: „Jungtinių Tautų pajėgos įžengs į Egipto teritoriją tik turint Egipto valdžios sutikimą.</w:t>
      </w:r>
      <w:r w:rsidRPr="0006604A">
        <w:rPr>
          <w:rStyle w:val="FootnoteReference"/>
          <w:rFonts w:eastAsiaTheme="majorEastAsia"/>
          <w:lang w:val="lt-LT"/>
        </w:rPr>
        <w:footnoteReference w:id="53"/>
      </w:r>
      <w:r w:rsidR="005835DD">
        <w:rPr>
          <w:lang w:val="lt-LT"/>
        </w:rPr>
        <w:t xml:space="preserve"> „</w:t>
      </w:r>
      <w:r w:rsidRPr="0006604A">
        <w:rPr>
          <w:lang w:val="lt-LT"/>
        </w:rPr>
        <w:t>Svečios šalies sutikimas šioje ir kitose taikos misijose yra būtina prielaida Jungtinių Tautų pajėgoms teisėtai pasilikti Jungtinių Arabų teritorijoje. Kai sutikimas yra atšaukiamas</w:t>
      </w:r>
      <w:r w:rsidR="001433FF">
        <w:rPr>
          <w:lang w:val="lt-LT"/>
        </w:rPr>
        <w:t>,</w:t>
      </w:r>
      <w:r w:rsidRPr="0006604A">
        <w:rPr>
          <w:lang w:val="lt-LT"/>
        </w:rPr>
        <w:t xml:space="preserve"> Jungtinės Tautos </w:t>
      </w:r>
      <w:r w:rsidR="005835DD">
        <w:rPr>
          <w:lang w:val="lt-LT"/>
        </w:rPr>
        <w:t>nebegali pasilikti teritorijoje.</w:t>
      </w:r>
      <w:r w:rsidRPr="0006604A">
        <w:rPr>
          <w:lang w:val="lt-LT"/>
        </w:rPr>
        <w:t>“</w:t>
      </w:r>
      <w:r w:rsidRPr="0006604A">
        <w:rPr>
          <w:rStyle w:val="FootnoteReference"/>
          <w:rFonts w:eastAsiaTheme="majorEastAsia"/>
          <w:lang w:val="lt-LT"/>
        </w:rPr>
        <w:footnoteReference w:id="54"/>
      </w:r>
      <w:r w:rsidRPr="0006604A">
        <w:rPr>
          <w:lang w:val="lt-LT"/>
        </w:rPr>
        <w:t xml:space="preserve"> Taip pirmos tradicinės taikos misijos metu buvo suformuluotas pirmasis mūsų analizuojamas principas.</w:t>
      </w:r>
      <w:r w:rsidR="005835DD">
        <w:rPr>
          <w:lang w:val="lt-LT"/>
        </w:rPr>
        <w:t xml:space="preserve"> </w:t>
      </w:r>
      <w:r w:rsidRPr="0006604A">
        <w:rPr>
          <w:lang w:val="lt-LT"/>
        </w:rPr>
        <w:t>Šiame poskyryje bus nagrinėjama, kokie tarptautinės teisės dokumentai reguliuoja valstybės duotą sutikimą, kokie subjektai gali duoti sutikim</w:t>
      </w:r>
      <w:r w:rsidR="00FF5419">
        <w:rPr>
          <w:lang w:val="lt-LT"/>
        </w:rPr>
        <w:t>ą, taip pat</w:t>
      </w:r>
      <w:r w:rsidRPr="0006604A">
        <w:rPr>
          <w:lang w:val="lt-LT"/>
        </w:rPr>
        <w:t xml:space="preserve"> valstybės duoto sutikimo turinį.</w:t>
      </w:r>
    </w:p>
    <w:p w:rsidR="00F234E7" w:rsidRPr="0006604A" w:rsidRDefault="00F234E7" w:rsidP="00236507">
      <w:pPr>
        <w:spacing w:before="100" w:beforeAutospacing="1" w:after="100" w:afterAutospacing="1"/>
        <w:ind w:firstLine="851"/>
        <w:contextualSpacing/>
        <w:rPr>
          <w:lang w:val="lt-LT"/>
        </w:rPr>
      </w:pPr>
      <w:r w:rsidRPr="0006604A">
        <w:rPr>
          <w:lang w:val="lt-LT"/>
        </w:rPr>
        <w:t>Taigi</w:t>
      </w:r>
      <w:r w:rsidR="004F248F">
        <w:rPr>
          <w:lang w:val="lt-LT"/>
        </w:rPr>
        <w:t xml:space="preserve">, norint pradėti </w:t>
      </w:r>
      <w:r w:rsidRPr="0006604A">
        <w:rPr>
          <w:lang w:val="lt-LT"/>
        </w:rPr>
        <w:t xml:space="preserve">tradicinę </w:t>
      </w:r>
      <w:r w:rsidR="004F248F">
        <w:rPr>
          <w:lang w:val="lt-LT"/>
        </w:rPr>
        <w:t>ar platesnio masto taikos misiją</w:t>
      </w:r>
      <w:r w:rsidR="007214BB">
        <w:rPr>
          <w:lang w:val="lt-LT"/>
        </w:rPr>
        <w:t xml:space="preserve"> </w:t>
      </w:r>
      <w:r w:rsidRPr="0006604A">
        <w:rPr>
          <w:lang w:val="lt-LT"/>
        </w:rPr>
        <w:t xml:space="preserve">būtinas šalies sutikimas. Taip šalis įtraukiama į politinį procesą ir savo sutikimu pritaria jo vykdymui. Esant šalies sutikimui taikos misijos dalyvių įgaliojimų vykdymas tampa daug efektyvesnis: jie įgauna ne tik politinę laisvę vykdyti savo įgaliojimus, tačiau ir fizinę laisvę judėti bei, kiek leidžia įgaliojimai, naudoti jėgą. </w:t>
      </w:r>
    </w:p>
    <w:p w:rsidR="00F234E7" w:rsidRPr="0006604A" w:rsidRDefault="00F234E7" w:rsidP="00A10187">
      <w:pPr>
        <w:spacing w:before="100" w:beforeAutospacing="1" w:after="100" w:afterAutospacing="1"/>
        <w:ind w:firstLine="851"/>
        <w:contextualSpacing/>
        <w:rPr>
          <w:color w:val="FF0000"/>
          <w:lang w:val="lt-LT"/>
        </w:rPr>
      </w:pPr>
      <w:r w:rsidRPr="0006604A">
        <w:rPr>
          <w:lang w:val="lt-LT"/>
        </w:rPr>
        <w:lastRenderedPageBreak/>
        <w:t>Praktikoje sutikimas išreiškiamas apsikeičiant notomis tarp Jungtinių Tautų Generalinio Sekretoriaus bei šalies vyriausybės, kurioje bus įsteigiama misija.</w:t>
      </w:r>
      <w:r w:rsidRPr="0006604A">
        <w:rPr>
          <w:rStyle w:val="FootnoteReference"/>
          <w:rFonts w:eastAsiaTheme="majorEastAsia"/>
          <w:lang w:val="lt-LT"/>
        </w:rPr>
        <w:footnoteReference w:id="55"/>
      </w:r>
      <w:r w:rsidRPr="0006604A">
        <w:rPr>
          <w:lang w:val="lt-LT"/>
        </w:rPr>
        <w:t xml:space="preserve"> Toks apsikeitimas sukuria sutartį, kuri </w:t>
      </w:r>
      <w:r w:rsidR="0006604A" w:rsidRPr="0006604A">
        <w:rPr>
          <w:lang w:val="lt-LT"/>
        </w:rPr>
        <w:t>reguliuojama</w:t>
      </w:r>
      <w:r w:rsidRPr="0006604A">
        <w:rPr>
          <w:lang w:val="lt-LT"/>
        </w:rPr>
        <w:t xml:space="preserve"> pagal 1986 metų Vienos Konvenciją dėl tarptautinių sutarčių tarp valstybių ir tarptautinių organizacijų ar tarp tarptautinių organizacijų (toliau Vienos Konvencija), kurioje numatyta, jog „Sutartis – tai raštu tarp vienos valstybės ar daugiau valstybių ir tarptautinės organizacijos ar organizacijų sudarytas tarptautinis susitarimas, kuriam taikomos tarptautinės teisės normos, įtvirtintos viename ar keliuose susijusiuose dokumentuose, nesvarbu, koks būtų to susitarimo pavadinimas.“</w:t>
      </w:r>
      <w:r w:rsidRPr="0006604A">
        <w:rPr>
          <w:rStyle w:val="FootnoteReference"/>
          <w:rFonts w:eastAsiaTheme="majorEastAsia"/>
          <w:lang w:val="lt-LT"/>
        </w:rPr>
        <w:footnoteReference w:id="56"/>
      </w:r>
    </w:p>
    <w:p w:rsidR="00F234E7" w:rsidRPr="0006604A" w:rsidRDefault="00066A93" w:rsidP="00A10187">
      <w:pPr>
        <w:spacing w:before="100" w:beforeAutospacing="1" w:after="100" w:afterAutospacing="1"/>
        <w:ind w:firstLine="851"/>
        <w:contextualSpacing/>
        <w:rPr>
          <w:rStyle w:val="apple-style-span"/>
          <w:lang w:val="lt-LT"/>
        </w:rPr>
      </w:pPr>
      <w:r>
        <w:rPr>
          <w:lang w:val="lt-LT"/>
        </w:rPr>
        <w:t xml:space="preserve">Svarbu paminėti, </w:t>
      </w:r>
      <w:r w:rsidR="00F234E7" w:rsidRPr="0006604A">
        <w:rPr>
          <w:lang w:val="lt-LT"/>
        </w:rPr>
        <w:t xml:space="preserve">kad Vienos Konvencijos preambulėje paminėti principai yra Jungtinių Tautų Chartijoje įtvirtinti principai, kaip pavyzdžiui, </w:t>
      </w:r>
      <w:r w:rsidR="00F234E7" w:rsidRPr="0006604A">
        <w:rPr>
          <w:rStyle w:val="apple-style-span"/>
          <w:lang w:val="lt-LT"/>
        </w:rPr>
        <w:t xml:space="preserve">tautų lygiateisiškumas ir laisvo apsisprendimo teisė, visų valstybių suvereni lygybė ir nepriklausomybė, nesikišimas į kitų valstybių vidaus reikalus, draudimas grasinti jėga ar vartoti jėgą ir kt. Tai parodo, kad šalies sutikimas yra svarbi teisinė prielaida, kuri garantuoja šių svarbių principų gerbimą. </w:t>
      </w:r>
    </w:p>
    <w:p w:rsidR="00F234E7" w:rsidRPr="0006604A" w:rsidRDefault="00F234E7" w:rsidP="00A10187">
      <w:pPr>
        <w:spacing w:before="100" w:beforeAutospacing="1" w:after="100" w:afterAutospacing="1"/>
        <w:ind w:firstLine="851"/>
        <w:contextualSpacing/>
        <w:rPr>
          <w:rStyle w:val="apple-style-span"/>
          <w:lang w:val="lt-LT"/>
        </w:rPr>
      </w:pPr>
      <w:r w:rsidRPr="0006604A">
        <w:rPr>
          <w:rStyle w:val="apple-style-span"/>
          <w:lang w:val="lt-LT"/>
        </w:rPr>
        <w:t>Kadangi valstybės sutikimas išreiškiamas sudarant sutartį, tai jo atšaukimas taip pat turi atitikti sutarčių teisės reikalavimus. Pagal Vienos Konvenc</w:t>
      </w:r>
      <w:r w:rsidR="00066A93">
        <w:rPr>
          <w:rStyle w:val="apple-style-span"/>
          <w:lang w:val="lt-LT"/>
        </w:rPr>
        <w:t>ijos  54 straipsnio b punktą: “</w:t>
      </w:r>
      <w:r w:rsidRPr="0006604A">
        <w:rPr>
          <w:rStyle w:val="apple-style-span"/>
          <w:lang w:val="lt-LT"/>
        </w:rPr>
        <w:t>Šalis gali nutraukti sutartį arba iš jos pasitraukti bet kuriuo metu visų sutarties šalių pritarimu, pasitarusi su kitomis susitarančiomis valstybėmis.”</w:t>
      </w:r>
      <w:r w:rsidRPr="0006604A">
        <w:rPr>
          <w:rStyle w:val="FootnoteReference"/>
          <w:rFonts w:eastAsiaTheme="majorEastAsia"/>
          <w:lang w:val="lt-LT"/>
        </w:rPr>
        <w:footnoteReference w:id="57"/>
      </w:r>
      <w:r w:rsidRPr="0006604A">
        <w:rPr>
          <w:rStyle w:val="apple-style-span"/>
          <w:lang w:val="lt-LT"/>
        </w:rPr>
        <w:t xml:space="preserve"> Todėl šalis</w:t>
      </w:r>
      <w:r w:rsidR="00066A93">
        <w:rPr>
          <w:rStyle w:val="apple-style-span"/>
          <w:lang w:val="lt-LT"/>
        </w:rPr>
        <w:t>,</w:t>
      </w:r>
      <w:r w:rsidRPr="0006604A">
        <w:rPr>
          <w:rStyle w:val="apple-style-span"/>
          <w:lang w:val="lt-LT"/>
        </w:rPr>
        <w:t xml:space="preserve"> davusi </w:t>
      </w:r>
      <w:r w:rsidR="00066A93">
        <w:rPr>
          <w:rStyle w:val="apple-style-span"/>
          <w:lang w:val="lt-LT"/>
        </w:rPr>
        <w:t>sutikimą įsteigti taikos misiją,</w:t>
      </w:r>
      <w:r w:rsidRPr="0006604A">
        <w:rPr>
          <w:rStyle w:val="apple-style-span"/>
          <w:lang w:val="lt-LT"/>
        </w:rPr>
        <w:t xml:space="preserve"> gali bet kuriuo metu nutraukti savo sutikimą ir Jungtinių Tautų pajėgos privalės palikti tos šalies teritoriją. Tačiau pabrėžtina, kad tuo atveju, jei konfliktinė situacija kelia grėsmę t</w:t>
      </w:r>
      <w:r w:rsidR="00066A93">
        <w:rPr>
          <w:rStyle w:val="apple-style-span"/>
          <w:lang w:val="lt-LT"/>
        </w:rPr>
        <w:t xml:space="preserve">arptautinei taikai ir saugumui, </w:t>
      </w:r>
      <w:r w:rsidRPr="0006604A">
        <w:rPr>
          <w:rStyle w:val="apple-style-span"/>
          <w:lang w:val="lt-LT"/>
        </w:rPr>
        <w:t>Jungtinių Tautų pajėgos turės teisę pasilikti teritorijoje ir be valstybės sutikimo, taikant prievartos priemones pagal Chartijos VII skyriaus 42 straipsnį.</w:t>
      </w:r>
    </w:p>
    <w:p w:rsidR="00F234E7" w:rsidRPr="0006604A" w:rsidRDefault="00F234E7" w:rsidP="00A10187">
      <w:pPr>
        <w:spacing w:before="100" w:beforeAutospacing="1" w:after="100" w:afterAutospacing="1"/>
        <w:ind w:firstLine="851"/>
        <w:contextualSpacing/>
        <w:rPr>
          <w:rStyle w:val="apple-style-span"/>
          <w:lang w:val="lt-LT"/>
        </w:rPr>
      </w:pPr>
      <w:r w:rsidRPr="0006604A">
        <w:rPr>
          <w:rStyle w:val="apple-style-span"/>
          <w:lang w:val="lt-LT"/>
        </w:rPr>
        <w:t xml:space="preserve">Konfliktų šalimis ne visada būna valstybės ar organizuotos karinės valstybių pajėgos, bet dažnai iš esmės skirtingos grupės, kurioms trūksta efektyvios valdymo struktūros ir kontrolės.  Todėl kyla klausimas, ar sutikimą įsteigti taikos misiją gali duoti kiti subjektai nei vyriausybės. </w:t>
      </w:r>
    </w:p>
    <w:p w:rsidR="00F234E7" w:rsidRPr="0006604A" w:rsidRDefault="00F234E7" w:rsidP="00A10187">
      <w:pPr>
        <w:spacing w:before="100" w:beforeAutospacing="1" w:after="100" w:afterAutospacing="1"/>
        <w:ind w:firstLine="851"/>
        <w:contextualSpacing/>
        <w:rPr>
          <w:rStyle w:val="apple-style-span"/>
          <w:lang w:val="lt-LT"/>
        </w:rPr>
      </w:pPr>
      <w:r w:rsidRPr="0006604A">
        <w:rPr>
          <w:rStyle w:val="apple-style-span"/>
          <w:lang w:val="lt-LT"/>
        </w:rPr>
        <w:t>Tarptautinė teisė tarp tokių subjektų, kurie gali duoti sutikimą įsteigti taikos misiją, pripažįsta tarptautines organizacijas, sukilėlius bei išsivadavimo judėjimus.</w:t>
      </w:r>
      <w:r w:rsidRPr="0006604A">
        <w:rPr>
          <w:rStyle w:val="FootnoteReference"/>
          <w:rFonts w:eastAsiaTheme="majorEastAsia"/>
          <w:lang w:val="lt-LT"/>
        </w:rPr>
        <w:footnoteReference w:id="58"/>
      </w:r>
      <w:r w:rsidRPr="0006604A">
        <w:rPr>
          <w:rStyle w:val="apple-style-span"/>
          <w:lang w:val="lt-LT"/>
        </w:rPr>
        <w:t xml:space="preserve"> Sutikimo davimą prilyginame teisei sudaryti sutartį, todėl jeigu subjektas turi teisę duoti sutikimą, jis yra laikomas </w:t>
      </w:r>
      <w:r w:rsidRPr="0006604A">
        <w:rPr>
          <w:rStyle w:val="apple-style-span"/>
          <w:lang w:val="lt-LT"/>
        </w:rPr>
        <w:lastRenderedPageBreak/>
        <w:t>sutarties šalimi. Tarptautinė organizacija turi teisę sukurti sutartį, jeigu tai numatyta jos sudedamajame dokumente arba tai yra neatsiejama nuo jos tikslų įgyvendinimo.</w:t>
      </w:r>
      <w:r w:rsidRPr="0006604A">
        <w:rPr>
          <w:rStyle w:val="FootnoteReference"/>
          <w:rFonts w:eastAsiaTheme="majorEastAsia"/>
          <w:lang w:val="lt-LT"/>
        </w:rPr>
        <w:footnoteReference w:id="59"/>
      </w:r>
      <w:r w:rsidRPr="0006604A">
        <w:rPr>
          <w:rStyle w:val="apple-style-span"/>
          <w:lang w:val="lt-LT"/>
        </w:rPr>
        <w:t xml:space="preserve"> Tarptautinės organizacijos kompetencija sukurti sutartį yra reguliuojama jos įstatuose.</w:t>
      </w:r>
      <w:r w:rsidRPr="0006604A">
        <w:rPr>
          <w:rStyle w:val="FootnoteReference"/>
          <w:rFonts w:eastAsiaTheme="majorEastAsia"/>
          <w:lang w:val="lt-LT"/>
        </w:rPr>
        <w:footnoteReference w:id="60"/>
      </w:r>
      <w:r w:rsidR="00066A93">
        <w:rPr>
          <w:rStyle w:val="apple-style-span"/>
          <w:lang w:val="lt-LT"/>
        </w:rPr>
        <w:t xml:space="preserve"> J</w:t>
      </w:r>
      <w:r w:rsidRPr="0006604A">
        <w:rPr>
          <w:rStyle w:val="apple-style-span"/>
          <w:lang w:val="lt-LT"/>
        </w:rPr>
        <w:t>eigu tarptautinės organizacijos sudedamieji dokumentai suteikia jai teisę sudaryti sutartį  ir tai yra būtina jos tikslų įgyvendinimui, nėra jokių kliūčių išreikšti sutikimą.</w:t>
      </w:r>
    </w:p>
    <w:p w:rsidR="00F234E7" w:rsidRPr="0006604A" w:rsidRDefault="00F234E7" w:rsidP="00A10187">
      <w:pPr>
        <w:spacing w:before="100" w:beforeAutospacing="1" w:after="100" w:afterAutospacing="1"/>
        <w:ind w:firstLine="851"/>
        <w:contextualSpacing/>
        <w:rPr>
          <w:rStyle w:val="apple-style-span"/>
          <w:lang w:val="lt-LT"/>
        </w:rPr>
      </w:pPr>
      <w:r w:rsidRPr="0006604A">
        <w:rPr>
          <w:rStyle w:val="apple-style-span"/>
          <w:lang w:val="lt-LT"/>
        </w:rPr>
        <w:t>Kalbant apie šalies sutikimą, kaip būtiną prielaidą įsteigti taikos misiją, paminėtina, kad sutartis tarp valstybės ir Jungtin</w:t>
      </w:r>
      <w:r w:rsidR="00F44BE9">
        <w:rPr>
          <w:rStyle w:val="apple-style-span"/>
          <w:lang w:val="lt-LT"/>
        </w:rPr>
        <w:t xml:space="preserve">ių Tautų yra dviejų kategorijų. </w:t>
      </w:r>
      <w:r w:rsidRPr="0006604A">
        <w:rPr>
          <w:rStyle w:val="apple-style-span"/>
          <w:lang w:val="lt-LT"/>
        </w:rPr>
        <w:t>Pirmoji apima Jungtinių Tautų taikos misijos dalyvių funkcijas ir užduotis, o antroji kategorija reguliuoja taikos misijos statusą, taip pat atskirų misijos dalyvių padėtį, jų imunitetus, privilegijas. Antroji kategorija apima susitarimus dėl Jungtinių Tautų pajėgų statuso (angl. Status</w:t>
      </w:r>
      <w:r w:rsidRPr="001D6E17">
        <w:rPr>
          <w:rStyle w:val="apple-style-span"/>
          <w:lang w:val="lt-LT"/>
        </w:rPr>
        <w:t xml:space="preserve"> of Force Agreement</w:t>
      </w:r>
      <w:r w:rsidRPr="0006604A">
        <w:rPr>
          <w:rStyle w:val="apple-style-span"/>
          <w:lang w:val="lt-LT"/>
        </w:rPr>
        <w:t xml:space="preserve">). </w:t>
      </w:r>
    </w:p>
    <w:p w:rsidR="00F234E7" w:rsidRPr="0006604A" w:rsidRDefault="00F234E7" w:rsidP="00A10187">
      <w:pPr>
        <w:spacing w:before="100" w:beforeAutospacing="1" w:after="100" w:afterAutospacing="1"/>
        <w:ind w:firstLine="851"/>
        <w:contextualSpacing/>
        <w:rPr>
          <w:rStyle w:val="apple-style-span"/>
          <w:lang w:val="lt-LT"/>
        </w:rPr>
      </w:pPr>
      <w:r w:rsidRPr="0006604A">
        <w:rPr>
          <w:rStyle w:val="apple-style-span"/>
          <w:lang w:val="lt-LT"/>
        </w:rPr>
        <w:t>Generalinio Sekretoriaus sukurtame pavyzdiniame tokio tipo susitarime svarbus yra 46 punktas, kuriame minima jurisdikcija: „visi Jungtinių Tautų taikos misijos dalyviai, atlikdami savo oficialias funkcijas, įgyja imunitetą teisiniam procesui dėl žodinių, rašytinių, fizinių veiksmų. Imunitetas išlieka ir tada, kai jie nustoja būti Jungtinių Tautų taikos misijų nariais.“</w:t>
      </w:r>
      <w:r w:rsidRPr="0006604A">
        <w:rPr>
          <w:rStyle w:val="FootnoteReference"/>
          <w:rFonts w:eastAsiaTheme="majorEastAsia"/>
          <w:lang w:val="lt-LT"/>
        </w:rPr>
        <w:footnoteReference w:id="61"/>
      </w:r>
      <w:r w:rsidRPr="0006604A">
        <w:rPr>
          <w:rStyle w:val="apple-style-span"/>
          <w:lang w:val="lt-LT"/>
        </w:rPr>
        <w:t xml:space="preserve"> Šis susitarimas padeda išspręsti jurisdikcijos tarp Jungtinių Tautų ir ša</w:t>
      </w:r>
      <w:r w:rsidR="00BA4D14">
        <w:rPr>
          <w:rStyle w:val="apple-style-span"/>
          <w:lang w:val="lt-LT"/>
        </w:rPr>
        <w:t>lies, kurioje įsteigiama misija,</w:t>
      </w:r>
      <w:r w:rsidRPr="0006604A">
        <w:rPr>
          <w:rStyle w:val="apple-style-span"/>
          <w:lang w:val="lt-LT"/>
        </w:rPr>
        <w:t xml:space="preserve"> klausimą. Jungtinių Tautų taikos misijos nariams netaikoma nei baudžiamoji, nei civilinė jurisdikcija, kiek ji susijusi su jų oficialiais veiksmais.</w:t>
      </w:r>
      <w:r w:rsidRPr="0006604A">
        <w:rPr>
          <w:rStyle w:val="FootnoteReference"/>
          <w:rFonts w:eastAsiaTheme="majorEastAsia"/>
          <w:lang w:val="lt-LT"/>
        </w:rPr>
        <w:footnoteReference w:id="62"/>
      </w:r>
      <w:r w:rsidRPr="0006604A">
        <w:rPr>
          <w:rStyle w:val="apple-style-span"/>
          <w:lang w:val="lt-LT"/>
        </w:rPr>
        <w:t xml:space="preserve"> </w:t>
      </w:r>
    </w:p>
    <w:p w:rsidR="00F234E7" w:rsidRPr="0006604A" w:rsidRDefault="00F234E7" w:rsidP="00A10187">
      <w:pPr>
        <w:spacing w:before="100" w:beforeAutospacing="1" w:after="100" w:afterAutospacing="1"/>
        <w:ind w:firstLine="851"/>
        <w:contextualSpacing/>
        <w:rPr>
          <w:rStyle w:val="apple-style-span"/>
          <w:lang w:val="lt-LT"/>
        </w:rPr>
      </w:pPr>
      <w:r w:rsidRPr="0006604A">
        <w:rPr>
          <w:rStyle w:val="apple-style-span"/>
          <w:lang w:val="lt-LT"/>
        </w:rPr>
        <w:t xml:space="preserve">Svarbu paminėti, kad tuo atveju, jei nėra Susitarimo dėl Jungtinių Tautų </w:t>
      </w:r>
      <w:r w:rsidR="00540FA0">
        <w:rPr>
          <w:rStyle w:val="apple-style-span"/>
          <w:lang w:val="lt-LT"/>
        </w:rPr>
        <w:t xml:space="preserve"> </w:t>
      </w:r>
      <w:r w:rsidR="00F44BE9">
        <w:rPr>
          <w:rStyle w:val="apple-style-span"/>
          <w:lang w:val="lt-LT"/>
        </w:rPr>
        <w:t xml:space="preserve">pajėgų </w:t>
      </w:r>
      <w:r w:rsidRPr="0006604A">
        <w:rPr>
          <w:rStyle w:val="apple-style-span"/>
          <w:lang w:val="lt-LT"/>
        </w:rPr>
        <w:t>statuso arba jis neturi atitinkamų nuostatų, yra taikomos daugiašalės konvencijos, kurios taip pat reguliuoja jurisdikcijos klausimus. Viena iš jų</w:t>
      </w:r>
      <w:r w:rsidR="00BA4D14">
        <w:rPr>
          <w:rStyle w:val="apple-style-span"/>
          <w:lang w:val="lt-LT"/>
        </w:rPr>
        <w:t xml:space="preserve"> ‒ </w:t>
      </w:r>
      <w:r w:rsidRPr="0006604A">
        <w:rPr>
          <w:rStyle w:val="apple-style-span"/>
          <w:lang w:val="lt-LT"/>
        </w:rPr>
        <w:t>Jungtinių Tautų Konvencija dėl</w:t>
      </w:r>
      <w:r w:rsidR="001B6FC1">
        <w:rPr>
          <w:rStyle w:val="apple-style-span"/>
          <w:lang w:val="lt-LT"/>
        </w:rPr>
        <w:t xml:space="preserve"> privilegijų ir imuniteto</w:t>
      </w:r>
      <w:r w:rsidRPr="0006604A">
        <w:rPr>
          <w:rStyle w:val="apple-style-span"/>
          <w:lang w:val="lt-LT"/>
        </w:rPr>
        <w:t>.</w:t>
      </w:r>
      <w:r w:rsidRPr="0006604A">
        <w:rPr>
          <w:rStyle w:val="FootnoteReference"/>
          <w:rFonts w:eastAsiaTheme="majorEastAsia"/>
          <w:lang w:val="lt-LT"/>
        </w:rPr>
        <w:footnoteReference w:id="63"/>
      </w:r>
      <w:r w:rsidR="00D46C52">
        <w:rPr>
          <w:rStyle w:val="apple-style-span"/>
          <w:lang w:val="lt-LT"/>
        </w:rPr>
        <w:t xml:space="preserve"> Kitoje K</w:t>
      </w:r>
      <w:r w:rsidRPr="0006604A">
        <w:rPr>
          <w:rStyle w:val="apple-style-span"/>
          <w:lang w:val="lt-LT"/>
        </w:rPr>
        <w:t>onvencijoje d</w:t>
      </w:r>
      <w:r w:rsidR="006E6F0A">
        <w:rPr>
          <w:rStyle w:val="apple-style-span"/>
          <w:lang w:val="lt-LT"/>
        </w:rPr>
        <w:t>ėl Jungtinių Tautų ir susijusių  asmenų s</w:t>
      </w:r>
      <w:r w:rsidRPr="0006604A">
        <w:rPr>
          <w:rStyle w:val="apple-style-span"/>
          <w:lang w:val="lt-LT"/>
        </w:rPr>
        <w:t>augumo 5 straipsnyje įtvirtinta, kad Jungtinės Tautos ir šalis, kurioje įkurdinamos pajėgos</w:t>
      </w:r>
      <w:r w:rsidR="00BA4D14">
        <w:rPr>
          <w:rStyle w:val="apple-style-span"/>
          <w:lang w:val="lt-LT"/>
        </w:rPr>
        <w:t>,</w:t>
      </w:r>
      <w:r w:rsidRPr="0006604A">
        <w:rPr>
          <w:rStyle w:val="apple-style-span"/>
          <w:lang w:val="lt-LT"/>
        </w:rPr>
        <w:t xml:space="preserve"> turi kaip įmanoma greičiau sudaryti susitarimą </w:t>
      </w:r>
      <w:r w:rsidR="0006604A" w:rsidRPr="0006604A">
        <w:rPr>
          <w:rStyle w:val="apple-style-span"/>
          <w:lang w:val="lt-LT"/>
        </w:rPr>
        <w:t>dėl</w:t>
      </w:r>
      <w:r w:rsidRPr="0006604A">
        <w:rPr>
          <w:rStyle w:val="apple-style-span"/>
          <w:lang w:val="lt-LT"/>
        </w:rPr>
        <w:t xml:space="preserve"> Jungtinių Tautų operacijos ir jos narių statuso, </w:t>
      </w:r>
      <w:r w:rsidRPr="0006604A">
        <w:rPr>
          <w:rStyle w:val="apple-style-span"/>
          <w:i/>
          <w:lang w:val="lt-LT"/>
        </w:rPr>
        <w:t>inter alia</w:t>
      </w:r>
      <w:r w:rsidRPr="0006604A">
        <w:rPr>
          <w:rStyle w:val="apple-style-span"/>
          <w:lang w:val="lt-LT"/>
        </w:rPr>
        <w:t xml:space="preserve"> įtraukiant sąlygas, susijusias su privilegijomis ir imunitetais kariniams ir policijos komponentams.</w:t>
      </w:r>
      <w:r w:rsidR="00D46C52">
        <w:rPr>
          <w:rStyle w:val="FootnoteReference"/>
          <w:lang w:val="lt-LT"/>
        </w:rPr>
        <w:footnoteReference w:id="64"/>
      </w:r>
      <w:r w:rsidRPr="0006604A">
        <w:rPr>
          <w:rStyle w:val="apple-style-span"/>
          <w:lang w:val="lt-LT"/>
        </w:rPr>
        <w:t xml:space="preserve"> Tai patvirtina, kad jurisdikcijos klausimas užima ypatingą reikšmę ir kiekvienos taikos misijos metu privaloma išskirti atitinkamas nuostatas.</w:t>
      </w:r>
    </w:p>
    <w:p w:rsidR="00F234E7" w:rsidRPr="0006604A" w:rsidRDefault="00DF3E4A" w:rsidP="00A10187">
      <w:pPr>
        <w:spacing w:before="100" w:beforeAutospacing="1" w:after="100" w:afterAutospacing="1"/>
        <w:ind w:firstLine="851"/>
        <w:contextualSpacing/>
        <w:rPr>
          <w:rStyle w:val="apple-style-span"/>
          <w:lang w:val="lt-LT"/>
        </w:rPr>
      </w:pPr>
      <w:r>
        <w:rPr>
          <w:rStyle w:val="apple-style-span"/>
          <w:lang w:val="lt-LT"/>
        </w:rPr>
        <w:lastRenderedPageBreak/>
        <w:t xml:space="preserve"> </w:t>
      </w:r>
      <w:r w:rsidR="00F234E7" w:rsidRPr="0006604A">
        <w:rPr>
          <w:rStyle w:val="apple-style-span"/>
          <w:lang w:val="lt-LT"/>
        </w:rPr>
        <w:t>Chartijos 150 straipsnio 1 dalyje  minima: „Organizacija kiekvienos savo narės teritorijoje naudojasi tokiomis privilegijomis ir imunitetais, kurių būtinai reikia jos tikslams pasiekti.“ Galime teigti, jog šalies, kurioje įkurdinamos taikos misijos, imuniteto suteikimas ir jurisdikcijos atribojimas yra būtina prielaida Jungtinėms Tautoms efektyviai vykdyti savo funkcijas. Jungtinių Valstijų Aukščiausiojo Teismo byloje „</w:t>
      </w:r>
      <w:r w:rsidR="00F234E7" w:rsidRPr="0006604A">
        <w:rPr>
          <w:lang w:val="lt-LT"/>
        </w:rPr>
        <w:t>The Exchange v. McFaddon</w:t>
      </w:r>
      <w:r w:rsidR="00F234E7" w:rsidRPr="0006604A">
        <w:rPr>
          <w:rStyle w:val="apple-style-span"/>
          <w:lang w:val="lt-LT"/>
        </w:rPr>
        <w:t>“ aiškiai įtvirtinta, kad sutikimas įsileisti Jungtinių Tautų taikos misijos dalyvius yra pri</w:t>
      </w:r>
      <w:r w:rsidR="00D13866">
        <w:rPr>
          <w:rStyle w:val="apple-style-span"/>
          <w:lang w:val="lt-LT"/>
        </w:rPr>
        <w:t>elaida atsisakyti jurisdikcijos:</w:t>
      </w:r>
      <w:r w:rsidR="00F234E7" w:rsidRPr="0006604A">
        <w:rPr>
          <w:rStyle w:val="apple-style-span"/>
          <w:lang w:val="lt-LT"/>
        </w:rPr>
        <w:t xml:space="preserve"> </w:t>
      </w:r>
      <w:r w:rsidR="007A4A6D">
        <w:rPr>
          <w:rStyle w:val="apple-style-span"/>
          <w:lang w:val="lt-LT"/>
        </w:rPr>
        <w:t>„</w:t>
      </w:r>
      <w:r w:rsidR="00F234E7" w:rsidRPr="0006604A">
        <w:rPr>
          <w:rStyle w:val="apple-style-span"/>
          <w:lang w:val="lt-LT"/>
        </w:rPr>
        <w:t>Valstybės jurisdikcija savo teritorijoje</w:t>
      </w:r>
      <w:r w:rsidR="007A4A6D">
        <w:rPr>
          <w:rStyle w:val="apple-style-span"/>
          <w:lang w:val="lt-LT"/>
        </w:rPr>
        <w:t xml:space="preserve"> yra išimtinė ir absoliuti […] v</w:t>
      </w:r>
      <w:r w:rsidR="00F234E7" w:rsidRPr="0006604A">
        <w:rPr>
          <w:rStyle w:val="apple-style-span"/>
          <w:lang w:val="lt-LT"/>
        </w:rPr>
        <w:t>isos išimtys valstybės galioms savo teritorijoje negali būti paremtos jokiu kitu teisėtu šaltiniu, o tik pačios valstybės sutikimu.</w:t>
      </w:r>
      <w:r w:rsidR="007A4A6D">
        <w:rPr>
          <w:rStyle w:val="apple-style-span"/>
          <w:lang w:val="lt-LT"/>
        </w:rPr>
        <w:t>“</w:t>
      </w:r>
      <w:r w:rsidR="00F234E7" w:rsidRPr="0006604A">
        <w:rPr>
          <w:rStyle w:val="FootnoteReference"/>
          <w:rFonts w:eastAsiaTheme="majorEastAsia"/>
          <w:lang w:val="lt-LT"/>
        </w:rPr>
        <w:footnoteReference w:id="65"/>
      </w:r>
      <w:r w:rsidR="00F234E7" w:rsidRPr="0006604A">
        <w:rPr>
          <w:rStyle w:val="apple-style-span"/>
          <w:lang w:val="lt-LT"/>
        </w:rPr>
        <w:t xml:space="preserve"> Tai dar kartą patvirtina, kad šalis, kurioje įsteigiama taikos misija, išreikšdama</w:t>
      </w:r>
      <w:r w:rsidR="00D13866">
        <w:rPr>
          <w:rStyle w:val="apple-style-span"/>
          <w:lang w:val="lt-LT"/>
        </w:rPr>
        <w:t xml:space="preserve"> savo sutikimą</w:t>
      </w:r>
      <w:r w:rsidR="00F234E7" w:rsidRPr="0006604A">
        <w:rPr>
          <w:rStyle w:val="apple-style-span"/>
          <w:lang w:val="lt-LT"/>
        </w:rPr>
        <w:t xml:space="preserve"> sutinka netrukdyti Jungtinėms Tautoms siekti savo tikslų.</w:t>
      </w:r>
    </w:p>
    <w:p w:rsidR="00F234E7" w:rsidRPr="0006604A" w:rsidRDefault="00F234E7" w:rsidP="00A10187">
      <w:pPr>
        <w:spacing w:before="100" w:beforeAutospacing="1" w:after="100" w:afterAutospacing="1"/>
        <w:ind w:firstLine="851"/>
        <w:contextualSpacing/>
        <w:rPr>
          <w:rStyle w:val="apple-style-span"/>
          <w:lang w:val="lt-LT"/>
        </w:rPr>
      </w:pPr>
      <w:r w:rsidRPr="0006604A">
        <w:rPr>
          <w:rStyle w:val="apple-style-span"/>
          <w:lang w:val="lt-LT"/>
        </w:rPr>
        <w:t>Pagal Valstybių Atsakomybės už tarptautinės teisės pažeidimus straipsnių projekto (toliau Straipsnių projektas) 20 straipsnį sutikimas yra viena iš aplinkybių, šalinančių veikos neteisėtumą: „Vienos valstybės galiojantis sutikimas, kad kita valstybė atliktų tam tikrą veiką, pašalina šios kitos valstybės veikos neteisėtumą, tiek, kiek ši veika atitinka tokio sutikimo apimtį.“</w:t>
      </w:r>
      <w:r w:rsidRPr="0006604A">
        <w:rPr>
          <w:rStyle w:val="FootnoteReference"/>
          <w:rFonts w:eastAsiaTheme="majorEastAsia"/>
          <w:lang w:val="lt-LT"/>
        </w:rPr>
        <w:footnoteReference w:id="66"/>
      </w:r>
      <w:r w:rsidRPr="0006604A">
        <w:rPr>
          <w:rStyle w:val="apple-style-span"/>
          <w:lang w:val="lt-LT"/>
        </w:rPr>
        <w:t xml:space="preserve"> Šiame kontekste reikia išsiaiškinti, ar Jungtinių Tautų taikos misijų veiksmai gali būti priskiriami valstybės veiksmams. </w:t>
      </w:r>
      <w:r w:rsidR="00EC6114">
        <w:rPr>
          <w:rStyle w:val="apple-style-span"/>
          <w:lang w:val="lt-LT"/>
        </w:rPr>
        <w:t xml:space="preserve"> </w:t>
      </w:r>
      <w:r w:rsidRPr="0006604A">
        <w:rPr>
          <w:rStyle w:val="apple-style-span"/>
          <w:lang w:val="lt-LT"/>
        </w:rPr>
        <w:t>Profesorius Malcolm N. Shaw teigia, kad straipsnių projekto 5 straipsnis</w:t>
      </w:r>
      <w:r w:rsidRPr="0006604A">
        <w:rPr>
          <w:rStyle w:val="FootnoteReference"/>
          <w:rFonts w:eastAsiaTheme="majorEastAsia"/>
          <w:lang w:val="lt-LT"/>
        </w:rPr>
        <w:footnoteReference w:id="67"/>
      </w:r>
      <w:r w:rsidRPr="0006604A">
        <w:rPr>
          <w:rStyle w:val="apple-style-span"/>
          <w:lang w:val="lt-LT"/>
        </w:rPr>
        <w:t xml:space="preserve"> taip pat yra taikomas, kai valstybės organas ar agentas yra kito tarptautinio subjekto žinioje ir toje situacijoje tiek valstybė, tiek tarptautinis subjektas vykdo esminę to organo ar agento kontrolę.</w:t>
      </w:r>
      <w:r w:rsidRPr="0006604A">
        <w:rPr>
          <w:rStyle w:val="FootnoteReference"/>
          <w:rFonts w:eastAsiaTheme="majorEastAsia"/>
          <w:lang w:val="lt-LT"/>
        </w:rPr>
        <w:footnoteReference w:id="68"/>
      </w:r>
      <w:r w:rsidRPr="0006604A">
        <w:rPr>
          <w:rStyle w:val="apple-style-span"/>
          <w:lang w:val="lt-LT"/>
        </w:rPr>
        <w:t xml:space="preserve"> Tokia situacija atsiranda tada, kai valstybė siunčia savo karius dalyvauti Jungtinių Tautų taikos operacijose. Šiuo atveju tarptautinis subjektas yra Jungtinių Tautų Organizacija, kuri kaip ir siunčianti valstybė vykdo karių kontrolę. Kariuomenės atžvilgiu tiek valstybė, tiek Jungtinės Tautos vykdo atitinkamą jurisdikciją. </w:t>
      </w:r>
      <w:r w:rsidR="0006604A" w:rsidRPr="0006604A">
        <w:rPr>
          <w:rStyle w:val="apple-style-span"/>
          <w:lang w:val="lt-LT"/>
        </w:rPr>
        <w:t xml:space="preserve">Todėl valstybės laisva valia duotas sutikimas pašalina Jungtinių Tautų taikos misijų veikos neteisėtumą tiek, kiek ta veika apima sutikimo turinį. </w:t>
      </w:r>
    </w:p>
    <w:p w:rsidR="00F234E7" w:rsidRPr="007627EE" w:rsidRDefault="00F234E7" w:rsidP="00A10187">
      <w:pPr>
        <w:spacing w:before="100" w:beforeAutospacing="1" w:after="100" w:afterAutospacing="1"/>
        <w:ind w:firstLine="851"/>
        <w:contextualSpacing/>
        <w:rPr>
          <w:rStyle w:val="apple-style-span"/>
          <w:color w:val="FF0000"/>
          <w:lang w:val="lt-LT"/>
        </w:rPr>
      </w:pPr>
      <w:r w:rsidRPr="0006604A">
        <w:rPr>
          <w:rStyle w:val="apple-style-span"/>
          <w:lang w:val="lt-LT"/>
        </w:rPr>
        <w:t>Apibendrinant galima teigti, kad šalies, k</w:t>
      </w:r>
      <w:r w:rsidR="000B0AA3">
        <w:rPr>
          <w:rStyle w:val="apple-style-span"/>
          <w:lang w:val="lt-LT"/>
        </w:rPr>
        <w:t>urioje įkuriamos taikos misijos,</w:t>
      </w:r>
      <w:r w:rsidRPr="0006604A">
        <w:rPr>
          <w:rStyle w:val="apple-style-span"/>
          <w:lang w:val="lt-LT"/>
        </w:rPr>
        <w:t xml:space="preserve"> sutikimas svarbus keliais aspektais. Visų pirma</w:t>
      </w:r>
      <w:r w:rsidR="00BC7BDB">
        <w:rPr>
          <w:rStyle w:val="apple-style-span"/>
          <w:lang w:val="lt-LT"/>
        </w:rPr>
        <w:t>,</w:t>
      </w:r>
      <w:r w:rsidRPr="0006604A">
        <w:rPr>
          <w:rStyle w:val="apple-style-span"/>
          <w:lang w:val="lt-LT"/>
        </w:rPr>
        <w:t xml:space="preserve"> tai suteikia politinę ir fizinę taikos misijų dalyvių laisvę. Antra, </w:t>
      </w:r>
      <w:r w:rsidRPr="000B0AA3">
        <w:rPr>
          <w:rStyle w:val="apple-style-span"/>
          <w:lang w:val="lt-LT"/>
        </w:rPr>
        <w:t>valstybė išreikšdama sutikimą ne tik sutinka su Jungtinių Tautų vykdomu politiniu procesu, tačiau ir  netrukdomai duoda laisvę efektyviai vykdyti jiems skirtus įgaliojimus pritardama jų turimom privilegijom bei imuniteto egzistavimui iš ko seka, kad valstybė atsisako savo baudžiamosios ir</w:t>
      </w:r>
      <w:r w:rsidRPr="007627EE">
        <w:rPr>
          <w:rStyle w:val="apple-style-span"/>
          <w:color w:val="FF0000"/>
          <w:lang w:val="lt-LT"/>
        </w:rPr>
        <w:t xml:space="preserve"> </w:t>
      </w:r>
      <w:r w:rsidRPr="000B0AA3">
        <w:rPr>
          <w:rStyle w:val="apple-style-span"/>
          <w:lang w:val="lt-LT"/>
        </w:rPr>
        <w:lastRenderedPageBreak/>
        <w:t>civilinės jurisdikcijos, kiek tai susiję su oficialių taikos misijos dalyvių funkcijų vykdymu. Trečia, valstybė</w:t>
      </w:r>
      <w:r w:rsidR="000B0AA3">
        <w:rPr>
          <w:rStyle w:val="apple-style-span"/>
          <w:lang w:val="lt-LT"/>
        </w:rPr>
        <w:t>s laisva valia duotas sutikimas</w:t>
      </w:r>
      <w:r w:rsidRPr="000B0AA3">
        <w:rPr>
          <w:rStyle w:val="apple-style-span"/>
          <w:lang w:val="lt-LT"/>
        </w:rPr>
        <w:t xml:space="preserve"> pašalina veikos neteisėtumą, kiek tai apima to sutikimo turinį.</w:t>
      </w:r>
    </w:p>
    <w:p w:rsidR="00F234E7" w:rsidRPr="0006604A" w:rsidRDefault="00F234E7" w:rsidP="00113D43">
      <w:pPr>
        <w:pStyle w:val="Heading2"/>
        <w:numPr>
          <w:ilvl w:val="2"/>
          <w:numId w:val="2"/>
        </w:numPr>
        <w:ind w:left="709" w:hanging="709"/>
        <w:rPr>
          <w:sz w:val="24"/>
          <w:szCs w:val="24"/>
          <w:lang w:val="lt-LT"/>
        </w:rPr>
      </w:pPr>
      <w:bookmarkStart w:id="13" w:name="_Toc280556716"/>
      <w:bookmarkStart w:id="14" w:name="_Toc280807835"/>
      <w:r w:rsidRPr="0006604A">
        <w:rPr>
          <w:sz w:val="24"/>
          <w:szCs w:val="24"/>
          <w:lang w:val="lt-LT"/>
        </w:rPr>
        <w:t>Neutralumas</w:t>
      </w:r>
      <w:bookmarkEnd w:id="13"/>
      <w:bookmarkEnd w:id="14"/>
    </w:p>
    <w:p w:rsidR="00F234E7" w:rsidRPr="0006604A" w:rsidRDefault="000B0AA3" w:rsidP="007B0C15">
      <w:pPr>
        <w:spacing w:before="100" w:beforeAutospacing="1" w:after="100" w:afterAutospacing="1"/>
        <w:ind w:firstLine="851"/>
        <w:contextualSpacing/>
        <w:rPr>
          <w:lang w:val="lt-LT"/>
        </w:rPr>
      </w:pPr>
      <w:r>
        <w:rPr>
          <w:lang w:val="lt-LT"/>
        </w:rPr>
        <w:t xml:space="preserve">Profesorius </w:t>
      </w:r>
      <w:r w:rsidR="00F234E7" w:rsidRPr="0006604A">
        <w:rPr>
          <w:lang w:val="lt-LT"/>
        </w:rPr>
        <w:t>Manuel F</w:t>
      </w:r>
      <w:r>
        <w:rPr>
          <w:lang w:val="lt-LT"/>
        </w:rPr>
        <w:t xml:space="preserve">röhlich </w:t>
      </w:r>
      <w:r w:rsidR="00F234E7" w:rsidRPr="0006604A">
        <w:rPr>
          <w:lang w:val="lt-LT"/>
        </w:rPr>
        <w:t>cituoja Generalinio Sekretoriaus Dag Hammarskjold ataskaitą: „Kariai negali atlikti funkcijų, viršijančių tų, kurios būtinos užtikrinti taikias sąlygas.“</w:t>
      </w:r>
      <w:r w:rsidR="00F234E7" w:rsidRPr="0006604A">
        <w:rPr>
          <w:rStyle w:val="FootnoteReference"/>
          <w:rFonts w:eastAsiaTheme="majorEastAsia"/>
          <w:lang w:val="lt-LT"/>
        </w:rPr>
        <w:footnoteReference w:id="69"/>
      </w:r>
      <w:r w:rsidR="00F234E7" w:rsidRPr="0006604A">
        <w:rPr>
          <w:lang w:val="lt-LT"/>
        </w:rPr>
        <w:t xml:space="preserve"> Vadinasi</w:t>
      </w:r>
      <w:r w:rsidR="00F3158C">
        <w:rPr>
          <w:lang w:val="lt-LT"/>
        </w:rPr>
        <w:t>,</w:t>
      </w:r>
      <w:r w:rsidR="00F234E7" w:rsidRPr="0006604A">
        <w:rPr>
          <w:lang w:val="lt-LT"/>
        </w:rPr>
        <w:t xml:space="preserve"> taikos misija turi išlaikyti savo neutralumą – antrąjį pamatinį taikos misijos pr</w:t>
      </w:r>
      <w:r w:rsidR="00F3158C">
        <w:rPr>
          <w:lang w:val="lt-LT"/>
        </w:rPr>
        <w:t>incipą. Toliau analizuojame šio</w:t>
      </w:r>
      <w:r w:rsidR="00F234E7" w:rsidRPr="0006604A">
        <w:rPr>
          <w:lang w:val="lt-LT"/>
        </w:rPr>
        <w:t xml:space="preserve"> principo turinį ir sąveiką su kitais taikos misijų principais.</w:t>
      </w:r>
    </w:p>
    <w:p w:rsidR="00F234E7" w:rsidRPr="0006604A" w:rsidRDefault="00F234E7" w:rsidP="007B0C15">
      <w:pPr>
        <w:spacing w:before="100" w:beforeAutospacing="1" w:after="100" w:afterAutospacing="1"/>
        <w:ind w:firstLine="851"/>
        <w:contextualSpacing/>
        <w:rPr>
          <w:rStyle w:val="apple-style-span"/>
          <w:lang w:val="lt-LT"/>
        </w:rPr>
      </w:pPr>
      <w:r w:rsidRPr="0006604A">
        <w:rPr>
          <w:rStyle w:val="apple-style-span"/>
          <w:color w:val="000000"/>
          <w:lang w:val="lt-LT"/>
        </w:rPr>
        <w:t>Nors literatūroje neutralumo ir nešališkumo principai dažnai vartojami kaip sinonimai, svarbu paminėti, jog jie susiję su skirtingais taikos misijų aspektais.</w:t>
      </w:r>
      <w:r w:rsidRPr="0006604A">
        <w:rPr>
          <w:rStyle w:val="apple-style-span"/>
          <w:color w:val="0000FF"/>
          <w:lang w:val="lt-LT"/>
        </w:rPr>
        <w:t xml:space="preserve"> </w:t>
      </w:r>
      <w:r w:rsidRPr="0006604A">
        <w:rPr>
          <w:rStyle w:val="apple-style-span"/>
          <w:lang w:val="lt-LT"/>
        </w:rPr>
        <w:t>Neutralumas susijęs su taikos misijos pobūdžiu, tuo tarpu nešališkumas su taikos misijos vykdymo pobūdžiu, t.y. su taikos misijų dalyvių elgesiu operacijų metu.</w:t>
      </w:r>
      <w:r w:rsidRPr="0006604A">
        <w:rPr>
          <w:rStyle w:val="FootnoteReference"/>
          <w:rFonts w:eastAsiaTheme="majorEastAsia"/>
          <w:lang w:val="lt-LT"/>
        </w:rPr>
        <w:footnoteReference w:id="70"/>
      </w:r>
    </w:p>
    <w:p w:rsidR="00F234E7" w:rsidRPr="0006604A" w:rsidRDefault="00F234E7" w:rsidP="007B0C15">
      <w:pPr>
        <w:spacing w:before="100" w:beforeAutospacing="1" w:after="100" w:afterAutospacing="1"/>
        <w:ind w:firstLine="851"/>
        <w:contextualSpacing/>
        <w:rPr>
          <w:rStyle w:val="apple-style-span"/>
          <w:color w:val="0000FF"/>
          <w:lang w:val="lt-LT"/>
        </w:rPr>
      </w:pPr>
      <w:r w:rsidRPr="0006604A">
        <w:rPr>
          <w:rStyle w:val="apple-style-span"/>
          <w:lang w:val="lt-LT"/>
        </w:rPr>
        <w:t>Tiek sprendžiant konfliktus tradiciniu būdu, tiek atliekant</w:t>
      </w:r>
      <w:r w:rsidR="000B0AA3">
        <w:rPr>
          <w:rStyle w:val="apple-style-span"/>
          <w:lang w:val="lt-LT"/>
        </w:rPr>
        <w:t xml:space="preserve"> platesnio masto taikos misijas,</w:t>
      </w:r>
      <w:r w:rsidRPr="0006604A">
        <w:rPr>
          <w:rStyle w:val="apple-style-span"/>
          <w:lang w:val="lt-LT"/>
        </w:rPr>
        <w:t xml:space="preserve"> Jungtinių Tautų  pajėgos privalo išlikti nešališkomis. Tai užtikrina vieną i</w:t>
      </w:r>
      <w:r w:rsidR="006C5A69">
        <w:rPr>
          <w:rStyle w:val="apple-style-span"/>
          <w:lang w:val="lt-LT"/>
        </w:rPr>
        <w:t xml:space="preserve">š svarbiausiųjų </w:t>
      </w:r>
      <w:r w:rsidRPr="0006604A">
        <w:rPr>
          <w:rStyle w:val="apple-style-span"/>
          <w:lang w:val="lt-LT"/>
        </w:rPr>
        <w:t>Chartijoje minimų principų – valstybių suverenios lygybės principo gerbimą. Todėl taikos misijos dalyviai turi tapti objektyvia trečiąja šalimi. Jie negali remti nei vienos</w:t>
      </w:r>
      <w:r w:rsidR="00957E91">
        <w:rPr>
          <w:rStyle w:val="apple-style-span"/>
          <w:lang w:val="lt-LT"/>
        </w:rPr>
        <w:t xml:space="preserve"> iš konfliktuojančių šalių bei </w:t>
      </w:r>
      <w:r w:rsidRPr="0006604A">
        <w:rPr>
          <w:rStyle w:val="apple-style-span"/>
          <w:lang w:val="lt-LT"/>
        </w:rPr>
        <w:t>turėti kokį nors išankstinį nusistatymą dėl įsitraukusių į konfliktą šalių.</w:t>
      </w:r>
      <w:r w:rsidRPr="0006604A">
        <w:rPr>
          <w:rStyle w:val="apple-style-span"/>
          <w:color w:val="0000FF"/>
          <w:lang w:val="lt-LT"/>
        </w:rPr>
        <w:t xml:space="preserve"> </w:t>
      </w:r>
      <w:r w:rsidRPr="0006604A">
        <w:rPr>
          <w:rStyle w:val="apple-style-span"/>
          <w:color w:val="000000"/>
          <w:lang w:val="lt-LT"/>
        </w:rPr>
        <w:t xml:space="preserve">Taikos misijų dalyvių nešališkumas atsiskleidžia ir tada, </w:t>
      </w:r>
      <w:r w:rsidRPr="0006604A">
        <w:rPr>
          <w:rStyle w:val="apple-style-span"/>
          <w:lang w:val="lt-LT"/>
        </w:rPr>
        <w:t>kai jėga naudojama tik savigynos atveju.</w:t>
      </w:r>
      <w:r w:rsidR="00F850FB">
        <w:rPr>
          <w:rStyle w:val="apple-style-span"/>
          <w:color w:val="000000"/>
          <w:lang w:val="lt-LT"/>
        </w:rPr>
        <w:t xml:space="preserve"> T</w:t>
      </w:r>
      <w:r w:rsidR="00706B39">
        <w:rPr>
          <w:rStyle w:val="apple-style-span"/>
          <w:color w:val="000000"/>
          <w:lang w:val="lt-LT"/>
        </w:rPr>
        <w:t>odėl šie du</w:t>
      </w:r>
      <w:r w:rsidRPr="0006604A">
        <w:rPr>
          <w:rStyle w:val="apple-style-span"/>
          <w:color w:val="000000"/>
          <w:lang w:val="lt-LT"/>
        </w:rPr>
        <w:t xml:space="preserve"> taikos </w:t>
      </w:r>
      <w:r w:rsidR="00F850FB">
        <w:rPr>
          <w:rStyle w:val="apple-style-span"/>
          <w:color w:val="000000"/>
          <w:lang w:val="lt-LT"/>
        </w:rPr>
        <w:t xml:space="preserve">misijų </w:t>
      </w:r>
      <w:r w:rsidRPr="0006604A">
        <w:rPr>
          <w:rStyle w:val="apple-style-span"/>
          <w:color w:val="000000"/>
          <w:lang w:val="lt-LT"/>
        </w:rPr>
        <w:t xml:space="preserve">principai yra tarpusavyje susiję. Tuo atveju, jeigu ginklai būtų naudojami ne savigynai, o kitiems tikslams, taikos misijos dalyviai taptų ginčo šalimi, o ne objektyviu trečiuoju asmeniu. </w:t>
      </w:r>
    </w:p>
    <w:p w:rsidR="00F234E7" w:rsidRPr="0006604A" w:rsidRDefault="00F234E7" w:rsidP="007B0C15">
      <w:pPr>
        <w:spacing w:before="100" w:beforeAutospacing="1" w:after="100" w:afterAutospacing="1"/>
        <w:ind w:firstLine="851"/>
        <w:contextualSpacing/>
        <w:rPr>
          <w:rStyle w:val="apple-style-span"/>
          <w:lang w:val="lt-LT"/>
        </w:rPr>
      </w:pPr>
      <w:r w:rsidRPr="0006604A">
        <w:rPr>
          <w:rStyle w:val="apple-style-span"/>
          <w:lang w:val="lt-LT"/>
        </w:rPr>
        <w:t>Neutralumas yra būtina sąlyga norint užtikrinti taikos misijų dalyvių saugumą, o taip pat sąlyga gauti valstybės sutikimą. Pavyzdiniame susitar</w:t>
      </w:r>
      <w:r w:rsidR="00234FD2">
        <w:rPr>
          <w:rStyle w:val="apple-style-span"/>
          <w:lang w:val="lt-LT"/>
        </w:rPr>
        <w:t>ime dėl Jungtinių Tautų pajėgų s</w:t>
      </w:r>
      <w:r w:rsidRPr="0006604A">
        <w:rPr>
          <w:rStyle w:val="apple-style-span"/>
          <w:lang w:val="lt-LT"/>
        </w:rPr>
        <w:t>tatuso 6 punkte teigiama: „Jungtinių Tautų taikos misijų operacijų nariai turi susilaikyti nuo veiksmų, kurie yra nesuderinami su objektyviu jų pareigų vykdymu ar nesuderinami su dabartinio susitarimo esme.“</w:t>
      </w:r>
      <w:r w:rsidRPr="0006604A">
        <w:rPr>
          <w:rStyle w:val="FootnoteReference"/>
          <w:rFonts w:eastAsiaTheme="majorEastAsia"/>
          <w:lang w:val="lt-LT"/>
        </w:rPr>
        <w:footnoteReference w:id="71"/>
      </w:r>
      <w:r w:rsidRPr="0006604A">
        <w:rPr>
          <w:rStyle w:val="apple-style-span"/>
          <w:lang w:val="lt-LT"/>
        </w:rPr>
        <w:t xml:space="preserve"> Šis susitarimas</w:t>
      </w:r>
      <w:r w:rsidR="00D9265A">
        <w:rPr>
          <w:rStyle w:val="apple-style-span"/>
          <w:lang w:val="lt-LT"/>
        </w:rPr>
        <w:t>,</w:t>
      </w:r>
      <w:r w:rsidRPr="0006604A">
        <w:rPr>
          <w:rStyle w:val="apple-style-span"/>
          <w:lang w:val="lt-LT"/>
        </w:rPr>
        <w:t xml:space="preserve"> kaip valstybės sutikimo įsileisti taikos misiją elementas</w:t>
      </w:r>
      <w:r w:rsidR="00D9265A">
        <w:rPr>
          <w:rStyle w:val="apple-style-span"/>
          <w:lang w:val="lt-LT"/>
        </w:rPr>
        <w:t>,</w:t>
      </w:r>
      <w:r w:rsidRPr="0006604A">
        <w:rPr>
          <w:rStyle w:val="apple-style-span"/>
          <w:lang w:val="lt-LT"/>
        </w:rPr>
        <w:t xml:space="preserve"> parodo, kad </w:t>
      </w:r>
      <w:r w:rsidRPr="0006604A">
        <w:rPr>
          <w:rStyle w:val="apple-style-span"/>
          <w:lang w:val="lt-LT"/>
        </w:rPr>
        <w:lastRenderedPageBreak/>
        <w:t>nešališka Jungtinių Tautų karių pozicija yra pagrindas ne tik gauti valstybės sutikimą, bet jį išlaikyti ir visos misijos metu.</w:t>
      </w:r>
    </w:p>
    <w:p w:rsidR="00F234E7" w:rsidRPr="0006604A" w:rsidRDefault="00F234E7" w:rsidP="007B0C15">
      <w:pPr>
        <w:spacing w:before="100" w:beforeAutospacing="1" w:after="100" w:afterAutospacing="1"/>
        <w:ind w:firstLine="851"/>
        <w:contextualSpacing/>
        <w:rPr>
          <w:rStyle w:val="apple-style-span"/>
          <w:color w:val="000000"/>
          <w:lang w:val="lt-LT"/>
        </w:rPr>
      </w:pPr>
      <w:r w:rsidRPr="0006604A">
        <w:rPr>
          <w:rStyle w:val="apple-style-span"/>
          <w:color w:val="000000"/>
          <w:lang w:val="lt-LT"/>
        </w:rPr>
        <w:t xml:space="preserve">Neutralumo principo sąsaja su prieš tai minėtu principu padeda atskirti taikos misiją nuo priverstinio taikos vykdymo. Priverstinio vykdymo metu  Saugumo Taryba tampa šališka. Ji palaiko tą konfliktuojančių šalių pusę, prieš kurią nukreipti valstybės agresorės veiksmai. Priverstinio vykdymo metu taikos misijos dalyviai turi sutikti su Saugumo Tarybos sprendimais ir juos vykdyti. Tą atskleidžia ir Chartijos 25 straipsnis: “Jungtinių Tautų narės, </w:t>
      </w:r>
      <w:r w:rsidR="001A1346">
        <w:rPr>
          <w:rStyle w:val="apple-style-span"/>
          <w:color w:val="000000"/>
          <w:lang w:val="lt-LT"/>
        </w:rPr>
        <w:t>remdamosi</w:t>
      </w:r>
      <w:r w:rsidRPr="0006604A">
        <w:rPr>
          <w:rStyle w:val="apple-style-span"/>
          <w:color w:val="000000"/>
          <w:lang w:val="lt-LT"/>
        </w:rPr>
        <w:t xml:space="preserve"> šia Chartija, sutinka paklusti Saugumo Tarybos nutarimams ir juos vykdyti”. Todėl, kai Saugumo Taryba</w:t>
      </w:r>
      <w:r w:rsidR="00E2109C">
        <w:rPr>
          <w:rStyle w:val="apple-style-span"/>
          <w:color w:val="000000"/>
          <w:lang w:val="lt-LT"/>
        </w:rPr>
        <w:t>,</w:t>
      </w:r>
      <w:r w:rsidRPr="0006604A">
        <w:rPr>
          <w:rStyle w:val="apple-style-span"/>
          <w:color w:val="000000"/>
          <w:lang w:val="lt-LT"/>
        </w:rPr>
        <w:t xml:space="preserve"> įgaliodama prievarta paklusti politiniam sprendimui</w:t>
      </w:r>
      <w:r w:rsidR="00E2109C">
        <w:rPr>
          <w:rStyle w:val="apple-style-span"/>
          <w:color w:val="000000"/>
          <w:lang w:val="lt-LT"/>
        </w:rPr>
        <w:t>,</w:t>
      </w:r>
      <w:r w:rsidRPr="0006604A">
        <w:rPr>
          <w:rStyle w:val="apple-style-span"/>
          <w:color w:val="000000"/>
          <w:lang w:val="lt-LT"/>
        </w:rPr>
        <w:t xml:space="preserve"> paverčia taikos misijos dalyvius konflikto šalimi, neutralumo principas nebegali būti taikomas. Nors valst</w:t>
      </w:r>
      <w:r w:rsidR="00B83BE1">
        <w:rPr>
          <w:rStyle w:val="apple-style-span"/>
          <w:color w:val="000000"/>
          <w:lang w:val="lt-LT"/>
        </w:rPr>
        <w:t>ybės narės įsipareigoja gerbti prieš tai minėtus</w:t>
      </w:r>
      <w:r w:rsidRPr="0006604A">
        <w:rPr>
          <w:rStyle w:val="apple-style-span"/>
          <w:color w:val="000000"/>
          <w:lang w:val="lt-LT"/>
        </w:rPr>
        <w:t xml:space="preserve"> Chartijoje įtvirtintus principus</w:t>
      </w:r>
      <w:r w:rsidR="00B83BE1">
        <w:rPr>
          <w:rStyle w:val="apple-style-span"/>
          <w:color w:val="000000"/>
          <w:lang w:val="lt-LT"/>
        </w:rPr>
        <w:t>,</w:t>
      </w:r>
      <w:r w:rsidRPr="0006604A">
        <w:rPr>
          <w:rStyle w:val="apple-style-span"/>
          <w:color w:val="000000"/>
          <w:lang w:val="lt-LT"/>
        </w:rPr>
        <w:t xml:space="preserve"> kaip suvereni lygybė ir nesikišimas į kitos valstybės reikalus, tačiau realios grėsmės buvimas į pirmąją vietą iškelia tarptautinę taiką ir saugumą, o Chartijos VII skyriaus 42 straipsnis suteikia teisinį pagrindą naudoti jėgą.</w:t>
      </w:r>
    </w:p>
    <w:p w:rsidR="00F234E7" w:rsidRPr="007627EE" w:rsidRDefault="006A1080" w:rsidP="007B0C15">
      <w:pPr>
        <w:spacing w:before="100" w:beforeAutospacing="1" w:after="100" w:afterAutospacing="1"/>
        <w:ind w:firstLine="851"/>
        <w:contextualSpacing/>
        <w:rPr>
          <w:rStyle w:val="apple-style-span"/>
          <w:color w:val="FF0000"/>
          <w:lang w:val="lt-LT"/>
        </w:rPr>
      </w:pPr>
      <w:r>
        <w:rPr>
          <w:rStyle w:val="apple-style-span"/>
          <w:color w:val="000000"/>
          <w:lang w:val="lt-LT"/>
        </w:rPr>
        <w:t xml:space="preserve">Apibendrinant </w:t>
      </w:r>
      <w:r w:rsidR="00A6052A">
        <w:rPr>
          <w:rStyle w:val="apple-style-span"/>
          <w:color w:val="000000"/>
          <w:lang w:val="lt-LT"/>
        </w:rPr>
        <w:t>šį poskyrį darome išvadą</w:t>
      </w:r>
      <w:r>
        <w:rPr>
          <w:rStyle w:val="apple-style-span"/>
          <w:color w:val="000000"/>
          <w:lang w:val="lt-LT"/>
        </w:rPr>
        <w:t xml:space="preserve">, kad </w:t>
      </w:r>
      <w:r w:rsidRPr="00E2109C">
        <w:rPr>
          <w:rStyle w:val="apple-style-span"/>
          <w:lang w:val="lt-LT"/>
        </w:rPr>
        <w:t>n</w:t>
      </w:r>
      <w:r w:rsidR="00F234E7" w:rsidRPr="00E2109C">
        <w:rPr>
          <w:rStyle w:val="apple-style-span"/>
          <w:lang w:val="lt-LT"/>
        </w:rPr>
        <w:t>eutralumo principas neatsiejamai susijęs su kitais dviem principais. Jo egzistavimas yra būtina sąlyga gauti valstybės sutikimą, jį išlaikyti. Neturint sutikimo</w:t>
      </w:r>
      <w:r w:rsidR="00E2109C">
        <w:rPr>
          <w:rStyle w:val="apple-style-span"/>
          <w:lang w:val="lt-LT"/>
        </w:rPr>
        <w:t xml:space="preserve"> ir vykdant priverstinį vykdymą</w:t>
      </w:r>
      <w:r w:rsidR="00F234E7" w:rsidRPr="00E2109C">
        <w:rPr>
          <w:rStyle w:val="apple-style-span"/>
          <w:lang w:val="lt-LT"/>
        </w:rPr>
        <w:t xml:space="preserve"> analogiškai išnyksta ir taikos misijos neutralumas. </w:t>
      </w:r>
      <w:r w:rsidR="00E2109C">
        <w:rPr>
          <w:rStyle w:val="apple-style-span"/>
          <w:lang w:val="lt-LT"/>
        </w:rPr>
        <w:t xml:space="preserve">Tuo tarpu trečiasis principas ‒ </w:t>
      </w:r>
      <w:r w:rsidR="00F234E7" w:rsidRPr="00E2109C">
        <w:rPr>
          <w:rStyle w:val="apple-style-span"/>
          <w:lang w:val="lt-LT"/>
        </w:rPr>
        <w:t>ginklo naudojimas neperžengiant savigynos ribų, kartu reiškia ir taikos misijos neutralumo buvimą.</w:t>
      </w:r>
    </w:p>
    <w:p w:rsidR="00F234E7" w:rsidRPr="0006604A" w:rsidRDefault="00F234E7" w:rsidP="00113D43">
      <w:pPr>
        <w:pStyle w:val="Heading2"/>
        <w:numPr>
          <w:ilvl w:val="2"/>
          <w:numId w:val="2"/>
        </w:numPr>
        <w:ind w:left="709" w:hanging="709"/>
        <w:rPr>
          <w:sz w:val="24"/>
          <w:szCs w:val="24"/>
          <w:lang w:val="lt-LT"/>
        </w:rPr>
      </w:pPr>
      <w:bookmarkStart w:id="15" w:name="_Toc280556717"/>
      <w:bookmarkStart w:id="16" w:name="_Toc280807836"/>
      <w:r w:rsidRPr="0006604A">
        <w:rPr>
          <w:sz w:val="24"/>
          <w:szCs w:val="24"/>
          <w:lang w:val="lt-LT"/>
        </w:rPr>
        <w:t>Jėgos panaudojimas savigynai</w:t>
      </w:r>
      <w:bookmarkEnd w:id="15"/>
      <w:bookmarkEnd w:id="16"/>
    </w:p>
    <w:p w:rsidR="00F234E7" w:rsidRPr="0006604A" w:rsidRDefault="00F234E7" w:rsidP="007B0C15">
      <w:pPr>
        <w:spacing w:before="100" w:beforeAutospacing="1" w:after="100" w:afterAutospacing="1"/>
        <w:ind w:firstLine="851"/>
        <w:contextualSpacing/>
        <w:rPr>
          <w:rStyle w:val="apple-style-span"/>
          <w:lang w:val="lt-LT"/>
        </w:rPr>
      </w:pPr>
      <w:r w:rsidRPr="0006604A">
        <w:rPr>
          <w:rStyle w:val="apple-style-span"/>
          <w:lang w:val="lt-LT"/>
        </w:rPr>
        <w:t>Jėgos panaudojimas savigynai – trečiasis pamatinis taikos misijų principas. N</w:t>
      </w:r>
      <w:r w:rsidR="00E42170">
        <w:rPr>
          <w:rStyle w:val="apple-style-span"/>
          <w:lang w:val="lt-LT"/>
        </w:rPr>
        <w:t>orint suvokti jo esminę reikšmę</w:t>
      </w:r>
      <w:r w:rsidRPr="0006604A">
        <w:rPr>
          <w:rStyle w:val="apple-style-span"/>
          <w:lang w:val="lt-LT"/>
        </w:rPr>
        <w:t xml:space="preserve"> turime išsiaiškinti, kokios jėgos panaudojimo savigynai ribos, koks šio principo santykis su prieš tai minėtais principais, taip pat</w:t>
      </w:r>
      <w:r w:rsidR="00E42170">
        <w:rPr>
          <w:rStyle w:val="apple-style-span"/>
          <w:lang w:val="lt-LT"/>
        </w:rPr>
        <w:t>,</w:t>
      </w:r>
      <w:r w:rsidRPr="0006604A">
        <w:rPr>
          <w:rStyle w:val="apple-style-span"/>
          <w:lang w:val="lt-LT"/>
        </w:rPr>
        <w:t xml:space="preserve"> kada jėgos panaudojimas savigynai yra laikomas teisėtu. Kadangi šis principas susijęs su jėgos panaudojimu, svarbu išanalizuoti humanitarinės teisės taikymo apimtį.</w:t>
      </w:r>
    </w:p>
    <w:p w:rsidR="00F234E7" w:rsidRPr="0006604A" w:rsidRDefault="00F234E7" w:rsidP="007B0C15">
      <w:pPr>
        <w:spacing w:before="100" w:beforeAutospacing="1" w:after="100" w:afterAutospacing="1"/>
        <w:ind w:firstLine="851"/>
        <w:contextualSpacing/>
        <w:rPr>
          <w:rStyle w:val="apple-style-span"/>
          <w:lang w:val="lt-LT"/>
        </w:rPr>
      </w:pPr>
      <w:r w:rsidRPr="0006604A">
        <w:rPr>
          <w:rStyle w:val="apple-style-span"/>
          <w:lang w:val="lt-LT"/>
        </w:rPr>
        <w:t>Šis principas atsirado pirmosios tradicinės taikos operacijos metu, vyraujant kitokio pobūdžio konfliktams, todėl neatsitiktinai jis buvo suprantamas daug siauriau. Jungtinių Tautų Generalinis Sekretorius teigė, kad teisėtu jėgos panaudojimu savigynai laikoma situacija, kai yra vykdomi atsakomieji veiksmai į tiesioginę kitos šalies ataką, kuri naudoja mirtiną ginklą.</w:t>
      </w:r>
      <w:r w:rsidRPr="0006604A">
        <w:rPr>
          <w:rStyle w:val="FootnoteReference"/>
          <w:rFonts w:eastAsiaTheme="majorEastAsia"/>
          <w:lang w:val="lt-LT"/>
        </w:rPr>
        <w:footnoteReference w:id="72"/>
      </w:r>
      <w:r w:rsidRPr="0006604A">
        <w:rPr>
          <w:rStyle w:val="apple-style-span"/>
          <w:lang w:val="lt-LT"/>
        </w:rPr>
        <w:t xml:space="preserve"> Toks jėgos apribojimas savigynai yra pateisinamas, kai šalis, kurioje įkurdinama taikos misija, noriai įsitraukia į konflikto sprendimą, t.y. bendradarbiauja ir nesipriešina Jungtinių Tautų taikos misijų </w:t>
      </w:r>
      <w:r w:rsidRPr="0006604A">
        <w:rPr>
          <w:rStyle w:val="apple-style-span"/>
          <w:lang w:val="lt-LT"/>
        </w:rPr>
        <w:lastRenderedPageBreak/>
        <w:t xml:space="preserve">vykdomiems veiksmams. Tačiau atsiradus sudėtingesniems konfliktams – civiliniams karams, išsiplėtus misijos įgaliojimams, esant dideliam vietinės valdžios pasipriešinimui, jėgos panaudojimo savigynai principas išsiplečia. Todėl šiomis dienomis jis yra suprantamas ne tik kaip teisė į individualią gynybą, tačiau apima ir pačios taikos misijos įgaliojimų gynybą. </w:t>
      </w:r>
    </w:p>
    <w:p w:rsidR="00F234E7" w:rsidRPr="0006604A" w:rsidRDefault="00F234E7" w:rsidP="007B0C15">
      <w:pPr>
        <w:spacing w:before="100" w:beforeAutospacing="1" w:after="100" w:afterAutospacing="1"/>
        <w:ind w:firstLine="851"/>
        <w:contextualSpacing/>
        <w:rPr>
          <w:rStyle w:val="apple-style-span"/>
          <w:lang w:val="lt-LT"/>
        </w:rPr>
      </w:pPr>
      <w:r w:rsidRPr="0006604A">
        <w:rPr>
          <w:rStyle w:val="apple-style-span"/>
          <w:lang w:val="lt-LT"/>
        </w:rPr>
        <w:t>Svarbu paminėti, kad išsiplėtus jėg</w:t>
      </w:r>
      <w:r w:rsidR="00DB073D">
        <w:rPr>
          <w:rStyle w:val="apple-style-span"/>
          <w:lang w:val="lt-LT"/>
        </w:rPr>
        <w:t>os panaudojimo savigynai mastui,</w:t>
      </w:r>
      <w:r w:rsidRPr="0006604A">
        <w:rPr>
          <w:rStyle w:val="apple-style-span"/>
          <w:lang w:val="lt-LT"/>
        </w:rPr>
        <w:t xml:space="preserve"> tuo pat metu turi būti stengiamasi išlaikyti ir šalies sutikimą, turint omenyje, kad šiuolaikiniuose civiliniuose karuose, vietinės valdžios sutikimas yra labai silpnas ir dažnai besikeičiantis. Apribojimas naudoti jėgą tik savigynos atveju užtikrina, kad misijų dalyviai išlieka nešališki ir nepadeda kuriai nors konflikto šaliai. Todėl matome, kad visi principai yra tarpusavyje susiję ir užtikrina valstybės suvereniteto gerbimą, minimą Chartijos 2 straipsnyje. Priešingu atveju, pažeidus nors vieną iš principų, valstybės suverenitetas būtų taip pat pažeistas, nes būtų pažeista teisė į teritorinį vientisumą ir politinę nepriklausomybę. Be to, viršijus jėgos panaudojimo savigynai ribas</w:t>
      </w:r>
      <w:r w:rsidR="00DB073D">
        <w:rPr>
          <w:rStyle w:val="apple-style-span"/>
          <w:lang w:val="lt-LT"/>
        </w:rPr>
        <w:t>,</w:t>
      </w:r>
      <w:r w:rsidRPr="0006604A">
        <w:rPr>
          <w:rStyle w:val="apple-style-span"/>
          <w:lang w:val="lt-LT"/>
        </w:rPr>
        <w:t xml:space="preserve"> būtų pažeistas Chartijos 2 straipsnio 7 dalyje minimas principas – draudimas kištis į kitos valstybės reikalus. Jis pateisinamas tik vieninteliu atveju: naudojant prievartos priemones pagal Chartijos VII skyriaus 42 straipsnį. Prievartos priemonių naudojimas pagal minėtą straipsnį apima iš esmės skirtingą misijų rūšį, kurioje neegzistuoja teisė į jėgos panaudojimą savigynai. Šios misijos metu jėgos panaudojimas tamp</w:t>
      </w:r>
      <w:r w:rsidR="00371BCE">
        <w:rPr>
          <w:rStyle w:val="apple-style-span"/>
          <w:lang w:val="lt-LT"/>
        </w:rPr>
        <w:t>a pagrindine taikos įtvirtinim</w:t>
      </w:r>
      <w:r w:rsidRPr="0006604A">
        <w:rPr>
          <w:rStyle w:val="apple-style-span"/>
          <w:lang w:val="lt-LT"/>
        </w:rPr>
        <w:t xml:space="preserve">o priemone. </w:t>
      </w:r>
    </w:p>
    <w:p w:rsidR="00F234E7" w:rsidRPr="0006604A" w:rsidRDefault="00F234E7" w:rsidP="007B0C15">
      <w:pPr>
        <w:spacing w:before="100" w:beforeAutospacing="1" w:after="100" w:afterAutospacing="1"/>
        <w:ind w:firstLine="851"/>
        <w:contextualSpacing/>
        <w:rPr>
          <w:rStyle w:val="apple-style-span"/>
          <w:lang w:val="lt-LT"/>
        </w:rPr>
      </w:pPr>
      <w:r w:rsidRPr="0006604A">
        <w:rPr>
          <w:rStyle w:val="apple-style-span"/>
          <w:lang w:val="lt-LT"/>
        </w:rPr>
        <w:t>Jungtinių Tautų Char</w:t>
      </w:r>
      <w:r w:rsidR="004D68B1">
        <w:rPr>
          <w:rStyle w:val="apple-style-span"/>
          <w:lang w:val="lt-LT"/>
        </w:rPr>
        <w:t xml:space="preserve">tijos 104 straipsnyje teigiama: </w:t>
      </w:r>
      <w:r w:rsidRPr="0006604A">
        <w:rPr>
          <w:rStyle w:val="apple-style-span"/>
          <w:lang w:val="lt-LT"/>
        </w:rPr>
        <w:t xml:space="preserve">„Organizacija kiekvienos narės teritorijoje turi tokį teisnumą ir veiksnumą, kokio reikia jos funkcijoms atlikti bei siekti jos tikslų.“ Galime teigti, kad Jungtinių Tautų taikos misijų dalyvių teisė į savigyną tiesioginės atakos atveju yra viena iš turimų teisių, užtikrinančių efektyvų funkcijų vykdymą. </w:t>
      </w:r>
    </w:p>
    <w:p w:rsidR="00F234E7" w:rsidRPr="0006604A" w:rsidRDefault="00F234E7" w:rsidP="007B0C15">
      <w:pPr>
        <w:spacing w:before="100" w:beforeAutospacing="1" w:after="100" w:afterAutospacing="1"/>
        <w:ind w:firstLine="851"/>
        <w:contextualSpacing/>
        <w:rPr>
          <w:rStyle w:val="apple-style-span"/>
          <w:lang w:val="lt-LT"/>
        </w:rPr>
      </w:pPr>
      <w:r w:rsidRPr="0006604A">
        <w:rPr>
          <w:rStyle w:val="apple-style-span"/>
          <w:lang w:val="lt-LT"/>
        </w:rPr>
        <w:t>Pagal Straipsnių projekto 21 straipsnį savigyna yra priskiriama prie aplinkybių, šalinančių veikos neteisėtumą: „Valstybės veikos neteisėtumą pašalina tai, kad jos veika sudaro teisėtą savigynos priemonę, kurios ji ėmėsi sutinkamai su Jungtinių Tautų Chartija.“</w:t>
      </w:r>
      <w:r w:rsidRPr="0006604A">
        <w:rPr>
          <w:rStyle w:val="FootnoteReference"/>
          <w:rFonts w:eastAsiaTheme="majorEastAsia"/>
          <w:lang w:val="lt-LT"/>
        </w:rPr>
        <w:footnoteReference w:id="73"/>
      </w:r>
      <w:r w:rsidRPr="0006604A">
        <w:rPr>
          <w:rStyle w:val="apple-style-span"/>
          <w:lang w:val="lt-LT"/>
        </w:rPr>
        <w:t xml:space="preserve"> Todėl teisėtas jėgos panaudojimas yra esminė sąlyga pašalinanti veikos neteisėtumą. Tam, kad jėgos panaudojimas savigynai būtų pripažintas teisėtu, naudojama jėga atitinkamoje situacijoje turi tapti būtinybe. Kitaip tariant</w:t>
      </w:r>
      <w:r w:rsidR="003559F3">
        <w:rPr>
          <w:rStyle w:val="apple-style-span"/>
          <w:lang w:val="lt-LT"/>
        </w:rPr>
        <w:t>,</w:t>
      </w:r>
      <w:r w:rsidRPr="0006604A">
        <w:rPr>
          <w:rStyle w:val="apple-style-span"/>
          <w:lang w:val="lt-LT"/>
        </w:rPr>
        <w:t xml:space="preserve"> grėsmė turi būti potenciali arba reali ir pateisinti jėgos panaudojimą. Taip pat svarbus ir jėgos proporcingumas. Proporcingumas atsiskleidžia, kai jėga naudojama tiek, kiek būtina pasiekti norimą tikslą. Kai taikos misijos dalyvis naudoja proporcingą jėgą, jis nepraranda nekombatanto</w:t>
      </w:r>
      <w:r w:rsidRPr="0006604A">
        <w:rPr>
          <w:rStyle w:val="FootnoteReference"/>
          <w:rFonts w:eastAsiaTheme="majorEastAsia"/>
          <w:lang w:val="lt-LT"/>
        </w:rPr>
        <w:footnoteReference w:id="74"/>
      </w:r>
      <w:r w:rsidRPr="0006604A">
        <w:rPr>
          <w:rStyle w:val="apple-style-span"/>
          <w:lang w:val="lt-LT"/>
        </w:rPr>
        <w:t xml:space="preserve"> apsaugos.</w:t>
      </w:r>
      <w:r w:rsidRPr="0006604A">
        <w:rPr>
          <w:rStyle w:val="FootnoteReference"/>
          <w:rFonts w:eastAsiaTheme="majorEastAsia"/>
          <w:lang w:val="lt-LT"/>
        </w:rPr>
        <w:footnoteReference w:id="75"/>
      </w:r>
      <w:r w:rsidRPr="0006604A">
        <w:rPr>
          <w:rStyle w:val="apple-style-span"/>
          <w:lang w:val="lt-LT"/>
        </w:rPr>
        <w:t xml:space="preserve"> Tači</w:t>
      </w:r>
      <w:r w:rsidR="004D68B1">
        <w:rPr>
          <w:rStyle w:val="apple-style-span"/>
          <w:lang w:val="lt-LT"/>
        </w:rPr>
        <w:t>au jeigu taikos misijos dalyvis</w:t>
      </w:r>
      <w:r w:rsidRPr="0006604A">
        <w:rPr>
          <w:rStyle w:val="apple-style-span"/>
          <w:lang w:val="lt-LT"/>
        </w:rPr>
        <w:t xml:space="preserve"> nustoja naudoti jėgą tik savigynos </w:t>
      </w:r>
      <w:r w:rsidRPr="0006604A">
        <w:rPr>
          <w:rStyle w:val="apple-style-span"/>
          <w:lang w:val="lt-LT"/>
        </w:rPr>
        <w:lastRenderedPageBreak/>
        <w:t xml:space="preserve">atveju ir įsitraukia į konfliktą, jis tampa kombatantu. </w:t>
      </w:r>
      <w:r w:rsidRPr="00F61F91">
        <w:rPr>
          <w:rStyle w:val="apple-style-span"/>
          <w:lang w:val="lt-LT"/>
        </w:rPr>
        <w:t>Tapus kariaujančia šalimi</w:t>
      </w:r>
      <w:r w:rsidR="00F61F91">
        <w:rPr>
          <w:rStyle w:val="apple-style-span"/>
          <w:lang w:val="lt-LT"/>
        </w:rPr>
        <w:t>,</w:t>
      </w:r>
      <w:r w:rsidRPr="00F61F91">
        <w:rPr>
          <w:rStyle w:val="apple-style-span"/>
          <w:lang w:val="lt-LT"/>
        </w:rPr>
        <w:t xml:space="preserve"> neišvengiamai taikomi karo įstatymai.</w:t>
      </w:r>
      <w:r w:rsidRPr="00F61F91">
        <w:rPr>
          <w:rStyle w:val="apple-style-span"/>
          <w:color w:val="FF0000"/>
          <w:lang w:val="lt-LT"/>
        </w:rPr>
        <w:t xml:space="preserve"> </w:t>
      </w:r>
      <w:r w:rsidRPr="0006604A">
        <w:rPr>
          <w:rStyle w:val="apple-style-span"/>
          <w:lang w:val="lt-LT"/>
        </w:rPr>
        <w:t>Kitas atvejis, kai šalis tampa kombatantu</w:t>
      </w:r>
      <w:r w:rsidR="00877336">
        <w:rPr>
          <w:rStyle w:val="apple-style-span"/>
          <w:lang w:val="lt-LT"/>
        </w:rPr>
        <w:t xml:space="preserve">, </w:t>
      </w:r>
      <w:r w:rsidRPr="0006604A">
        <w:rPr>
          <w:rStyle w:val="apple-style-span"/>
          <w:lang w:val="lt-LT"/>
        </w:rPr>
        <w:t xml:space="preserve"> yra, kai Saugumo Taryba įgalioja veik</w:t>
      </w:r>
      <w:r w:rsidR="00877336">
        <w:rPr>
          <w:rStyle w:val="apple-style-span"/>
          <w:lang w:val="lt-LT"/>
        </w:rPr>
        <w:t>ti pagal Chartijos 42 straipsnį.  Š</w:t>
      </w:r>
      <w:r w:rsidRPr="0006604A">
        <w:rPr>
          <w:rStyle w:val="apple-style-span"/>
          <w:lang w:val="lt-LT"/>
        </w:rPr>
        <w:t>iuo atveju karo įstatymai vienodai taikomi abiems ginčo šalims. Iškyla klausimas, ar taikos misijos dalyviai</w:t>
      </w:r>
      <w:r w:rsidR="00877336">
        <w:rPr>
          <w:rStyle w:val="apple-style-span"/>
          <w:lang w:val="lt-LT"/>
        </w:rPr>
        <w:t>,</w:t>
      </w:r>
      <w:r w:rsidRPr="0006604A">
        <w:rPr>
          <w:rStyle w:val="apple-style-span"/>
          <w:lang w:val="lt-LT"/>
        </w:rPr>
        <w:t xml:space="preserve"> neviršijantys jėgos panaudojimo savigynai ir neįsitraukiantys į karinį konfliktą kaip kariaujančios šalys, turi laikytis karo įstatymų. </w:t>
      </w:r>
    </w:p>
    <w:p w:rsidR="00F234E7" w:rsidRPr="0006604A" w:rsidRDefault="00F234E7" w:rsidP="007B0C15">
      <w:pPr>
        <w:spacing w:before="100" w:beforeAutospacing="1" w:after="100" w:afterAutospacing="1"/>
        <w:ind w:firstLine="851"/>
        <w:contextualSpacing/>
        <w:rPr>
          <w:rStyle w:val="apple-style-span"/>
          <w:lang w:val="lt-LT"/>
        </w:rPr>
      </w:pPr>
      <w:r w:rsidRPr="0006604A">
        <w:rPr>
          <w:rStyle w:val="apple-style-span"/>
          <w:lang w:val="lt-LT"/>
        </w:rPr>
        <w:t>Dažnai literatūroje aptinkama nuomonė, kad nors Jungtinės Tautos nėra Ženevos Konvencijų ir kitų humanitarinės teisės sutarčių šalimi, tačiau humanitarinės teisės principai turėtų būti taikomi</w:t>
      </w:r>
      <w:r w:rsidR="00FA7B7F">
        <w:rPr>
          <w:rStyle w:val="apple-style-span"/>
          <w:lang w:val="lt-LT"/>
        </w:rPr>
        <w:t>.</w:t>
      </w:r>
      <w:r w:rsidRPr="0006604A">
        <w:rPr>
          <w:rStyle w:val="FootnoteReference"/>
          <w:rFonts w:eastAsiaTheme="majorEastAsia"/>
          <w:lang w:val="lt-LT"/>
        </w:rPr>
        <w:footnoteReference w:id="76"/>
      </w:r>
      <w:r w:rsidRPr="0006604A">
        <w:rPr>
          <w:rStyle w:val="apple-style-span"/>
          <w:lang w:val="lt-LT"/>
        </w:rPr>
        <w:t xml:space="preserve"> Tai patvirtina ir Jungtinių Tautų Generalinio Sekretoriaus Kofi Annan išleistas biuletenis dėl Jungtinių Tautų  pajėgų tarptautinės</w:t>
      </w:r>
      <w:r w:rsidR="006A1351">
        <w:rPr>
          <w:rStyle w:val="apple-style-span"/>
          <w:lang w:val="lt-LT"/>
        </w:rPr>
        <w:t xml:space="preserve"> humanitarinės teisės laikymosi</w:t>
      </w:r>
      <w:r w:rsidRPr="0006604A">
        <w:rPr>
          <w:rStyle w:val="apple-style-span"/>
          <w:lang w:val="lt-LT"/>
        </w:rPr>
        <w:t>: „Kai Jungtinių Tautų pajėgos įsitraukusios į karinį konfliktą ir veikia kaip kombatantai priverstinio taikos vykdymo metu ar taikos misijos operacijos metu, kai jėgos panaudojimas leidžiamas savigynai, taikomi pagrindiniai tarptautinės humanitarinės teisės principai ir taisyklės.</w:t>
      </w:r>
      <w:r w:rsidRPr="0006604A">
        <w:rPr>
          <w:rStyle w:val="FootnoteReference"/>
          <w:rFonts w:eastAsiaTheme="majorEastAsia"/>
          <w:lang w:val="lt-LT"/>
        </w:rPr>
        <w:footnoteReference w:id="77"/>
      </w:r>
      <w:r w:rsidRPr="0006604A">
        <w:rPr>
          <w:rStyle w:val="apple-style-span"/>
          <w:lang w:val="lt-LT"/>
        </w:rPr>
        <w:t xml:space="preserve"> Todėl ir taikos misijos dalyviai naudodami jėgą tik savigynos atveju turi gerbti humanitarinės teisės taisykles ir principus. </w:t>
      </w:r>
    </w:p>
    <w:p w:rsidR="00F234E7" w:rsidRPr="001949CD" w:rsidRDefault="00E744C5" w:rsidP="007B0C15">
      <w:pPr>
        <w:spacing w:before="100" w:beforeAutospacing="1" w:after="100" w:afterAutospacing="1"/>
        <w:ind w:firstLine="851"/>
        <w:contextualSpacing/>
        <w:rPr>
          <w:rStyle w:val="apple-style-span"/>
          <w:color w:val="FF0000"/>
          <w:lang w:val="lt-LT"/>
        </w:rPr>
      </w:pPr>
      <w:r>
        <w:rPr>
          <w:rStyle w:val="apple-style-span"/>
          <w:lang w:val="lt-LT"/>
        </w:rPr>
        <w:t>Paminėtina, kad t</w:t>
      </w:r>
      <w:r w:rsidR="00F234E7" w:rsidRPr="0006604A">
        <w:rPr>
          <w:rStyle w:val="apple-style-span"/>
          <w:lang w:val="lt-LT"/>
        </w:rPr>
        <w:t>arpt</w:t>
      </w:r>
      <w:r>
        <w:rPr>
          <w:rStyle w:val="apple-style-span"/>
          <w:lang w:val="lt-LT"/>
        </w:rPr>
        <w:t xml:space="preserve">autinės humanitarinės teisės Hagos konvencijose </w:t>
      </w:r>
      <w:r w:rsidR="00F234E7" w:rsidRPr="0006604A">
        <w:rPr>
          <w:rStyle w:val="apple-style-span"/>
          <w:lang w:val="lt-LT"/>
        </w:rPr>
        <w:t>minimos karo specifinės</w:t>
      </w:r>
      <w:r>
        <w:rPr>
          <w:rStyle w:val="apple-style-span"/>
          <w:lang w:val="lt-LT"/>
        </w:rPr>
        <w:t xml:space="preserve"> priemonės ir metodai, </w:t>
      </w:r>
      <w:r w:rsidR="00F234E7" w:rsidRPr="0006604A">
        <w:rPr>
          <w:rStyle w:val="apple-style-span"/>
          <w:lang w:val="lt-LT"/>
        </w:rPr>
        <w:t>Ženevos konvencijos</w:t>
      </w:r>
      <w:r>
        <w:rPr>
          <w:rStyle w:val="apple-style-span"/>
          <w:lang w:val="lt-LT"/>
        </w:rPr>
        <w:t>e – nekombatantų apsauga</w:t>
      </w:r>
      <w:r w:rsidR="00F234E7" w:rsidRPr="0006604A">
        <w:rPr>
          <w:rStyle w:val="apple-style-span"/>
          <w:lang w:val="lt-LT"/>
        </w:rPr>
        <w:t>. Tiek karo metodai ir priemonės, tiek nekombatantų apsauga</w:t>
      </w:r>
      <w:r w:rsidR="002C39E1">
        <w:rPr>
          <w:rStyle w:val="apple-style-span"/>
          <w:lang w:val="lt-LT"/>
        </w:rPr>
        <w:t xml:space="preserve"> taip pat</w:t>
      </w:r>
      <w:r w:rsidR="00F234E7" w:rsidRPr="0006604A">
        <w:rPr>
          <w:rStyle w:val="apple-style-span"/>
          <w:lang w:val="lt-LT"/>
        </w:rPr>
        <w:t xml:space="preserve"> minima Generalinio Sekretoriaus biuletenyje, todėl tiek Hagos, tiek Ženevos teisė turėt</w:t>
      </w:r>
      <w:r w:rsidR="00E804F5">
        <w:rPr>
          <w:rStyle w:val="apple-style-span"/>
          <w:lang w:val="lt-LT"/>
        </w:rPr>
        <w:t xml:space="preserve">ų būti taikoma. </w:t>
      </w:r>
      <w:r w:rsidR="001949CD">
        <w:rPr>
          <w:rStyle w:val="apple-style-span"/>
          <w:lang w:val="lt-LT"/>
        </w:rPr>
        <w:t>N</w:t>
      </w:r>
      <w:r w:rsidR="00E804F5" w:rsidRPr="001949CD">
        <w:rPr>
          <w:rStyle w:val="apple-style-span"/>
          <w:lang w:val="lt-LT"/>
        </w:rPr>
        <w:t xml:space="preserve">ors </w:t>
      </w:r>
      <w:r w:rsidR="00F234E7" w:rsidRPr="001949CD">
        <w:rPr>
          <w:rStyle w:val="apple-style-span"/>
          <w:lang w:val="lt-LT"/>
        </w:rPr>
        <w:t>Jungtinės Tautos neseniai pateikė biuletenį, kuriame yra reikalavimas laikytis pagrindinių humanitarinės teisės įstatymų ir principų, nėra aišku, kokiu mastu Jungtinių Tautų  pajėgos turi būti laikomos karo veiksmų šalimi ir ar išskirtinai visi karo įstatymai yra taikomi.</w:t>
      </w:r>
      <w:r w:rsidR="00F234E7" w:rsidRPr="001949CD">
        <w:rPr>
          <w:rStyle w:val="apple-style-span"/>
          <w:color w:val="FF0000"/>
          <w:lang w:val="lt-LT"/>
        </w:rPr>
        <w:t xml:space="preserve"> </w:t>
      </w:r>
    </w:p>
    <w:p w:rsidR="00F234E7" w:rsidRPr="0006604A" w:rsidRDefault="00F234E7" w:rsidP="007B0C15">
      <w:pPr>
        <w:spacing w:before="100" w:beforeAutospacing="1" w:after="100" w:afterAutospacing="1"/>
        <w:ind w:firstLine="851"/>
        <w:contextualSpacing/>
        <w:rPr>
          <w:color w:val="000000"/>
          <w:lang w:val="lt-LT"/>
        </w:rPr>
      </w:pPr>
      <w:r w:rsidRPr="0006604A">
        <w:rPr>
          <w:rStyle w:val="apple-style-span"/>
          <w:lang w:val="lt-LT"/>
        </w:rPr>
        <w:t>Situacija komplikuojasi</w:t>
      </w:r>
      <w:r w:rsidR="00284899">
        <w:rPr>
          <w:rStyle w:val="apple-style-span"/>
          <w:lang w:val="lt-LT"/>
        </w:rPr>
        <w:t>,</w:t>
      </w:r>
      <w:r w:rsidRPr="0006604A">
        <w:rPr>
          <w:rStyle w:val="apple-style-span"/>
          <w:lang w:val="lt-LT"/>
        </w:rPr>
        <w:t xml:space="preserve"> turint omenyje, kad Konvencija dėl Jung</w:t>
      </w:r>
      <w:r w:rsidR="00FF7571">
        <w:rPr>
          <w:rStyle w:val="apple-style-span"/>
          <w:lang w:val="lt-LT"/>
        </w:rPr>
        <w:t>tinių Tautų ir s</w:t>
      </w:r>
      <w:r w:rsidR="008E4B3A">
        <w:rPr>
          <w:rStyle w:val="apple-style-span"/>
          <w:lang w:val="lt-LT"/>
        </w:rPr>
        <w:t xml:space="preserve">usijusių asmenų, </w:t>
      </w:r>
      <w:r w:rsidRPr="0006604A">
        <w:rPr>
          <w:rStyle w:val="apple-style-span"/>
          <w:lang w:val="lt-LT"/>
        </w:rPr>
        <w:t>kurioje uždraudžiamas smurtas prieš Jungtinių Tautų taikos misijos dalyvius, taikoma tik tuo atveju, jeigu karo įstatymai nėra taikomi.</w:t>
      </w:r>
      <w:r w:rsidRPr="0006604A">
        <w:rPr>
          <w:rStyle w:val="FootnoteReference"/>
          <w:rFonts w:eastAsiaTheme="majorEastAsia"/>
          <w:lang w:val="lt-LT"/>
        </w:rPr>
        <w:footnoteReference w:id="78"/>
      </w:r>
      <w:r w:rsidRPr="0006604A">
        <w:rPr>
          <w:color w:val="000000"/>
          <w:lang w:val="lt-LT"/>
        </w:rPr>
        <w:t xml:space="preserve"> Konvencijos 2 straipsnio 2 dalyje įtvirt</w:t>
      </w:r>
      <w:r w:rsidR="00CB11C3">
        <w:rPr>
          <w:color w:val="000000"/>
          <w:lang w:val="lt-LT"/>
        </w:rPr>
        <w:t xml:space="preserve">inta: “Ši konvencija netaikoma </w:t>
      </w:r>
      <w:r w:rsidRPr="0006604A">
        <w:rPr>
          <w:color w:val="000000"/>
          <w:lang w:val="lt-LT"/>
        </w:rPr>
        <w:t>Jungtinių Tautų operacijom</w:t>
      </w:r>
      <w:r w:rsidR="00CB11C3">
        <w:rPr>
          <w:color w:val="000000"/>
          <w:lang w:val="lt-LT"/>
        </w:rPr>
        <w:t>s</w:t>
      </w:r>
      <w:r w:rsidRPr="0006604A">
        <w:rPr>
          <w:color w:val="000000"/>
          <w:lang w:val="lt-LT"/>
        </w:rPr>
        <w:t xml:space="preserve">, </w:t>
      </w:r>
      <w:r w:rsidR="0006604A" w:rsidRPr="0006604A">
        <w:rPr>
          <w:color w:val="000000"/>
          <w:lang w:val="lt-LT"/>
        </w:rPr>
        <w:t>įgaliotoms</w:t>
      </w:r>
      <w:r w:rsidR="00844564">
        <w:rPr>
          <w:color w:val="000000"/>
          <w:lang w:val="lt-LT"/>
        </w:rPr>
        <w:t xml:space="preserve"> </w:t>
      </w:r>
      <w:r w:rsidR="0006604A">
        <w:rPr>
          <w:color w:val="000000"/>
          <w:lang w:val="lt-LT"/>
        </w:rPr>
        <w:t>Saugumo</w:t>
      </w:r>
      <w:r w:rsidRPr="0006604A">
        <w:rPr>
          <w:color w:val="000000"/>
          <w:lang w:val="lt-LT"/>
        </w:rPr>
        <w:t xml:space="preserve"> Tarybos vykdyti priverstinius veiksmus pagal Chartijos VII skyrių[…].</w:t>
      </w:r>
      <w:r w:rsidRPr="0006604A">
        <w:rPr>
          <w:rStyle w:val="FootnoteReference"/>
          <w:rFonts w:eastAsiaTheme="majorEastAsia"/>
          <w:color w:val="000000"/>
          <w:lang w:val="lt-LT"/>
        </w:rPr>
        <w:footnoteReference w:id="79"/>
      </w:r>
      <w:r w:rsidRPr="0006604A">
        <w:rPr>
          <w:color w:val="000000"/>
          <w:lang w:val="lt-LT"/>
        </w:rPr>
        <w:t xml:space="preserve"> Todėl minėta konvencija bus taikoma kitom</w:t>
      </w:r>
      <w:r w:rsidR="006F1532">
        <w:rPr>
          <w:color w:val="000000"/>
          <w:lang w:val="lt-LT"/>
        </w:rPr>
        <w:t>s</w:t>
      </w:r>
      <w:r w:rsidRPr="0006604A">
        <w:rPr>
          <w:color w:val="000000"/>
          <w:lang w:val="lt-LT"/>
        </w:rPr>
        <w:t xml:space="preserve"> taikos misijų rūšims: tradicinėms ar platesnio ma</w:t>
      </w:r>
      <w:r w:rsidR="006F13C3">
        <w:rPr>
          <w:color w:val="000000"/>
          <w:lang w:val="lt-LT"/>
        </w:rPr>
        <w:t>sto taikos misijoms, kur, anot k</w:t>
      </w:r>
      <w:r w:rsidRPr="0006604A">
        <w:rPr>
          <w:color w:val="000000"/>
          <w:lang w:val="lt-LT"/>
        </w:rPr>
        <w:t xml:space="preserve">onvencijos kūrėjų, karo įstatymai nėra taikomi. Problema atsiranda ir tada, kai taikos misijos dalyviai įsitraukia </w:t>
      </w:r>
      <w:r w:rsidRPr="0006604A">
        <w:rPr>
          <w:color w:val="000000"/>
          <w:lang w:val="lt-LT"/>
        </w:rPr>
        <w:lastRenderedPageBreak/>
        <w:t>į operacijas, kuriose vykdo tradicines ar platesnio masto taikos misijas, vėlia</w:t>
      </w:r>
      <w:r w:rsidR="001065D5">
        <w:rPr>
          <w:color w:val="000000"/>
          <w:lang w:val="lt-LT"/>
        </w:rPr>
        <w:t xml:space="preserve">u pradeda taikyti priverstinio </w:t>
      </w:r>
      <w:r w:rsidRPr="0006604A">
        <w:rPr>
          <w:color w:val="000000"/>
          <w:lang w:val="lt-LT"/>
        </w:rPr>
        <w:t>vykdymo veiksmus. Tampa neaišku, kokiu mastu humanitarinė teisė būtų taikoma vykdant operaciją, kurioje persipina skirtingų taikos misijų rūšių veiksmai.</w:t>
      </w:r>
      <w:r w:rsidR="00F40662">
        <w:rPr>
          <w:color w:val="000000"/>
          <w:lang w:val="lt-LT"/>
        </w:rPr>
        <w:t xml:space="preserve"> Manytina, jog pradėjus vykdyti priverstinio taikos vykdymo veiksmus, humanitarinė teisė turėtų būti taikoma pilna apimtimi. </w:t>
      </w:r>
      <w:r w:rsidR="008B7F70">
        <w:rPr>
          <w:color w:val="000000"/>
          <w:lang w:val="lt-LT"/>
        </w:rPr>
        <w:t>Ji turėtų būti taikoma pilna apimtimi ir tuo atveju, kai priverstinio vykdymo veiksmai atliekami neturin</w:t>
      </w:r>
      <w:r w:rsidR="00E057C7">
        <w:rPr>
          <w:color w:val="000000"/>
          <w:lang w:val="lt-LT"/>
        </w:rPr>
        <w:t>t</w:t>
      </w:r>
      <w:r w:rsidR="008B7F70">
        <w:rPr>
          <w:color w:val="000000"/>
          <w:lang w:val="lt-LT"/>
        </w:rPr>
        <w:t xml:space="preserve"> Saugumo Tarybos įgaliojimų</w:t>
      </w:r>
      <w:r w:rsidR="001065D5">
        <w:rPr>
          <w:color w:val="000000"/>
          <w:lang w:val="lt-LT"/>
        </w:rPr>
        <w:t xml:space="preserve"> pagal Chartijos VII skyrių</w:t>
      </w:r>
      <w:r w:rsidR="00EE5FF2">
        <w:rPr>
          <w:color w:val="000000"/>
          <w:lang w:val="lt-LT"/>
        </w:rPr>
        <w:t>.</w:t>
      </w:r>
    </w:p>
    <w:p w:rsidR="00F234E7" w:rsidRPr="0006604A" w:rsidRDefault="00743C4A" w:rsidP="007B0C15">
      <w:pPr>
        <w:spacing w:before="100" w:beforeAutospacing="1" w:after="100" w:afterAutospacing="1"/>
        <w:ind w:firstLine="851"/>
        <w:contextualSpacing/>
        <w:rPr>
          <w:rStyle w:val="apple-style-span"/>
          <w:lang w:val="lt-LT"/>
        </w:rPr>
      </w:pPr>
      <w:r>
        <w:rPr>
          <w:rStyle w:val="apple-style-span"/>
          <w:lang w:val="lt-LT"/>
        </w:rPr>
        <w:t>Tarptautinio B</w:t>
      </w:r>
      <w:r w:rsidR="00F234E7" w:rsidRPr="0006604A">
        <w:rPr>
          <w:rStyle w:val="apple-style-span"/>
          <w:lang w:val="lt-LT"/>
        </w:rPr>
        <w:t>audžiamojo Tribunolo buvusiai Jugoslavijai praktikoje randame tokį teiginį: „Tarptautinė humanitarinė teisė taikoma nuo karinio konflikto pradžios ir tęsiasi iki tol, kol baigiami karo veiksmai ir pasiekiama taika arba vidinio konflikto atveju, kai pasiekiamas taikus konflikto sureguliavimas</w:t>
      </w:r>
      <w:r w:rsidR="00290A75">
        <w:rPr>
          <w:rStyle w:val="apple-style-span"/>
          <w:lang w:val="lt-LT"/>
        </w:rPr>
        <w:t>,</w:t>
      </w:r>
      <w:r w:rsidR="00F234E7" w:rsidRPr="0006604A">
        <w:rPr>
          <w:rStyle w:val="apple-style-span"/>
          <w:lang w:val="lt-LT"/>
        </w:rPr>
        <w:t xml:space="preserve"> […] nesvarbu ar vyksta reali kova ar ne“.</w:t>
      </w:r>
      <w:r w:rsidR="00F234E7" w:rsidRPr="0006604A">
        <w:rPr>
          <w:rStyle w:val="FootnoteReference"/>
          <w:rFonts w:eastAsiaTheme="majorEastAsia"/>
          <w:lang w:val="lt-LT"/>
        </w:rPr>
        <w:footnoteReference w:id="80"/>
      </w:r>
      <w:r w:rsidR="00F234E7" w:rsidRPr="0006604A">
        <w:rPr>
          <w:rStyle w:val="apple-style-span"/>
          <w:lang w:val="lt-LT"/>
        </w:rPr>
        <w:t xml:space="preserve"> Kadangi humanitarinė teisė taikoma ir vidiniuose konfliktuose, kuriuose dalyvauja taikos misijos dalyviai, tai dar kartą patvirtina, kad jie privalo laikytis pagrindin</w:t>
      </w:r>
      <w:r w:rsidR="00327F57">
        <w:rPr>
          <w:rStyle w:val="apple-style-span"/>
          <w:lang w:val="lt-LT"/>
        </w:rPr>
        <w:t>ių humanitarinės teisės taisyklių ir principų</w:t>
      </w:r>
      <w:r w:rsidR="00F234E7" w:rsidRPr="0006604A">
        <w:rPr>
          <w:rStyle w:val="apple-style-span"/>
          <w:lang w:val="lt-LT"/>
        </w:rPr>
        <w:t>.</w:t>
      </w:r>
    </w:p>
    <w:p w:rsidR="00F234E7" w:rsidRPr="0006604A" w:rsidRDefault="00F234E7" w:rsidP="007B0C15">
      <w:pPr>
        <w:spacing w:before="100" w:beforeAutospacing="1" w:after="100" w:afterAutospacing="1"/>
        <w:ind w:firstLine="851"/>
        <w:contextualSpacing/>
        <w:rPr>
          <w:rStyle w:val="apple-style-span"/>
          <w:lang w:val="lt-LT"/>
        </w:rPr>
      </w:pPr>
      <w:r w:rsidRPr="0006604A">
        <w:rPr>
          <w:rStyle w:val="apple-style-span"/>
          <w:lang w:val="lt-LT"/>
        </w:rPr>
        <w:t xml:space="preserve"> Tarptautinės teisės komisijos komentare teigiama, kad naudojant jėgą savigynos atveju, nebūtinai reiškia, kad bus pašalintas veikos neteisėtumas, tai bus tik tuo atveju, kai bus veikiama atsižvelgiant į žmogaus teisių ir humanitarinės teisės principus.</w:t>
      </w:r>
      <w:r w:rsidRPr="0006604A">
        <w:rPr>
          <w:rStyle w:val="FootnoteReference"/>
          <w:rFonts w:eastAsiaTheme="majorEastAsia"/>
          <w:lang w:val="lt-LT"/>
        </w:rPr>
        <w:footnoteReference w:id="81"/>
      </w:r>
      <w:r w:rsidRPr="0006604A">
        <w:rPr>
          <w:rStyle w:val="apple-style-span"/>
          <w:lang w:val="lt-LT"/>
        </w:rPr>
        <w:t xml:space="preserve"> Kaip vieną iš humanitarinės teisės principų Konsultacinėje išvadoje Grasinimo branduoliniais ginklais ar jų panaudojimo Tarptautinis Teisingumo Teismas paminėjo kombatanto ir nekombatanto atskyrimą: valstybės niekada negali daryti taikiniu civilius ir dėl to negali naudoti ginklų, neskiriančių civilių ir karinių taikinių.</w:t>
      </w:r>
      <w:r w:rsidRPr="0006604A">
        <w:rPr>
          <w:rStyle w:val="FootnoteReference"/>
          <w:rFonts w:eastAsiaTheme="majorEastAsia"/>
          <w:lang w:val="lt-LT"/>
        </w:rPr>
        <w:footnoteReference w:id="82"/>
      </w:r>
      <w:r w:rsidRPr="0006604A">
        <w:rPr>
          <w:rStyle w:val="apple-style-span"/>
          <w:lang w:val="lt-LT"/>
        </w:rPr>
        <w:t xml:space="preserve"> Be abejonės</w:t>
      </w:r>
      <w:r w:rsidR="0038228E">
        <w:rPr>
          <w:rStyle w:val="apple-style-span"/>
          <w:lang w:val="lt-LT"/>
        </w:rPr>
        <w:t>,</w:t>
      </w:r>
      <w:r w:rsidRPr="0006604A">
        <w:rPr>
          <w:rStyle w:val="apple-style-span"/>
          <w:lang w:val="lt-LT"/>
        </w:rPr>
        <w:t xml:space="preserve"> šio tarptautinės humanitarinės teisės principo turi laikytis ir taikos misijos dalyviai, priešingu atveju</w:t>
      </w:r>
      <w:r w:rsidR="0064717C">
        <w:rPr>
          <w:rStyle w:val="apple-style-span"/>
          <w:lang w:val="lt-LT"/>
        </w:rPr>
        <w:t>,</w:t>
      </w:r>
      <w:r w:rsidRPr="0006604A">
        <w:rPr>
          <w:rStyle w:val="apple-style-span"/>
          <w:lang w:val="lt-LT"/>
        </w:rPr>
        <w:t xml:space="preserve"> būtų pažeista humanitarinės teisės saugoma civil</w:t>
      </w:r>
      <w:r w:rsidR="00F96425">
        <w:rPr>
          <w:rStyle w:val="apple-style-span"/>
          <w:lang w:val="lt-LT"/>
        </w:rPr>
        <w:t>ių apsauga. Todėl manytina,</w:t>
      </w:r>
      <w:r w:rsidRPr="0006604A">
        <w:rPr>
          <w:rStyle w:val="apple-style-span"/>
          <w:lang w:val="lt-LT"/>
        </w:rPr>
        <w:t xml:space="preserve"> kad </w:t>
      </w:r>
      <w:r w:rsidR="00EF42D7">
        <w:rPr>
          <w:rStyle w:val="apple-style-span"/>
          <w:lang w:val="lt-LT"/>
        </w:rPr>
        <w:t>taikos misijos dalyviams, neviršijantiems savigynos ribų,</w:t>
      </w:r>
      <w:r w:rsidR="00EF42D7" w:rsidRPr="00EF42D7">
        <w:rPr>
          <w:rStyle w:val="apple-style-span"/>
          <w:lang w:val="lt-LT"/>
        </w:rPr>
        <w:t xml:space="preserve"> </w:t>
      </w:r>
      <w:r w:rsidR="00EF42D7" w:rsidRPr="0006604A">
        <w:rPr>
          <w:rStyle w:val="apple-style-span"/>
          <w:lang w:val="lt-LT"/>
        </w:rPr>
        <w:t xml:space="preserve">humanitarinė teisė </w:t>
      </w:r>
      <w:r w:rsidRPr="0006604A">
        <w:rPr>
          <w:rStyle w:val="apple-style-span"/>
          <w:lang w:val="lt-LT"/>
        </w:rPr>
        <w:t>yra taikoma tokia apimtimi, kiek būtina teisėtai įgyvendinti taikos misijos įgaliojimus ir nepažeisti kitų asmenų teisių.</w:t>
      </w:r>
    </w:p>
    <w:p w:rsidR="00F234E7" w:rsidRPr="007627EE" w:rsidRDefault="004B3829" w:rsidP="007B0C15">
      <w:pPr>
        <w:spacing w:before="100" w:beforeAutospacing="1" w:after="100" w:afterAutospacing="1"/>
        <w:ind w:firstLine="851"/>
        <w:contextualSpacing/>
        <w:rPr>
          <w:rStyle w:val="apple-style-span"/>
          <w:color w:val="FF0000"/>
          <w:lang w:val="lt-LT"/>
        </w:rPr>
      </w:pPr>
      <w:r>
        <w:rPr>
          <w:rStyle w:val="apple-style-span"/>
          <w:lang w:val="lt-LT"/>
        </w:rPr>
        <w:t>Apibendrinant galima teigti, jog t</w:t>
      </w:r>
      <w:r w:rsidR="00F234E7" w:rsidRPr="0006604A">
        <w:rPr>
          <w:rStyle w:val="apple-style-span"/>
          <w:lang w:val="lt-LT"/>
        </w:rPr>
        <w:t>eisė į jėgos panaudojimą tik savigynos atveju turi esminę reikšmę, nes</w:t>
      </w:r>
      <w:r w:rsidR="00BC7BDB" w:rsidRPr="005B3B41">
        <w:rPr>
          <w:rStyle w:val="apple-style-span"/>
          <w:lang w:val="lt-LT"/>
        </w:rPr>
        <w:t>,</w:t>
      </w:r>
      <w:r w:rsidR="00F234E7" w:rsidRPr="005B3B41">
        <w:rPr>
          <w:rStyle w:val="apple-style-span"/>
          <w:lang w:val="lt-LT"/>
        </w:rPr>
        <w:t xml:space="preserve"> </w:t>
      </w:r>
      <w:r w:rsidR="00640187" w:rsidRPr="005B3B41">
        <w:rPr>
          <w:rStyle w:val="apple-style-span"/>
          <w:lang w:val="lt-LT"/>
        </w:rPr>
        <w:t xml:space="preserve"> </w:t>
      </w:r>
      <w:r w:rsidR="00F234E7" w:rsidRPr="005B3B41">
        <w:rPr>
          <w:rStyle w:val="apple-style-span"/>
          <w:lang w:val="lt-LT"/>
        </w:rPr>
        <w:t>visų pirma</w:t>
      </w:r>
      <w:r w:rsidR="00BC7BDB" w:rsidRPr="005B3B41">
        <w:rPr>
          <w:rStyle w:val="apple-style-span"/>
          <w:lang w:val="lt-LT"/>
        </w:rPr>
        <w:t>,</w:t>
      </w:r>
      <w:r w:rsidR="00640187" w:rsidRPr="005B3B41">
        <w:rPr>
          <w:rStyle w:val="apple-style-span"/>
          <w:lang w:val="lt-LT"/>
        </w:rPr>
        <w:t xml:space="preserve"> </w:t>
      </w:r>
      <w:r w:rsidR="00F234E7" w:rsidRPr="005B3B41">
        <w:rPr>
          <w:rStyle w:val="apple-style-span"/>
          <w:lang w:val="lt-LT"/>
        </w:rPr>
        <w:t xml:space="preserve"> nustato jėgos panaudojimo ribas, kurios turi atitikti misijos įgaliojimus. Kad jėgos panaudojimas būtų pripažintas teisėtu, atakos atveju jis turi būti būtinas ir proporcingas. Priešingu atveju, viršijus jėgos panaudojimo ribas, jėga taps pagrindiniu misijos įrankiu, o taikos misijos dalyviai</w:t>
      </w:r>
      <w:r w:rsidR="002F408C">
        <w:rPr>
          <w:rStyle w:val="apple-style-span"/>
          <w:lang w:val="lt-LT"/>
        </w:rPr>
        <w:t xml:space="preserve"> ‒ </w:t>
      </w:r>
      <w:r w:rsidR="00F234E7" w:rsidRPr="005B3B41">
        <w:rPr>
          <w:rStyle w:val="apple-style-span"/>
          <w:lang w:val="lt-LT"/>
        </w:rPr>
        <w:t>ne objektyviais trečiaisiais asmenis, bet kariaujančiomis šalimis. Todėl teisė į savigyną susijusi ne tik su taikos misijos neutralumu, tačiau ir su šalies sutikimo principo egzistavimu, kuris kiekvienos taikos misijos atveju yra ne tik būtina teisinė prielaida pradėti taikos misiją, tačiau sutikimą turi būti stengiamasi išlaikyti ir visos taikos operacijos metu. Neatsižvelgiant</w:t>
      </w:r>
      <w:r w:rsidR="00F234E7" w:rsidRPr="007627EE">
        <w:rPr>
          <w:rStyle w:val="apple-style-span"/>
          <w:color w:val="FF0000"/>
          <w:lang w:val="lt-LT"/>
        </w:rPr>
        <w:t xml:space="preserve"> </w:t>
      </w:r>
      <w:r w:rsidR="00F234E7" w:rsidRPr="005B3B41">
        <w:rPr>
          <w:rStyle w:val="apple-style-span"/>
          <w:lang w:val="lt-LT"/>
        </w:rPr>
        <w:lastRenderedPageBreak/>
        <w:t>į tai, kad teisė į savigyną yra teisėta ir taikos misijos dalyvis</w:t>
      </w:r>
      <w:r w:rsidR="00F87575">
        <w:rPr>
          <w:rStyle w:val="apple-style-span"/>
          <w:lang w:val="lt-LT"/>
        </w:rPr>
        <w:t xml:space="preserve"> neviršijęs jos ribų</w:t>
      </w:r>
      <w:r w:rsidR="00F234E7" w:rsidRPr="005B3B41">
        <w:rPr>
          <w:rStyle w:val="apple-style-span"/>
          <w:lang w:val="lt-LT"/>
        </w:rPr>
        <w:t xml:space="preserve"> netampa kombatantu, tačiau pagrindiniai humanitarinės teisės principai ir taisyklės kiekvienos misijos metu turi būti taikomi.</w:t>
      </w:r>
    </w:p>
    <w:p w:rsidR="00F234E7" w:rsidRPr="0006604A" w:rsidRDefault="00317C9A" w:rsidP="00113D43">
      <w:pPr>
        <w:pStyle w:val="Heading1"/>
        <w:numPr>
          <w:ilvl w:val="0"/>
          <w:numId w:val="2"/>
        </w:numPr>
        <w:rPr>
          <w:sz w:val="24"/>
          <w:szCs w:val="24"/>
          <w:lang w:val="lt-LT"/>
        </w:rPr>
      </w:pPr>
      <w:bookmarkStart w:id="17" w:name="_Toc280807837"/>
      <w:r w:rsidRPr="0006604A">
        <w:rPr>
          <w:sz w:val="24"/>
          <w:szCs w:val="24"/>
          <w:lang w:val="lt-LT"/>
        </w:rPr>
        <w:t>TAIKOS MISIJOS PRAKTIKOJE</w:t>
      </w:r>
      <w:bookmarkEnd w:id="17"/>
    </w:p>
    <w:p w:rsidR="00F234E7" w:rsidRPr="0006604A" w:rsidRDefault="00F234E7" w:rsidP="00113D43">
      <w:pPr>
        <w:pStyle w:val="Heading2"/>
        <w:numPr>
          <w:ilvl w:val="1"/>
          <w:numId w:val="2"/>
        </w:numPr>
        <w:ind w:left="567" w:hanging="567"/>
        <w:rPr>
          <w:sz w:val="24"/>
          <w:szCs w:val="24"/>
          <w:lang w:val="lt-LT"/>
        </w:rPr>
      </w:pPr>
      <w:bookmarkStart w:id="18" w:name="_Toc280556719"/>
      <w:bookmarkStart w:id="19" w:name="_Toc280807838"/>
      <w:r w:rsidRPr="0006604A">
        <w:rPr>
          <w:sz w:val="24"/>
          <w:szCs w:val="24"/>
          <w:lang w:val="lt-LT"/>
        </w:rPr>
        <w:t>Tradicinės taikos misijos</w:t>
      </w:r>
      <w:bookmarkEnd w:id="18"/>
      <w:bookmarkEnd w:id="19"/>
    </w:p>
    <w:p w:rsidR="00F234E7" w:rsidRPr="0006604A" w:rsidRDefault="00F234E7" w:rsidP="00FC3FC3">
      <w:pPr>
        <w:autoSpaceDE w:val="0"/>
        <w:autoSpaceDN w:val="0"/>
        <w:adjustRightInd w:val="0"/>
        <w:spacing w:before="100" w:beforeAutospacing="1" w:after="100" w:afterAutospacing="1"/>
        <w:ind w:firstLine="851"/>
        <w:contextualSpacing/>
        <w:rPr>
          <w:lang w:val="lt-LT"/>
        </w:rPr>
      </w:pPr>
      <w:r w:rsidRPr="0006604A">
        <w:rPr>
          <w:lang w:val="lt-LT"/>
        </w:rPr>
        <w:t>Kaip buvo minėta pirmame skyriuje, tradicinių taikos misijų metu išvystyti principai yra neatsiejami taikos misijų elementai, paverčiantys taikos misiją teisėta konflikto sprend</w:t>
      </w:r>
      <w:r w:rsidR="000B4B2F">
        <w:rPr>
          <w:lang w:val="lt-LT"/>
        </w:rPr>
        <w:t xml:space="preserve">imo priemone. Tačiau praktikoje </w:t>
      </w:r>
      <w:r w:rsidRPr="0006604A">
        <w:rPr>
          <w:lang w:val="lt-LT"/>
        </w:rPr>
        <w:t>esant sudėtingesniam konfliktui, kuomet reikia padidinti įgaliojimus, pradedama neteisingai interpretuoti esminius taikos misijų principus ir neteisėtai pereinama prie priverstinio taikos vykdymo veiksmų. Šiame kontekste minime vieną iš ryškiausių pavyzdžių – taikos misiją Kongo valstybėje. Šioje valstybėje vykdytą tradicinę taikos misiją pasirinkome dėl to, kad tai buvo pirmoji taikos misija, kurios metu buvo nukrypta nuo tradicinių taikos misijų principų.</w:t>
      </w:r>
    </w:p>
    <w:p w:rsidR="00F234E7" w:rsidRPr="0006604A" w:rsidRDefault="00F234E7" w:rsidP="00641360">
      <w:pPr>
        <w:autoSpaceDE w:val="0"/>
        <w:autoSpaceDN w:val="0"/>
        <w:adjustRightInd w:val="0"/>
        <w:spacing w:before="100" w:beforeAutospacing="1" w:after="100" w:afterAutospacing="1"/>
        <w:ind w:firstLine="851"/>
        <w:contextualSpacing/>
        <w:rPr>
          <w:lang w:val="lt-LT"/>
        </w:rPr>
      </w:pPr>
      <w:r w:rsidRPr="0006604A">
        <w:rPr>
          <w:lang w:val="lt-LT"/>
        </w:rPr>
        <w:t xml:space="preserve">Kongas, buvusi Belgijos kolonija, kaip ir daugelis Afrikos valstybių, </w:t>
      </w:r>
      <w:r w:rsidR="0006604A" w:rsidRPr="0006604A">
        <w:rPr>
          <w:lang w:val="lt-LT"/>
        </w:rPr>
        <w:t>išsivadavusių</w:t>
      </w:r>
      <w:r w:rsidRPr="0006604A">
        <w:rPr>
          <w:lang w:val="lt-LT"/>
        </w:rPr>
        <w:t xml:space="preserve"> iš kolonijinio valdymo, turėjo problemų šalies viduje: po nepriklausomybės atgavimo teisės ir tvarkos valstybėje nebuvimas, virtęs visišku chaosu, taip pat prasidėję armijos maištai, pasipriešinimo judėjimai. Kita problema buvo susijusi su viena iš labiausiai išvystyta Kongo valstybės sritimi – Katanga, kuri norėjo atsiskirti nuo Kongo. Saugumo Taryba, atsakydama į Kongo valdžios pagalbos prašymą ir vadovaudamasi pirmosios tradicinės taikos misijos Egipte principais, įsteigė Jungtinių Tautų taikos misiją Konge (angl. ONUC).</w:t>
      </w:r>
      <w:r w:rsidRPr="0006604A">
        <w:rPr>
          <w:i/>
          <w:lang w:val="lt-LT"/>
        </w:rPr>
        <w:t xml:space="preserve"> </w:t>
      </w:r>
      <w:r w:rsidRPr="0006604A">
        <w:rPr>
          <w:lang w:val="lt-LT"/>
        </w:rPr>
        <w:t>Pradiniai šios taikos misijos įgaliojimai buvo sulaikyti belgų karines pajėgas.</w:t>
      </w:r>
      <w:r w:rsidRPr="0006604A">
        <w:rPr>
          <w:rStyle w:val="FootnoteReference"/>
          <w:rFonts w:eastAsiaTheme="majorEastAsia"/>
          <w:lang w:val="lt-LT"/>
        </w:rPr>
        <w:footnoteReference w:id="83"/>
      </w:r>
      <w:r w:rsidRPr="0006604A">
        <w:rPr>
          <w:lang w:val="lt-LT"/>
        </w:rPr>
        <w:t xml:space="preserve"> Tačiau Konge, skirtingai nei Egipte, egzistavo kitokia situacija: išsiskaidžiusios Kongo vietinės karinės pajėgos nebegalėjo palaikyti teisės ir tvarkos valstybėje, todėl Jungtinių Tautų pajėgos turėjo užpildyti šią spragą. Vadinasi</w:t>
      </w:r>
      <w:r w:rsidR="00A17289">
        <w:rPr>
          <w:lang w:val="lt-LT"/>
        </w:rPr>
        <w:t>,</w:t>
      </w:r>
      <w:r w:rsidRPr="0006604A">
        <w:rPr>
          <w:lang w:val="lt-LT"/>
        </w:rPr>
        <w:t xml:space="preserve"> iš Jungtinių Tautų taikos misijos dalyvių buvo reikalaujama daugiau nei juos įgalina pirminiai įgaliojimai. Greta karinių funkcijų, kaip antai, belgų kariuomenės sulaikymas, taikos misijos dalyviai turėjo padėti Kongo vyriausybei atkurti tvarką ir teisingumą bei sukurti valstybėje sąlygas išspręsti konstitucinius nesutarimus.</w:t>
      </w:r>
    </w:p>
    <w:p w:rsidR="00F234E7" w:rsidRPr="0006604A" w:rsidRDefault="00F234E7" w:rsidP="00641360">
      <w:pPr>
        <w:autoSpaceDE w:val="0"/>
        <w:autoSpaceDN w:val="0"/>
        <w:adjustRightInd w:val="0"/>
        <w:spacing w:before="100" w:beforeAutospacing="1" w:after="100" w:afterAutospacing="1"/>
        <w:ind w:firstLine="851"/>
        <w:contextualSpacing/>
        <w:rPr>
          <w:lang w:val="lt-LT"/>
        </w:rPr>
      </w:pPr>
      <w:r w:rsidRPr="0006604A">
        <w:rPr>
          <w:lang w:val="lt-LT"/>
        </w:rPr>
        <w:t>1961 metais Saugumo Taryba įgal</w:t>
      </w:r>
      <w:r w:rsidR="0013179B">
        <w:rPr>
          <w:lang w:val="lt-LT"/>
        </w:rPr>
        <w:t>ioja taikos misijos dalyvius: “</w:t>
      </w:r>
      <w:r w:rsidRPr="0006604A">
        <w:rPr>
          <w:lang w:val="lt-LT"/>
        </w:rPr>
        <w:t xml:space="preserve">neatidėliotinai imtis visų tinkamų priemonių, kad būtų užkirstas civilinio karo atsiradimas Konge […] </w:t>
      </w:r>
      <w:r w:rsidRPr="0006604A">
        <w:rPr>
          <w:color w:val="000000"/>
          <w:lang w:val="lt-LT"/>
        </w:rPr>
        <w:t>nutraukti</w:t>
      </w:r>
      <w:r w:rsidRPr="0006604A">
        <w:rPr>
          <w:lang w:val="lt-LT"/>
        </w:rPr>
        <w:t xml:space="preserve"> visas karines </w:t>
      </w:r>
      <w:r w:rsidRPr="0006604A">
        <w:rPr>
          <w:lang w:val="lt-LT"/>
        </w:rPr>
        <w:lastRenderedPageBreak/>
        <w:t xml:space="preserve">operacijas, konfliktus </w:t>
      </w:r>
      <w:r w:rsidR="00C14B12">
        <w:rPr>
          <w:lang w:val="lt-LT"/>
        </w:rPr>
        <w:t xml:space="preserve"> </w:t>
      </w:r>
      <w:r w:rsidRPr="0006604A">
        <w:rPr>
          <w:lang w:val="lt-LT"/>
        </w:rPr>
        <w:t>ir  naudoti jėgą, tik būtinybės atveju.”</w:t>
      </w:r>
      <w:r w:rsidRPr="0006604A">
        <w:rPr>
          <w:rStyle w:val="FootnoteReference"/>
          <w:rFonts w:eastAsiaTheme="majorEastAsia"/>
          <w:lang w:val="lt-LT"/>
        </w:rPr>
        <w:footnoteReference w:id="84"/>
      </w:r>
      <w:r w:rsidRPr="0006604A">
        <w:rPr>
          <w:lang w:val="lt-LT"/>
        </w:rPr>
        <w:t xml:space="preserve"> Tradicinių taikos misijų kontekste jėgos panaudojimas savigynai suprantamas, kaip taikos misijos dalyvio jėgos panaudojimas prieš į jį nukreiptą tiesioginę, pavojingą ataką. Kai buvo imtasi veiksmų užkirsti kelią civiliniam karui, teritorijos vientisumo išsaugojimui ar užsienio kariuomenės išvarymui iš Kongo valstybės, jėgos panaudojimo mastas neišvengiamai padidėjo. Todėl taikos misijų dalyviams priskirtos, tradicinei taikos misijai nebūdingos funkcijos, išplečia jėgos panaudojimo savigynai sąvoką.  Paminė</w:t>
      </w:r>
      <w:r w:rsidR="00B13D2E">
        <w:rPr>
          <w:lang w:val="lt-LT"/>
        </w:rPr>
        <w:t>tina, kad pagal šią rezoliuciją</w:t>
      </w:r>
      <w:r w:rsidRPr="0006604A">
        <w:rPr>
          <w:lang w:val="lt-LT"/>
        </w:rPr>
        <w:t xml:space="preserve"> misijos dalyviai įgalioti naudoti jėgą tik būtinybės atveju, todėl nors ir atliekamų funkcijų ratas išsiplėtė,</w:t>
      </w:r>
      <w:r w:rsidR="0080642A">
        <w:rPr>
          <w:lang w:val="lt-LT"/>
        </w:rPr>
        <w:t xml:space="preserve"> manytina, kad tol, kol ji </w:t>
      </w:r>
      <w:r w:rsidR="006148A0">
        <w:rPr>
          <w:lang w:val="lt-LT"/>
        </w:rPr>
        <w:t xml:space="preserve">naudojama tik </w:t>
      </w:r>
      <w:r w:rsidR="006148A0" w:rsidRPr="006148A0">
        <w:rPr>
          <w:i/>
          <w:lang w:val="lt-LT"/>
        </w:rPr>
        <w:t>ultima ratio</w:t>
      </w:r>
      <w:r w:rsidR="00376E56">
        <w:rPr>
          <w:lang w:val="lt-LT"/>
        </w:rPr>
        <w:t>,</w:t>
      </w:r>
      <w:r w:rsidR="008D2E1D">
        <w:rPr>
          <w:lang w:val="lt-LT"/>
        </w:rPr>
        <w:t xml:space="preserve"> laikoma teisėta</w:t>
      </w:r>
      <w:r w:rsidR="006148A0">
        <w:rPr>
          <w:lang w:val="lt-LT"/>
        </w:rPr>
        <w:t xml:space="preserve">. </w:t>
      </w:r>
      <w:r w:rsidR="00C949E1">
        <w:rPr>
          <w:lang w:val="lt-LT"/>
        </w:rPr>
        <w:t>Tač</w:t>
      </w:r>
      <w:r w:rsidR="006148A0">
        <w:rPr>
          <w:lang w:val="lt-LT"/>
        </w:rPr>
        <w:t xml:space="preserve">iau problema čia iškyla dėl </w:t>
      </w:r>
      <w:r w:rsidR="00376E56">
        <w:rPr>
          <w:lang w:val="lt-LT"/>
        </w:rPr>
        <w:t>jėgos pana</w:t>
      </w:r>
      <w:r w:rsidR="0080642A">
        <w:rPr>
          <w:lang w:val="lt-LT"/>
        </w:rPr>
        <w:t xml:space="preserve">udojimo dažnumo. Lyginant </w:t>
      </w:r>
      <w:r w:rsidR="000609B8">
        <w:rPr>
          <w:lang w:val="lt-LT"/>
        </w:rPr>
        <w:t>su tradicin</w:t>
      </w:r>
      <w:r w:rsidR="0080642A">
        <w:rPr>
          <w:lang w:val="lt-LT"/>
        </w:rPr>
        <w:t xml:space="preserve">ėmis </w:t>
      </w:r>
      <w:r w:rsidR="000609B8">
        <w:rPr>
          <w:lang w:val="lt-LT"/>
        </w:rPr>
        <w:t xml:space="preserve"> taikos misijomis, kai jėga buvo naudojama tik savigynos atveju, čia ji išplečiama iki </w:t>
      </w:r>
      <w:r w:rsidR="006968DE">
        <w:rPr>
          <w:lang w:val="lt-LT"/>
        </w:rPr>
        <w:t>taikos misijos dalyviams priskirtų funkcijų</w:t>
      </w:r>
      <w:r w:rsidR="007628D1">
        <w:rPr>
          <w:lang w:val="lt-LT"/>
        </w:rPr>
        <w:t xml:space="preserve"> užtikrinimo</w:t>
      </w:r>
      <w:r w:rsidR="006968DE">
        <w:rPr>
          <w:lang w:val="lt-LT"/>
        </w:rPr>
        <w:t>:</w:t>
      </w:r>
      <w:r w:rsidR="000609B8">
        <w:rPr>
          <w:lang w:val="lt-LT"/>
        </w:rPr>
        <w:t xml:space="preserve"> t.y.</w:t>
      </w:r>
      <w:r w:rsidR="006968DE">
        <w:rPr>
          <w:lang w:val="lt-LT"/>
        </w:rPr>
        <w:t xml:space="preserve"> užkirsti kelią civilinio karo atsiradimui, nutraukti visas karines operacijas</w:t>
      </w:r>
      <w:r w:rsidR="007628D1">
        <w:rPr>
          <w:lang w:val="lt-LT"/>
        </w:rPr>
        <w:t xml:space="preserve"> ir t</w:t>
      </w:r>
      <w:r w:rsidR="006148A0">
        <w:rPr>
          <w:lang w:val="lt-LT"/>
        </w:rPr>
        <w:t>.</w:t>
      </w:r>
      <w:r w:rsidR="007628D1">
        <w:rPr>
          <w:lang w:val="lt-LT"/>
        </w:rPr>
        <w:t xml:space="preserve">t. </w:t>
      </w:r>
      <w:r w:rsidR="006968DE">
        <w:rPr>
          <w:lang w:val="lt-LT"/>
        </w:rPr>
        <w:t xml:space="preserve"> Kai jėgos panaudojimo mastas padidėja, </w:t>
      </w:r>
      <w:r w:rsidR="00FD1EC2">
        <w:rPr>
          <w:lang w:val="lt-LT"/>
        </w:rPr>
        <w:t>g</w:t>
      </w:r>
      <w:r w:rsidR="00376E56">
        <w:rPr>
          <w:lang w:val="lt-LT"/>
        </w:rPr>
        <w:t xml:space="preserve">ali tapti labai sunku atskirti, </w:t>
      </w:r>
      <w:r w:rsidR="006148A0">
        <w:rPr>
          <w:lang w:val="lt-LT"/>
        </w:rPr>
        <w:t xml:space="preserve">kada jėga naudojama tik </w:t>
      </w:r>
      <w:r w:rsidR="006148A0" w:rsidRPr="006148A0">
        <w:rPr>
          <w:i/>
          <w:lang w:val="lt-LT"/>
        </w:rPr>
        <w:t>ultima ratio</w:t>
      </w:r>
      <w:r w:rsidR="00FD1EC2">
        <w:rPr>
          <w:lang w:val="lt-LT"/>
        </w:rPr>
        <w:t xml:space="preserve"> ir ar nėra piktnaudžiaujama naudojant ginklą</w:t>
      </w:r>
      <w:r w:rsidR="006968DE">
        <w:rPr>
          <w:lang w:val="lt-LT"/>
        </w:rPr>
        <w:t>.</w:t>
      </w:r>
    </w:p>
    <w:p w:rsidR="00CA4997" w:rsidRDefault="00F234E7" w:rsidP="00641360">
      <w:pPr>
        <w:autoSpaceDE w:val="0"/>
        <w:autoSpaceDN w:val="0"/>
        <w:adjustRightInd w:val="0"/>
        <w:spacing w:before="100" w:beforeAutospacing="1" w:after="100" w:afterAutospacing="1"/>
        <w:ind w:firstLine="851"/>
        <w:contextualSpacing/>
        <w:rPr>
          <w:lang w:val="lt-LT"/>
        </w:rPr>
      </w:pPr>
      <w:r w:rsidRPr="0006604A">
        <w:rPr>
          <w:lang w:val="lt-LT"/>
        </w:rPr>
        <w:t>Rezoliucijoje Nr</w:t>
      </w:r>
      <w:r w:rsidR="00F24975">
        <w:rPr>
          <w:lang w:val="lt-LT"/>
        </w:rPr>
        <w:t>. 196 misijos dalyviai įgaliojami</w:t>
      </w:r>
      <w:r w:rsidRPr="0006604A">
        <w:rPr>
          <w:lang w:val="lt-LT"/>
        </w:rPr>
        <w:t>: „imtis veiksmų, įskaitant: būtinas ginkluotos jėgos panaudojimo priemones, jeigu yra būtinybė, naudoti ja</w:t>
      </w:r>
      <w:r w:rsidR="00B13D2E">
        <w:rPr>
          <w:lang w:val="lt-LT"/>
        </w:rPr>
        <w:t>s neatidėliotinam sulaikymui, [...</w:t>
      </w:r>
      <w:r w:rsidRPr="0006604A">
        <w:rPr>
          <w:lang w:val="lt-LT"/>
        </w:rPr>
        <w:t>] atliekant išsiuntimą visų Jungtinių Tautų komandai nepriklausančių karini</w:t>
      </w:r>
      <w:r w:rsidR="00B13D2E">
        <w:rPr>
          <w:lang w:val="lt-LT"/>
        </w:rPr>
        <w:t>ų dalinių ir politinių patarėjų</w:t>
      </w:r>
      <w:r w:rsidR="00B13D2E" w:rsidRPr="00B13D2E">
        <w:rPr>
          <w:lang w:val="lt-LT"/>
        </w:rPr>
        <w:t xml:space="preserve"> </w:t>
      </w:r>
      <w:r w:rsidR="00B13D2E" w:rsidRPr="0006604A">
        <w:rPr>
          <w:lang w:val="lt-LT"/>
        </w:rPr>
        <w:t>[…]</w:t>
      </w:r>
      <w:r w:rsidRPr="0006604A">
        <w:rPr>
          <w:lang w:val="lt-LT"/>
        </w:rPr>
        <w:t>“</w:t>
      </w:r>
      <w:r w:rsidRPr="0006604A">
        <w:rPr>
          <w:rStyle w:val="FootnoteReference"/>
          <w:rFonts w:eastAsiaTheme="majorEastAsia"/>
          <w:lang w:val="lt-LT"/>
        </w:rPr>
        <w:footnoteReference w:id="85"/>
      </w:r>
      <w:r w:rsidRPr="0006604A">
        <w:rPr>
          <w:lang w:val="lt-LT"/>
        </w:rPr>
        <w:t xml:space="preserve"> </w:t>
      </w:r>
    </w:p>
    <w:p w:rsidR="00C07389" w:rsidRDefault="00F234E7" w:rsidP="00641360">
      <w:pPr>
        <w:autoSpaceDE w:val="0"/>
        <w:autoSpaceDN w:val="0"/>
        <w:adjustRightInd w:val="0"/>
        <w:spacing w:before="100" w:beforeAutospacing="1" w:after="100" w:afterAutospacing="1"/>
        <w:ind w:firstLine="851"/>
        <w:contextualSpacing/>
        <w:rPr>
          <w:lang w:val="lt-LT"/>
        </w:rPr>
      </w:pPr>
      <w:r w:rsidRPr="0006604A">
        <w:rPr>
          <w:lang w:val="lt-LT"/>
        </w:rPr>
        <w:t>Manytina, kad šioje rezoliucijoje minimas jėgos panaudojimas yra absoliučiai nesuderinamas su pirminiais tradicinių taikos misijų įgaliojimais: misijos dalyviams suteikiama teisė naudoti ginkluotą jėgą, t.y. vykdyti priverstinį taikos vykdymą. Kai misija įsteigiama vadovaujantis pamatiniais taikos misijų principais ir vėliau pereinama iki priverstinio vykdymo, yra paneigiamas pačios misijos neutralumas.</w:t>
      </w:r>
    </w:p>
    <w:p w:rsidR="00F234E7" w:rsidRPr="0006604A" w:rsidRDefault="00F234E7" w:rsidP="00641360">
      <w:pPr>
        <w:autoSpaceDE w:val="0"/>
        <w:autoSpaceDN w:val="0"/>
        <w:adjustRightInd w:val="0"/>
        <w:spacing w:before="100" w:beforeAutospacing="1" w:after="100" w:afterAutospacing="1"/>
        <w:ind w:firstLine="851"/>
        <w:contextualSpacing/>
        <w:rPr>
          <w:lang w:val="lt-LT"/>
        </w:rPr>
      </w:pPr>
      <w:r w:rsidRPr="0006604A">
        <w:rPr>
          <w:lang w:val="lt-LT"/>
        </w:rPr>
        <w:t xml:space="preserve"> Be to, pažymėtina, kad jėgos panaudojimas yra teisėtas tik turint Saugumo Tarybos įgaliojimus veikti pagal VII Chartijos skyrių, tačiau rezoliucijoje tai n</w:t>
      </w:r>
      <w:r w:rsidR="00141115">
        <w:rPr>
          <w:lang w:val="lt-LT"/>
        </w:rPr>
        <w:t>ebuvo paminėta. Chartijos 2 straipsnio 7 dalyje</w:t>
      </w:r>
      <w:r w:rsidRPr="0006604A">
        <w:rPr>
          <w:lang w:val="lt-LT"/>
        </w:rPr>
        <w:t xml:space="preserve"> minimas principas patvirtina, kad kišimasis į kitos valstybės reikalus yra pateisinamas, jeigu yra naudojamos prievartos priemonės pagal Chartijos VII skyrių. Vadinasi</w:t>
      </w:r>
      <w:r w:rsidR="00141115">
        <w:rPr>
          <w:lang w:val="lt-LT"/>
        </w:rPr>
        <w:t>,</w:t>
      </w:r>
      <w:r w:rsidRPr="0006604A">
        <w:rPr>
          <w:lang w:val="lt-LT"/>
        </w:rPr>
        <w:t xml:space="preserve"> neturint įgaliojimų naudoti jėgą pagal Chartijos VII skyrių yra pažeidžiamas ne tik nesikišimo į kitos valstybės reikalus principas, tačiau ir valstybės suvereniteto bei jėgos panaudojimo prieš valstybės teritorinį vientisumą ar politinę nepriklausomybę draudimo principas, kuris, kaip buvo minėta, laikomas teisėta </w:t>
      </w:r>
      <w:r w:rsidR="0006604A" w:rsidRPr="0006604A">
        <w:rPr>
          <w:lang w:val="lt-LT"/>
        </w:rPr>
        <w:t>išimtimi</w:t>
      </w:r>
      <w:r w:rsidRPr="0006604A">
        <w:rPr>
          <w:lang w:val="lt-LT"/>
        </w:rPr>
        <w:t>, tik turint Saugumo Tarybos įgaliojimus.</w:t>
      </w:r>
    </w:p>
    <w:p w:rsidR="00F234E7" w:rsidRPr="0006604A" w:rsidRDefault="00F234E7" w:rsidP="00641360">
      <w:pPr>
        <w:autoSpaceDE w:val="0"/>
        <w:autoSpaceDN w:val="0"/>
        <w:adjustRightInd w:val="0"/>
        <w:spacing w:before="100" w:beforeAutospacing="1" w:after="100" w:afterAutospacing="1"/>
        <w:ind w:firstLine="851"/>
        <w:contextualSpacing/>
        <w:rPr>
          <w:lang w:val="lt-LT"/>
        </w:rPr>
      </w:pPr>
      <w:r w:rsidRPr="0006604A">
        <w:rPr>
          <w:lang w:val="lt-LT"/>
        </w:rPr>
        <w:lastRenderedPageBreak/>
        <w:t xml:space="preserve">Generalinis Sekretorius Dag </w:t>
      </w:r>
      <w:r w:rsidR="0006604A" w:rsidRPr="0006604A">
        <w:rPr>
          <w:lang w:val="lt-LT"/>
        </w:rPr>
        <w:t>Hammarskjold</w:t>
      </w:r>
      <w:r w:rsidRPr="0006604A">
        <w:rPr>
          <w:lang w:val="lt-LT"/>
        </w:rPr>
        <w:t xml:space="preserve"> buvo linkęs į šio ginčo sprendimą tik taikiomis priemonėmis, tačiau po jo mirties minėtos rezoliucijos supratimas iš esmės pasikeičia – teisiniai pagrindai nebelieka tokie svarbūs, o misiją norima pabaigti kuo greičiau.</w:t>
      </w:r>
      <w:r w:rsidRPr="0006604A">
        <w:rPr>
          <w:rStyle w:val="FootnoteReference"/>
          <w:rFonts w:eastAsiaTheme="majorEastAsia"/>
          <w:lang w:val="lt-LT"/>
        </w:rPr>
        <w:footnoteReference w:id="86"/>
      </w:r>
      <w:r w:rsidRPr="0006604A">
        <w:rPr>
          <w:lang w:val="lt-LT"/>
        </w:rPr>
        <w:t xml:space="preserve"> Generalinis Sekretorius misiją laikė išskirtinai tik tradicine taikos misija, tačiau reali situacija buvo kitokia. Kad šios pajėgos buvo įkurdintos remiantis tradiciniais taikos misijų principais</w:t>
      </w:r>
      <w:r w:rsidR="00C879CB">
        <w:rPr>
          <w:lang w:val="lt-LT"/>
        </w:rPr>
        <w:t>,</w:t>
      </w:r>
      <w:r w:rsidRPr="0006604A">
        <w:rPr>
          <w:lang w:val="lt-LT"/>
        </w:rPr>
        <w:t xml:space="preserve"> patvirtina Generalinio Sekretoriaus ataskaita, kurioje jis pakartojo jėgos </w:t>
      </w:r>
      <w:r w:rsidR="0006604A" w:rsidRPr="0006604A">
        <w:rPr>
          <w:lang w:val="lt-LT"/>
        </w:rPr>
        <w:t>panaudojimo</w:t>
      </w:r>
      <w:r w:rsidRPr="0006604A">
        <w:rPr>
          <w:lang w:val="lt-LT"/>
        </w:rPr>
        <w:t xml:space="preserve"> ribas, taikytas misijos Egipte atveju: „kariniai daliniai įgalioti veikti tik savigynos ribose [...] naudodami ginklą jie neturi imtis </w:t>
      </w:r>
      <w:r w:rsidR="0006604A" w:rsidRPr="0006604A">
        <w:rPr>
          <w:lang w:val="lt-LT"/>
        </w:rPr>
        <w:t>iniciatyvos</w:t>
      </w:r>
      <w:r w:rsidRPr="0006604A">
        <w:rPr>
          <w:lang w:val="lt-LT"/>
        </w:rPr>
        <w:t xml:space="preserve">“. </w:t>
      </w:r>
      <w:r w:rsidRPr="0006604A">
        <w:rPr>
          <w:rStyle w:val="FootnoteReference"/>
          <w:rFonts w:eastAsiaTheme="majorEastAsia"/>
          <w:lang w:val="lt-LT"/>
        </w:rPr>
        <w:footnoteReference w:id="87"/>
      </w:r>
      <w:r w:rsidRPr="0006604A">
        <w:rPr>
          <w:lang w:val="lt-LT"/>
        </w:rPr>
        <w:t xml:space="preserve"> Taigi nors operacija Konge pradėjo veikti kaip tradicinė taikos misija, paskutinėje rezoliucijoje ji peraugo į priverstinio vykdymo veiksmus.</w:t>
      </w:r>
    </w:p>
    <w:p w:rsidR="00E456F8" w:rsidRDefault="00E456F8" w:rsidP="00E456F8">
      <w:pPr>
        <w:spacing w:before="100" w:beforeAutospacing="1" w:after="100" w:afterAutospacing="1"/>
        <w:contextualSpacing/>
        <w:jc w:val="right"/>
        <w:rPr>
          <w:lang w:val="lt-LT"/>
        </w:rPr>
      </w:pPr>
    </w:p>
    <w:p w:rsidR="00C00583" w:rsidRPr="0006604A" w:rsidRDefault="00953CB5" w:rsidP="00E456F8">
      <w:pPr>
        <w:spacing w:before="100" w:beforeAutospacing="1" w:after="100" w:afterAutospacing="1"/>
        <w:contextualSpacing/>
        <w:jc w:val="right"/>
        <w:rPr>
          <w:lang w:val="lt-LT"/>
        </w:rPr>
      </w:pPr>
      <w:r w:rsidRPr="0006604A">
        <w:rPr>
          <w:lang w:val="lt-LT"/>
        </w:rPr>
        <w:t xml:space="preserve">Schema </w:t>
      </w:r>
      <w:r w:rsidR="00C00583" w:rsidRPr="0006604A">
        <w:rPr>
          <w:lang w:val="lt-LT"/>
        </w:rPr>
        <w:t>Nr. 2</w:t>
      </w:r>
    </w:p>
    <w:p w:rsidR="002B1491" w:rsidRPr="0006604A" w:rsidRDefault="00C00583" w:rsidP="00BD2ACA">
      <w:pPr>
        <w:spacing w:before="100" w:beforeAutospacing="1" w:after="100" w:afterAutospacing="1"/>
        <w:contextualSpacing/>
        <w:jc w:val="right"/>
        <w:rPr>
          <w:lang w:val="lt-LT"/>
        </w:rPr>
      </w:pPr>
      <w:r w:rsidRPr="0006604A">
        <w:rPr>
          <w:lang w:val="lt-LT"/>
        </w:rPr>
        <w:t xml:space="preserve"> Tradicinė taikos misija Konge</w:t>
      </w:r>
    </w:p>
    <w:p w:rsidR="00F234E7" w:rsidRPr="0006604A" w:rsidRDefault="00275463" w:rsidP="00113D43">
      <w:pPr>
        <w:spacing w:before="100" w:beforeAutospacing="1" w:after="100" w:afterAutospacing="1"/>
        <w:contextualSpacing/>
        <w:rPr>
          <w:lang w:val="lt-LT"/>
        </w:rPr>
      </w:pPr>
      <w:r>
        <w:rPr>
          <w:lang w:val="lt-LT"/>
        </w:rPr>
        <w:pict>
          <v:roundrect id="_x0000_s1041" style="position:absolute;left:0;text-align:left;margin-left:12.25pt;margin-top:10.1pt;width:174pt;height:202.5pt;z-index:251660288" arcsize="3225f" strokecolor="#4f81bd" strokeweight="1pt">
            <v:stroke dashstyle="dash"/>
            <v:shadow color="#868686"/>
            <v:textbox style="mso-next-textbox:#_x0000_s1041">
              <w:txbxContent>
                <w:p w:rsidR="00F63CC2" w:rsidRDefault="00F63CC2" w:rsidP="00F234E7">
                  <w:pPr>
                    <w:jc w:val="center"/>
                    <w:rPr>
                      <w:lang w:val="lt-LT"/>
                    </w:rPr>
                  </w:pPr>
                  <w:r>
                    <w:rPr>
                      <w:lang w:val="lt-LT"/>
                    </w:rPr>
                    <w:t>MISIJOS KONGE TEISINIS PAGRINDAS</w:t>
                  </w:r>
                </w:p>
                <w:p w:rsidR="00F63CC2" w:rsidRDefault="00F63CC2" w:rsidP="00F234E7">
                  <w:pPr>
                    <w:jc w:val="center"/>
                    <w:rPr>
                      <w:lang w:val="lt-LT"/>
                    </w:rPr>
                  </w:pPr>
                </w:p>
                <w:p w:rsidR="00F63CC2" w:rsidRPr="00FF5F93" w:rsidRDefault="00F63CC2" w:rsidP="00F234E7">
                  <w:pPr>
                    <w:jc w:val="center"/>
                    <w:rPr>
                      <w:lang w:val="lt-LT"/>
                    </w:rPr>
                  </w:pPr>
                </w:p>
              </w:txbxContent>
            </v:textbox>
          </v:roundrect>
        </w:pict>
      </w:r>
    </w:p>
    <w:p w:rsidR="00F234E7" w:rsidRPr="0006604A" w:rsidRDefault="00F234E7" w:rsidP="00113D43">
      <w:pPr>
        <w:spacing w:before="100" w:beforeAutospacing="1" w:after="100" w:afterAutospacing="1"/>
        <w:contextualSpacing/>
        <w:rPr>
          <w:lang w:val="lt-LT"/>
        </w:rPr>
      </w:pPr>
      <w:r w:rsidRPr="0006604A">
        <w:rPr>
          <w:noProof/>
          <w:lang w:val="lt-LT" w:eastAsia="lt-LT"/>
        </w:rPr>
        <w:drawing>
          <wp:anchor distT="0" distB="13335" distL="114300" distR="114300" simplePos="0" relativeHeight="251661312" behindDoc="0" locked="0" layoutInCell="1" allowOverlap="1">
            <wp:simplePos x="0" y="0"/>
            <wp:positionH relativeFrom="column">
              <wp:posOffset>352552</wp:posOffset>
            </wp:positionH>
            <wp:positionV relativeFrom="paragraph">
              <wp:posOffset>359664</wp:posOffset>
            </wp:positionV>
            <wp:extent cx="5705475" cy="1933321"/>
            <wp:effectExtent l="57150" t="361950" r="9525" b="0"/>
            <wp:wrapNone/>
            <wp:docPr id="14"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anchor>
        </w:drawing>
      </w:r>
    </w:p>
    <w:p w:rsidR="00F234E7" w:rsidRPr="0006604A" w:rsidRDefault="00F234E7" w:rsidP="00113D43">
      <w:pPr>
        <w:spacing w:before="100" w:beforeAutospacing="1" w:after="100" w:afterAutospacing="1"/>
        <w:contextualSpacing/>
        <w:rPr>
          <w:lang w:val="lt-LT"/>
        </w:rPr>
      </w:pPr>
    </w:p>
    <w:p w:rsidR="00F234E7" w:rsidRPr="0006604A" w:rsidRDefault="00F234E7" w:rsidP="00113D43">
      <w:pPr>
        <w:spacing w:before="100" w:beforeAutospacing="1" w:after="100" w:afterAutospacing="1"/>
        <w:contextualSpacing/>
        <w:rPr>
          <w:lang w:val="lt-LT"/>
        </w:rPr>
      </w:pPr>
    </w:p>
    <w:p w:rsidR="00F234E7" w:rsidRPr="0006604A" w:rsidRDefault="00F234E7" w:rsidP="00113D43">
      <w:pPr>
        <w:spacing w:before="100" w:beforeAutospacing="1" w:after="100" w:afterAutospacing="1"/>
        <w:contextualSpacing/>
        <w:rPr>
          <w:lang w:val="lt-LT"/>
        </w:rPr>
      </w:pPr>
    </w:p>
    <w:p w:rsidR="00F234E7" w:rsidRPr="0006604A" w:rsidRDefault="00F234E7" w:rsidP="00113D43">
      <w:pPr>
        <w:spacing w:before="100" w:beforeAutospacing="1" w:after="100" w:afterAutospacing="1"/>
        <w:contextualSpacing/>
        <w:rPr>
          <w:lang w:val="lt-LT"/>
        </w:rPr>
      </w:pPr>
    </w:p>
    <w:p w:rsidR="00F234E7" w:rsidRPr="0006604A" w:rsidRDefault="00F234E7" w:rsidP="00113D43">
      <w:pPr>
        <w:spacing w:before="100" w:beforeAutospacing="1" w:after="100" w:afterAutospacing="1"/>
        <w:contextualSpacing/>
        <w:rPr>
          <w:lang w:val="lt-LT"/>
        </w:rPr>
      </w:pPr>
    </w:p>
    <w:p w:rsidR="00F234E7" w:rsidRPr="0006604A" w:rsidRDefault="00F234E7" w:rsidP="00113D43">
      <w:pPr>
        <w:spacing w:before="100" w:beforeAutospacing="1" w:after="100" w:afterAutospacing="1"/>
        <w:contextualSpacing/>
        <w:rPr>
          <w:lang w:val="lt-LT"/>
        </w:rPr>
      </w:pPr>
    </w:p>
    <w:p w:rsidR="00F234E7" w:rsidRPr="0006604A" w:rsidRDefault="00F234E7" w:rsidP="00113D43">
      <w:pPr>
        <w:spacing w:before="100" w:beforeAutospacing="1" w:after="100" w:afterAutospacing="1"/>
        <w:contextualSpacing/>
        <w:rPr>
          <w:lang w:val="lt-LT"/>
        </w:rPr>
      </w:pPr>
    </w:p>
    <w:p w:rsidR="00F234E7" w:rsidRPr="0006604A" w:rsidRDefault="00F234E7" w:rsidP="00113D43">
      <w:pPr>
        <w:spacing w:before="100" w:beforeAutospacing="1" w:after="100" w:afterAutospacing="1"/>
        <w:contextualSpacing/>
        <w:rPr>
          <w:lang w:val="lt-LT"/>
        </w:rPr>
      </w:pPr>
    </w:p>
    <w:p w:rsidR="002B1491" w:rsidRPr="0006604A" w:rsidRDefault="002B1491" w:rsidP="00113D43">
      <w:pPr>
        <w:spacing w:before="100" w:beforeAutospacing="1" w:after="100" w:afterAutospacing="1"/>
        <w:contextualSpacing/>
        <w:rPr>
          <w:lang w:val="lt-LT"/>
        </w:rPr>
      </w:pPr>
    </w:p>
    <w:p w:rsidR="00BD2ACA" w:rsidRDefault="00BD2ACA" w:rsidP="00641360">
      <w:pPr>
        <w:autoSpaceDE w:val="0"/>
        <w:autoSpaceDN w:val="0"/>
        <w:adjustRightInd w:val="0"/>
        <w:spacing w:before="100" w:beforeAutospacing="1" w:after="100" w:afterAutospacing="1"/>
        <w:ind w:firstLine="851"/>
        <w:contextualSpacing/>
        <w:rPr>
          <w:lang w:val="lt-LT"/>
        </w:rPr>
      </w:pPr>
    </w:p>
    <w:p w:rsidR="00F234E7" w:rsidRPr="0006604A" w:rsidRDefault="00C07389" w:rsidP="00641360">
      <w:pPr>
        <w:autoSpaceDE w:val="0"/>
        <w:autoSpaceDN w:val="0"/>
        <w:adjustRightInd w:val="0"/>
        <w:spacing w:before="100" w:beforeAutospacing="1" w:after="100" w:afterAutospacing="1"/>
        <w:ind w:firstLine="851"/>
        <w:contextualSpacing/>
        <w:rPr>
          <w:lang w:val="lt-LT"/>
        </w:rPr>
      </w:pPr>
      <w:r>
        <w:rPr>
          <w:lang w:val="lt-LT"/>
        </w:rPr>
        <w:t xml:space="preserve">Apibendrinant teigiame, jog </w:t>
      </w:r>
      <w:r w:rsidR="00F234E7" w:rsidRPr="0006604A">
        <w:rPr>
          <w:lang w:val="lt-LT"/>
        </w:rPr>
        <w:t>Jungtinių Tautų operacija Kongo valstybėje buvo įkurta vadovaujantis tradiciniais taikos misij</w:t>
      </w:r>
      <w:r>
        <w:rPr>
          <w:lang w:val="lt-LT"/>
        </w:rPr>
        <w:t>ų metu išvystytais principais, tačiau p</w:t>
      </w:r>
      <w:r w:rsidR="00F234E7" w:rsidRPr="0006604A">
        <w:rPr>
          <w:lang w:val="lt-LT"/>
        </w:rPr>
        <w:t>adidėjus atliekamų funkcijų ratui, padidėja ir jėg</w:t>
      </w:r>
      <w:r w:rsidR="00BD445C">
        <w:rPr>
          <w:lang w:val="lt-LT"/>
        </w:rPr>
        <w:t>os panaudojimo savigynai mastas,</w:t>
      </w:r>
      <w:r w:rsidR="00F234E7" w:rsidRPr="0006604A">
        <w:rPr>
          <w:lang w:val="lt-LT"/>
        </w:rPr>
        <w:t xml:space="preserve"> kuris paskutinėje rezoliucijoje išplečiam</w:t>
      </w:r>
      <w:r w:rsidR="00C879CB">
        <w:rPr>
          <w:lang w:val="lt-LT"/>
        </w:rPr>
        <w:t xml:space="preserve">as iki priverstinio vykdymo ir </w:t>
      </w:r>
      <w:r w:rsidR="00F234E7" w:rsidRPr="0006604A">
        <w:rPr>
          <w:lang w:val="lt-LT"/>
        </w:rPr>
        <w:t xml:space="preserve">be teisėto pagrindo: minimas ginkluotos jėgos panaudojimas,  neturint  Saugumo Tarybos įgaliojimo pagal Chartijos VII skyrių.  </w:t>
      </w:r>
    </w:p>
    <w:p w:rsidR="00F234E7" w:rsidRPr="0006604A" w:rsidRDefault="00F234E7" w:rsidP="00113D43">
      <w:pPr>
        <w:pStyle w:val="Heading2"/>
        <w:numPr>
          <w:ilvl w:val="1"/>
          <w:numId w:val="2"/>
        </w:numPr>
        <w:rPr>
          <w:sz w:val="24"/>
          <w:szCs w:val="24"/>
          <w:lang w:val="lt-LT"/>
        </w:rPr>
      </w:pPr>
      <w:bookmarkStart w:id="20" w:name="_Toc280556720"/>
      <w:bookmarkStart w:id="21" w:name="_Toc280807839"/>
      <w:r w:rsidRPr="0006604A">
        <w:rPr>
          <w:sz w:val="24"/>
          <w:szCs w:val="24"/>
          <w:lang w:val="lt-LT"/>
        </w:rPr>
        <w:lastRenderedPageBreak/>
        <w:t>Platesnio masto taikos operacijos</w:t>
      </w:r>
      <w:bookmarkEnd w:id="20"/>
      <w:bookmarkEnd w:id="21"/>
      <w:r w:rsidRPr="0006604A">
        <w:rPr>
          <w:sz w:val="24"/>
          <w:szCs w:val="24"/>
          <w:lang w:val="lt-LT"/>
        </w:rPr>
        <w:t xml:space="preserve"> </w:t>
      </w:r>
    </w:p>
    <w:p w:rsidR="00F234E7" w:rsidRPr="0006604A" w:rsidRDefault="00F234E7" w:rsidP="00F1094F">
      <w:pPr>
        <w:spacing w:before="100" w:beforeAutospacing="1" w:after="100" w:afterAutospacing="1"/>
        <w:ind w:firstLine="851"/>
        <w:contextualSpacing/>
        <w:rPr>
          <w:lang w:val="lt-LT"/>
        </w:rPr>
      </w:pPr>
      <w:r w:rsidRPr="0006604A">
        <w:rPr>
          <w:lang w:val="lt-LT"/>
        </w:rPr>
        <w:t>Platesnio masto taikos misijų operacijos įkurdinamos ten, kur konfliktinė situacija yra daug sudėtingesnė – civiliniuose karuose valstybės viduje. Esant didelio masto bei sud</w:t>
      </w:r>
      <w:r w:rsidR="00B70F7F">
        <w:rPr>
          <w:lang w:val="lt-LT"/>
        </w:rPr>
        <w:t>ėtingai konfliktinei situacijai</w:t>
      </w:r>
      <w:r w:rsidRPr="0006604A">
        <w:rPr>
          <w:lang w:val="lt-LT"/>
        </w:rPr>
        <w:t xml:space="preserve"> atitinkamai ir funkcijų ratas tampa daug platesnis. Tačiau ne visas funkcijas galima įgyvendinti esant tokioms sąlygoms ir turint tokius įgaliojimus, kokius turėjo misijos dalyviai Bosnijoje. 1995 metais per vieną savaitę Jungtinių Tautų kontroliuojamame ir sa</w:t>
      </w:r>
      <w:r w:rsidR="00B70F7F">
        <w:rPr>
          <w:lang w:val="lt-LT"/>
        </w:rPr>
        <w:t xml:space="preserve">ugumo zona paskelbtame mieste ‒ </w:t>
      </w:r>
      <w:r w:rsidRPr="0006604A">
        <w:rPr>
          <w:lang w:val="lt-LT"/>
        </w:rPr>
        <w:t>Srebrenikoje buvo nužudyta 8 tūkstančiai musulmonų vyrų.</w:t>
      </w:r>
    </w:p>
    <w:p w:rsidR="00F234E7" w:rsidRPr="0006604A" w:rsidRDefault="00F234E7" w:rsidP="00F1094F">
      <w:pPr>
        <w:spacing w:before="100" w:beforeAutospacing="1" w:after="100" w:afterAutospacing="1"/>
        <w:ind w:firstLine="851"/>
        <w:contextualSpacing/>
        <w:rPr>
          <w:lang w:val="lt-LT"/>
        </w:rPr>
      </w:pPr>
      <w:r w:rsidRPr="0006604A">
        <w:rPr>
          <w:lang w:val="lt-LT"/>
        </w:rPr>
        <w:t>Karas Bosnijoje prasidėjo 1992 metais, kai Bosnijos Serbai, nenorėdami priimti mažumos statuso nepriklausomoje Bosnijoje, boikotavo jos referendumą. P</w:t>
      </w:r>
      <w:r w:rsidR="00393F6A">
        <w:rPr>
          <w:lang w:val="lt-LT"/>
        </w:rPr>
        <w:t>er kelis mėnesius serbų pajėgos,</w:t>
      </w:r>
      <w:r w:rsidRPr="0006604A">
        <w:rPr>
          <w:lang w:val="lt-LT"/>
        </w:rPr>
        <w:t xml:space="preserve"> padedant Jugoslavijos armijai</w:t>
      </w:r>
      <w:r w:rsidR="00393F6A">
        <w:rPr>
          <w:lang w:val="lt-LT"/>
        </w:rPr>
        <w:t>,</w:t>
      </w:r>
      <w:r w:rsidRPr="0006604A">
        <w:rPr>
          <w:lang w:val="lt-LT"/>
        </w:rPr>
        <w:t xml:space="preserve"> kontroliavo daugiau negu šešiasdešimt procentų naujai pripažintos respublikos.</w:t>
      </w:r>
      <w:r w:rsidRPr="0006604A">
        <w:rPr>
          <w:rStyle w:val="FootnoteReference"/>
          <w:rFonts w:eastAsiaTheme="majorEastAsia"/>
          <w:lang w:val="lt-LT"/>
        </w:rPr>
        <w:footnoteReference w:id="88"/>
      </w:r>
      <w:r w:rsidRPr="0006604A">
        <w:rPr>
          <w:lang w:val="lt-LT"/>
        </w:rPr>
        <w:t xml:space="preserve"> 1992 metais Bosnijoje ir Hercegovinoje pradėjo veikti Jungtinių Tautų saugumo pajėgos  (angl. UNPROFOR). Saugumo Taryba remdamasi Chartijos VII skyriumi reikalavo šalis sukurti sąlygas, būtinas nekliudomam humanitarinės pagalbos tiekimui į Sarajevo ir kitus Bosnijos ir Hercegovinos miestus, taip pat įkurti saugumo zoną Sarajeve ir  oro uoste.</w:t>
      </w:r>
      <w:r w:rsidRPr="0006604A">
        <w:rPr>
          <w:rStyle w:val="FootnoteReference"/>
          <w:rFonts w:eastAsiaTheme="majorEastAsia"/>
          <w:lang w:val="lt-LT"/>
        </w:rPr>
        <w:footnoteReference w:id="89"/>
      </w:r>
      <w:r w:rsidRPr="0006604A">
        <w:rPr>
          <w:lang w:val="lt-LT" w:eastAsia="lt-LT"/>
        </w:rPr>
        <w:t xml:space="preserve"> Platesnio masto taikos misijos Bosnijoje tikslas</w:t>
      </w:r>
      <w:r w:rsidRPr="0006604A">
        <w:rPr>
          <w:lang w:val="lt-LT"/>
        </w:rPr>
        <w:t xml:space="preserve"> buvo užtikrinti humanitarinės pagalbos agentūrų  nekliudomą veiklą.</w:t>
      </w:r>
    </w:p>
    <w:p w:rsidR="00F234E7" w:rsidRPr="0006604A" w:rsidRDefault="00F234E7" w:rsidP="00F1094F">
      <w:pPr>
        <w:spacing w:before="100" w:beforeAutospacing="1" w:after="100" w:afterAutospacing="1"/>
        <w:ind w:firstLine="851"/>
        <w:contextualSpacing/>
        <w:rPr>
          <w:lang w:val="lt-LT"/>
        </w:rPr>
      </w:pPr>
      <w:r w:rsidRPr="0006604A">
        <w:rPr>
          <w:lang w:val="lt-LT"/>
        </w:rPr>
        <w:t>Kai konfliktas dar labiau išplito, Jungtinės Tautos buvo priverstos į jį įsitraukti daug intensyviau. 1992 metais rugsėjo 14 dieną Saugumo Taryba įgalioja padidinti Jungtinių Tautų pajėgų skaičių ir taip palengvinti humanitarinės pagalbos teikimą.</w:t>
      </w:r>
      <w:r w:rsidRPr="0006604A">
        <w:rPr>
          <w:rStyle w:val="FootnoteReference"/>
          <w:rFonts w:eastAsiaTheme="majorEastAsia"/>
          <w:lang w:val="lt-LT"/>
        </w:rPr>
        <w:footnoteReference w:id="90"/>
      </w:r>
      <w:r w:rsidRPr="0006604A">
        <w:rPr>
          <w:lang w:val="lt-LT"/>
        </w:rPr>
        <w:t xml:space="preserve"> Problema buvo tokia, kad dalyviams nebuvo paaiškinta, kaip tiksliai tai daryti. Bosnijos serbai pradėjo kontroliuoti humanitarinės pagalbos tiekimą, nes misijos dalyviai nebuvo pajėgūs užkirsti kelią plėšimams ir išpuoliams. Vadinasi</w:t>
      </w:r>
      <w:r w:rsidR="00DE4AF4">
        <w:rPr>
          <w:lang w:val="lt-LT"/>
        </w:rPr>
        <w:t>,</w:t>
      </w:r>
      <w:r w:rsidRPr="0006604A">
        <w:rPr>
          <w:lang w:val="lt-LT"/>
        </w:rPr>
        <w:t xml:space="preserve"> taikos misijos dalyvių įgaliojimai buvo </w:t>
      </w:r>
      <w:r w:rsidR="00DE4AF4">
        <w:rPr>
          <w:lang w:val="lt-LT"/>
        </w:rPr>
        <w:t xml:space="preserve">nepakankami, </w:t>
      </w:r>
      <w:r w:rsidR="0006604A" w:rsidRPr="0006604A">
        <w:rPr>
          <w:lang w:val="lt-LT"/>
        </w:rPr>
        <w:t>kad</w:t>
      </w:r>
      <w:r w:rsidRPr="0006604A">
        <w:rPr>
          <w:lang w:val="lt-LT"/>
        </w:rPr>
        <w:t xml:space="preserve"> būtų atlaikytas didelis Bosnijos serbų pasipriešinimas.</w:t>
      </w:r>
    </w:p>
    <w:p w:rsidR="00605A37" w:rsidRDefault="00F234E7" w:rsidP="001D2B4E">
      <w:pPr>
        <w:spacing w:before="100" w:beforeAutospacing="1" w:after="100" w:afterAutospacing="1"/>
        <w:ind w:firstLine="851"/>
        <w:contextualSpacing/>
        <w:rPr>
          <w:lang w:val="lt-LT"/>
        </w:rPr>
      </w:pPr>
      <w:r w:rsidRPr="0006604A">
        <w:rPr>
          <w:lang w:val="lt-LT"/>
        </w:rPr>
        <w:t>1993 metais balandžio 16 dieną Saugumo Taryba išleidžia rezoliuciją, kurioje teigiama: „Saugumo Taryba reikalauja, kad visos ginčo šalys Srebrenikos miestą laikytu saugumo zona, kurioje negalimos karinės atakos ar kiti priešiški veiksmai“.</w:t>
      </w:r>
      <w:r w:rsidRPr="0006604A">
        <w:rPr>
          <w:rStyle w:val="FootnoteReference"/>
          <w:rFonts w:eastAsiaTheme="majorEastAsia"/>
          <w:lang w:val="lt-LT"/>
        </w:rPr>
        <w:footnoteReference w:id="91"/>
      </w:r>
      <w:r w:rsidRPr="0006604A">
        <w:rPr>
          <w:lang w:val="lt-LT"/>
        </w:rPr>
        <w:t xml:space="preserve"> Vėliau tiek Bosnijos ir Hercegovinos sostinė – Sara</w:t>
      </w:r>
      <w:r w:rsidR="00DE4AF4">
        <w:rPr>
          <w:lang w:val="lt-LT"/>
        </w:rPr>
        <w:t xml:space="preserve">jevas, tiek kiti miestai, kaip </w:t>
      </w:r>
      <w:r w:rsidRPr="0006604A">
        <w:rPr>
          <w:lang w:val="lt-LT"/>
        </w:rPr>
        <w:t xml:space="preserve">Tuzla, Zepa, Gorazde ir Bihac taip pat pripažinti saugumo </w:t>
      </w:r>
      <w:r w:rsidRPr="0006604A">
        <w:rPr>
          <w:lang w:val="lt-LT"/>
        </w:rPr>
        <w:lastRenderedPageBreak/>
        <w:t>zonomis: „sulaikyti Bosnijos serbų karinius ir pusiau karinius vienetus šiuose miestuose ir tokiu atstumu, kad nebeliktų pavojaus miestų saugumui.“</w:t>
      </w:r>
      <w:r w:rsidRPr="0006604A">
        <w:rPr>
          <w:rStyle w:val="FootnoteReference"/>
          <w:rFonts w:eastAsiaTheme="majorEastAsia"/>
          <w:lang w:val="lt-LT"/>
        </w:rPr>
        <w:footnoteReference w:id="92"/>
      </w:r>
      <w:r w:rsidRPr="0006604A">
        <w:rPr>
          <w:lang w:val="lt-LT"/>
        </w:rPr>
        <w:t xml:space="preserve"> Saugumo Taryba sukūrė saugumo teritorijas net keliuose miestuose bei įgaliojo misijos dalyvius atlaikyti atakas prieš gyventojus. Tačiau svarbu pažymėti, kad saugumo zonos turi būti demilitarizuotos ir įkurtos turint kariaujančių šalių sutikimą, jos taip pat turi tapti „saugumo prieglobsčiu“, pripažintu tarptautinės humanitarinės teisės arba</w:t>
      </w:r>
      <w:r w:rsidR="009B456F">
        <w:rPr>
          <w:lang w:val="lt-LT"/>
        </w:rPr>
        <w:t>,</w:t>
      </w:r>
      <w:r w:rsidRPr="0006604A">
        <w:rPr>
          <w:lang w:val="lt-LT"/>
        </w:rPr>
        <w:t xml:space="preserve"> kitaip tariant, saugumo zonos turi tapti tikromis saugumo zonomis ir būti ginamos patikimos kariuomenės.</w:t>
      </w:r>
      <w:r w:rsidRPr="0006604A">
        <w:rPr>
          <w:rStyle w:val="FootnoteReference"/>
          <w:rFonts w:eastAsiaTheme="majorEastAsia"/>
          <w:lang w:val="lt-LT"/>
        </w:rPr>
        <w:footnoteReference w:id="93"/>
      </w:r>
      <w:r w:rsidR="00CD1A97">
        <w:rPr>
          <w:lang w:val="lt-LT"/>
        </w:rPr>
        <w:t xml:space="preserve"> Šio konflikto metu</w:t>
      </w:r>
      <w:r w:rsidRPr="0006604A">
        <w:rPr>
          <w:lang w:val="lt-LT"/>
        </w:rPr>
        <w:t xml:space="preserve"> Saugumo Taryba </w:t>
      </w:r>
      <w:r w:rsidR="00410DA3">
        <w:rPr>
          <w:lang w:val="lt-LT"/>
        </w:rPr>
        <w:t>įsteigė zonas be šalių sutikimo.</w:t>
      </w:r>
      <w:r w:rsidR="00605A37">
        <w:rPr>
          <w:lang w:val="lt-LT"/>
        </w:rPr>
        <w:t xml:space="preserve"> </w:t>
      </w:r>
      <w:r w:rsidR="005B3B7B">
        <w:rPr>
          <w:lang w:val="lt-LT"/>
        </w:rPr>
        <w:t>Tačiau paminėtina,</w:t>
      </w:r>
      <w:r w:rsidR="00D908F5">
        <w:rPr>
          <w:lang w:val="lt-LT"/>
        </w:rPr>
        <w:t xml:space="preserve"> </w:t>
      </w:r>
      <w:r w:rsidR="00787377">
        <w:rPr>
          <w:lang w:val="lt-LT"/>
        </w:rPr>
        <w:t xml:space="preserve"> </w:t>
      </w:r>
      <w:r w:rsidR="005B3B7B">
        <w:rPr>
          <w:lang w:val="lt-LT"/>
        </w:rPr>
        <w:t>jog</w:t>
      </w:r>
      <w:r w:rsidR="001D2B4E">
        <w:rPr>
          <w:lang w:val="lt-LT"/>
        </w:rPr>
        <w:t xml:space="preserve"> Saugumo Ta</w:t>
      </w:r>
      <w:r w:rsidR="00D908F5">
        <w:rPr>
          <w:lang w:val="lt-LT"/>
        </w:rPr>
        <w:t>ryba gali sukurti saugumo zonas</w:t>
      </w:r>
      <w:r w:rsidR="005B3B7B">
        <w:rPr>
          <w:lang w:val="lt-LT"/>
        </w:rPr>
        <w:t xml:space="preserve"> </w:t>
      </w:r>
      <w:r w:rsidR="001D2B4E">
        <w:rPr>
          <w:lang w:val="lt-LT"/>
        </w:rPr>
        <w:t xml:space="preserve">be šalies sutikimo </w:t>
      </w:r>
      <w:r w:rsidR="009B456F">
        <w:rPr>
          <w:lang w:val="lt-LT"/>
        </w:rPr>
        <w:t xml:space="preserve">ir tai </w:t>
      </w:r>
      <w:r w:rsidR="001D2B4E">
        <w:rPr>
          <w:lang w:val="lt-LT"/>
        </w:rPr>
        <w:t>patvirtina Chartijos VII skyrius</w:t>
      </w:r>
      <w:r w:rsidR="00605A37" w:rsidRPr="00605A37">
        <w:rPr>
          <w:lang w:val="lt-LT"/>
        </w:rPr>
        <w:t>.</w:t>
      </w:r>
      <w:r w:rsidR="00143F96">
        <w:rPr>
          <w:rStyle w:val="FootnoteReference"/>
          <w:lang w:val="lt-LT"/>
        </w:rPr>
        <w:footnoteReference w:id="94"/>
      </w:r>
      <w:r w:rsidR="00143F96">
        <w:rPr>
          <w:lang w:val="lt-LT"/>
        </w:rPr>
        <w:t xml:space="preserve"> </w:t>
      </w:r>
      <w:r w:rsidR="004B750F">
        <w:rPr>
          <w:lang w:val="lt-LT"/>
        </w:rPr>
        <w:t>Bosnijos i</w:t>
      </w:r>
      <w:r w:rsidR="003C6E95">
        <w:rPr>
          <w:lang w:val="lt-LT"/>
        </w:rPr>
        <w:t>r Hercegovinos atveju</w:t>
      </w:r>
      <w:r w:rsidR="00D908F5">
        <w:rPr>
          <w:lang w:val="lt-LT"/>
        </w:rPr>
        <w:t xml:space="preserve"> S</w:t>
      </w:r>
      <w:r w:rsidR="003C6E95">
        <w:rPr>
          <w:lang w:val="lt-LT"/>
        </w:rPr>
        <w:t>augumo Taryba</w:t>
      </w:r>
      <w:r w:rsidR="004B750F">
        <w:rPr>
          <w:lang w:val="lt-LT"/>
        </w:rPr>
        <w:t xml:space="preserve"> tiek paskelbdama Srebrenikos miestą, tiek kitus miestus saugumo zonomis rėmėsi Chartijos VII skyrium</w:t>
      </w:r>
      <w:r w:rsidR="00143F96">
        <w:rPr>
          <w:lang w:val="lt-LT"/>
        </w:rPr>
        <w:t xml:space="preserve">i. </w:t>
      </w:r>
      <w:r w:rsidR="009B456F">
        <w:rPr>
          <w:lang w:val="lt-LT"/>
        </w:rPr>
        <w:t xml:space="preserve">Kaip jau buvo minėta pirmame skyriuje, </w:t>
      </w:r>
      <w:r w:rsidR="00143F96">
        <w:rPr>
          <w:lang w:val="lt-LT"/>
        </w:rPr>
        <w:t>Chartijos VII skyriu</w:t>
      </w:r>
      <w:r w:rsidR="009B456F">
        <w:rPr>
          <w:lang w:val="lt-LT"/>
        </w:rPr>
        <w:t>s</w:t>
      </w:r>
      <w:r w:rsidR="00143F96">
        <w:rPr>
          <w:lang w:val="lt-LT"/>
        </w:rPr>
        <w:t xml:space="preserve"> įtvirtin</w:t>
      </w:r>
      <w:r w:rsidR="009B456F">
        <w:rPr>
          <w:lang w:val="lt-LT"/>
        </w:rPr>
        <w:t>a</w:t>
      </w:r>
      <w:r w:rsidR="00143F96">
        <w:rPr>
          <w:lang w:val="lt-LT"/>
        </w:rPr>
        <w:t xml:space="preserve"> speciali</w:t>
      </w:r>
      <w:r w:rsidR="009B456F">
        <w:rPr>
          <w:lang w:val="lt-LT"/>
        </w:rPr>
        <w:t>a</w:t>
      </w:r>
      <w:r w:rsidR="00143F96">
        <w:rPr>
          <w:lang w:val="lt-LT"/>
        </w:rPr>
        <w:t>s Saugumo Tarybos gali</w:t>
      </w:r>
      <w:r w:rsidR="009B456F">
        <w:rPr>
          <w:lang w:val="lt-LT"/>
        </w:rPr>
        <w:t>a</w:t>
      </w:r>
      <w:r w:rsidR="00143F96">
        <w:rPr>
          <w:lang w:val="lt-LT"/>
        </w:rPr>
        <w:t>s</w:t>
      </w:r>
      <w:r w:rsidR="009B456F">
        <w:rPr>
          <w:lang w:val="lt-LT"/>
        </w:rPr>
        <w:t>, kai ji gali spręsti, kokių reikia imtis priemonių siekiant palaikyti arba atkurti tarptautinę taiką ir saugumą. Saugumo zonų įkūrimas</w:t>
      </w:r>
      <w:r w:rsidR="00D908F5">
        <w:rPr>
          <w:lang w:val="lt-LT"/>
        </w:rPr>
        <w:t xml:space="preserve"> ‒ </w:t>
      </w:r>
      <w:r w:rsidR="009B456F">
        <w:rPr>
          <w:lang w:val="lt-LT"/>
        </w:rPr>
        <w:t>viena iš galimų priemonių.</w:t>
      </w:r>
    </w:p>
    <w:p w:rsidR="00F234E7" w:rsidRPr="0006604A" w:rsidRDefault="00307D1D" w:rsidP="0043317A">
      <w:pPr>
        <w:spacing w:before="100" w:beforeAutospacing="1" w:after="100" w:afterAutospacing="1"/>
        <w:ind w:firstLine="851"/>
        <w:contextualSpacing/>
        <w:rPr>
          <w:lang w:val="lt-LT"/>
        </w:rPr>
      </w:pPr>
      <w:r>
        <w:rPr>
          <w:lang w:val="lt-LT"/>
        </w:rPr>
        <w:t xml:space="preserve"> Kaip buvo teigiama prieš tai minėtoje Generalinio Sekretoriaus ataskaitoje</w:t>
      </w:r>
      <w:r w:rsidR="009B32A6">
        <w:rPr>
          <w:lang w:val="lt-LT"/>
        </w:rPr>
        <w:t>, „saugumo zonos turi būti ginamos patikimos kariuomenės“. Tači</w:t>
      </w:r>
      <w:r w:rsidR="00143F96">
        <w:rPr>
          <w:lang w:val="lt-LT"/>
        </w:rPr>
        <w:t>a</w:t>
      </w:r>
      <w:r w:rsidR="009B32A6">
        <w:rPr>
          <w:lang w:val="lt-LT"/>
        </w:rPr>
        <w:t>u praktikoje</w:t>
      </w:r>
      <w:r w:rsidR="00143F96">
        <w:rPr>
          <w:lang w:val="lt-LT"/>
        </w:rPr>
        <w:t xml:space="preserve"> </w:t>
      </w:r>
      <w:r w:rsidR="009B32A6">
        <w:rPr>
          <w:lang w:val="lt-LT"/>
        </w:rPr>
        <w:t>saugumo zonos</w:t>
      </w:r>
      <w:r w:rsidR="00143F96">
        <w:rPr>
          <w:lang w:val="lt-LT"/>
        </w:rPr>
        <w:t xml:space="preserve"> </w:t>
      </w:r>
      <w:r>
        <w:rPr>
          <w:lang w:val="lt-LT"/>
        </w:rPr>
        <w:t>neturėjo</w:t>
      </w:r>
      <w:r w:rsidR="00F234E7" w:rsidRPr="0006604A">
        <w:rPr>
          <w:lang w:val="lt-LT"/>
        </w:rPr>
        <w:t xml:space="preserve"> atgrasomojo poveikio.</w:t>
      </w:r>
      <w:r w:rsidR="00143F96">
        <w:rPr>
          <w:lang w:val="lt-LT"/>
        </w:rPr>
        <w:t xml:space="preserve"> </w:t>
      </w:r>
      <w:r w:rsidR="002F5D39">
        <w:rPr>
          <w:lang w:val="lt-LT"/>
        </w:rPr>
        <w:t>Vadinasi, reali situacija neatitiko Saugumo Tarybos įgaliojimų. Tai atskl</w:t>
      </w:r>
      <w:r w:rsidR="00945EF3">
        <w:rPr>
          <w:lang w:val="lt-LT"/>
        </w:rPr>
        <w:t>ei</w:t>
      </w:r>
      <w:r w:rsidR="002F5D39">
        <w:rPr>
          <w:lang w:val="lt-LT"/>
        </w:rPr>
        <w:t xml:space="preserve">džiama </w:t>
      </w:r>
      <w:r w:rsidR="00945EF3">
        <w:rPr>
          <w:lang w:val="lt-LT"/>
        </w:rPr>
        <w:t>i</w:t>
      </w:r>
      <w:r w:rsidR="002F5D39">
        <w:rPr>
          <w:lang w:val="lt-LT"/>
        </w:rPr>
        <w:t>r tolesnėje šio skyriaus analizėje.</w:t>
      </w:r>
    </w:p>
    <w:p w:rsidR="00F234E7" w:rsidRPr="0006604A" w:rsidRDefault="0043317A" w:rsidP="00F1094F">
      <w:pPr>
        <w:spacing w:before="100" w:beforeAutospacing="1" w:after="100" w:afterAutospacing="1"/>
        <w:ind w:firstLine="851"/>
        <w:contextualSpacing/>
        <w:rPr>
          <w:lang w:val="lt-LT"/>
        </w:rPr>
      </w:pPr>
      <w:r>
        <w:rPr>
          <w:lang w:val="lt-LT"/>
        </w:rPr>
        <w:t xml:space="preserve">Šio </w:t>
      </w:r>
      <w:r w:rsidR="00F234E7" w:rsidRPr="0006604A">
        <w:rPr>
          <w:lang w:val="lt-LT"/>
        </w:rPr>
        <w:t xml:space="preserve">konflikto metu Saugumo Taryba išleido rezoliucijas, kurios sulaukė didelio prieštaringumo. Pirmoji iš jų buvo Rezoliucija </w:t>
      </w:r>
      <w:r w:rsidR="00787377">
        <w:rPr>
          <w:lang w:val="lt-LT"/>
        </w:rPr>
        <w:t xml:space="preserve">Nr. </w:t>
      </w:r>
      <w:r w:rsidR="00F234E7" w:rsidRPr="0006604A">
        <w:rPr>
          <w:lang w:val="lt-LT"/>
        </w:rPr>
        <w:t>770, kurioje minimas būtinų priemonių naudojimas, kurios skirtos užtikrinti saugų humanitarinės pagalbos tiekimą Bosnijoje.</w:t>
      </w:r>
      <w:r w:rsidR="00F234E7" w:rsidRPr="0006604A">
        <w:rPr>
          <w:rStyle w:val="FootnoteReference"/>
          <w:rFonts w:eastAsiaTheme="majorEastAsia"/>
          <w:lang w:val="lt-LT"/>
        </w:rPr>
        <w:footnoteReference w:id="95"/>
      </w:r>
      <w:r w:rsidR="00F234E7" w:rsidRPr="0006604A">
        <w:rPr>
          <w:lang w:val="lt-LT"/>
        </w:rPr>
        <w:t xml:space="preserve"> Terminas „visos būtinos priemonės“ Jungtinių Tautų terminologijoje apima ir jėgos panaudojimą.</w:t>
      </w:r>
      <w:r w:rsidR="00F234E7" w:rsidRPr="0006604A">
        <w:rPr>
          <w:rStyle w:val="FootnoteReference"/>
          <w:rFonts w:eastAsiaTheme="majorEastAsia"/>
          <w:lang w:val="lt-LT"/>
        </w:rPr>
        <w:footnoteReference w:id="96"/>
      </w:r>
      <w:r w:rsidR="009965CF">
        <w:rPr>
          <w:lang w:val="lt-LT"/>
        </w:rPr>
        <w:t xml:space="preserve">  Tačiau svarbu pažymėti, kad </w:t>
      </w:r>
      <w:r w:rsidR="00F234E7" w:rsidRPr="0006604A">
        <w:rPr>
          <w:lang w:val="lt-LT"/>
        </w:rPr>
        <w:t>šio konflikto metu duoti teisėti įgaliojimai praktikoje buvo susiaurinti. Generalinis Sekretorius</w:t>
      </w:r>
      <w:r>
        <w:rPr>
          <w:lang w:val="lt-LT"/>
        </w:rPr>
        <w:t>,</w:t>
      </w:r>
      <w:r w:rsidR="00F234E7" w:rsidRPr="0006604A">
        <w:rPr>
          <w:lang w:val="lt-LT"/>
        </w:rPr>
        <w:t xml:space="preserve"> kalbėdamas apie šią rezoliuciją</w:t>
      </w:r>
      <w:r w:rsidR="005733A1">
        <w:rPr>
          <w:lang w:val="lt-LT"/>
        </w:rPr>
        <w:t>,</w:t>
      </w:r>
      <w:r w:rsidR="00F234E7" w:rsidRPr="0006604A">
        <w:rPr>
          <w:lang w:val="lt-LT"/>
        </w:rPr>
        <w:t xml:space="preserve"> teigė, kad taikos misijos dalyviai turi taikyti įprastines ir konservatyvias įsitraukimo į konfliktą taisykles, kitaip tariant</w:t>
      </w:r>
      <w:r w:rsidR="005733A1">
        <w:rPr>
          <w:lang w:val="lt-LT"/>
        </w:rPr>
        <w:t>,</w:t>
      </w:r>
      <w:r w:rsidR="00F234E7" w:rsidRPr="0006604A">
        <w:rPr>
          <w:lang w:val="lt-LT"/>
        </w:rPr>
        <w:t xml:space="preserve"> jėgos panaudojimas leidžiamas tik savigynos atveju.</w:t>
      </w:r>
      <w:r w:rsidR="00F234E7" w:rsidRPr="0006604A">
        <w:rPr>
          <w:rStyle w:val="FootnoteReference"/>
          <w:rFonts w:eastAsiaTheme="majorEastAsia"/>
          <w:lang w:val="lt-LT"/>
        </w:rPr>
        <w:footnoteReference w:id="97"/>
      </w:r>
      <w:r w:rsidR="00F234E7" w:rsidRPr="0006604A">
        <w:rPr>
          <w:lang w:val="lt-LT"/>
        </w:rPr>
        <w:t xml:space="preserve"> Todėl nors minėta rezoliucija suteikė teisę vykdyti </w:t>
      </w:r>
      <w:r w:rsidR="00F234E7" w:rsidRPr="0006604A">
        <w:rPr>
          <w:lang w:val="lt-LT"/>
        </w:rPr>
        <w:lastRenderedPageBreak/>
        <w:t>priverstinį vykdymą, bet misijos dalyviai turėjo tvirtai laikytis tradicinių taikos misijų principų, kurių egzistavimas aiškiai leidžia teigti, kad priverstinis taikos vykdymas negali būti taikomas.</w:t>
      </w:r>
    </w:p>
    <w:p w:rsidR="00F234E7" w:rsidRPr="0006604A" w:rsidRDefault="00F234E7" w:rsidP="00F1094F">
      <w:pPr>
        <w:spacing w:before="100" w:beforeAutospacing="1" w:after="100" w:afterAutospacing="1"/>
        <w:ind w:firstLine="851"/>
        <w:contextualSpacing/>
        <w:rPr>
          <w:lang w:val="lt-LT"/>
        </w:rPr>
      </w:pPr>
      <w:r w:rsidRPr="0006604A">
        <w:rPr>
          <w:lang w:val="lt-LT"/>
        </w:rPr>
        <w:t xml:space="preserve"> Kad taikos misijos dalyviai nebuvo įsitraukę į priverstinį vykdymą</w:t>
      </w:r>
      <w:r w:rsidR="00C07F96">
        <w:rPr>
          <w:lang w:val="lt-LT"/>
        </w:rPr>
        <w:t>,</w:t>
      </w:r>
      <w:r w:rsidRPr="0006604A">
        <w:rPr>
          <w:lang w:val="lt-LT"/>
        </w:rPr>
        <w:t xml:space="preserve"> atskleidžia </w:t>
      </w:r>
      <w:r w:rsidR="009965CF">
        <w:rPr>
          <w:lang w:val="lt-LT"/>
        </w:rPr>
        <w:t>Rezoliucija Nr. 771,</w:t>
      </w:r>
      <w:r w:rsidRPr="0006604A">
        <w:rPr>
          <w:lang w:val="lt-LT"/>
        </w:rPr>
        <w:t xml:space="preserve"> kurioje Saugumo Taryba aiškiai pabrėžia, kad atakos prieš taikos misijos dalyvius, kurie padeda palengvinti humanitarinės pagalbos teikimą, bus tarptautinės teisės pažeidimas.</w:t>
      </w:r>
      <w:r w:rsidRPr="0006604A">
        <w:rPr>
          <w:rStyle w:val="FootnoteReference"/>
          <w:rFonts w:eastAsiaTheme="majorEastAsia"/>
          <w:lang w:val="lt-LT"/>
        </w:rPr>
        <w:footnoteReference w:id="98"/>
      </w:r>
      <w:r w:rsidRPr="0006604A">
        <w:rPr>
          <w:lang w:val="lt-LT"/>
        </w:rPr>
        <w:t xml:space="preserve"> Vadinasi, taikos misijos dalyviai nėra pripažįstami kombatantais</w:t>
      </w:r>
      <w:r w:rsidR="00505F28">
        <w:rPr>
          <w:lang w:val="lt-LT"/>
        </w:rPr>
        <w:t>,</w:t>
      </w:r>
      <w:r w:rsidRPr="0006604A">
        <w:rPr>
          <w:lang w:val="lt-LT"/>
        </w:rPr>
        <w:t xml:space="preserve"> prieš kuriuos leidžiamas teisėtas jėgos panaudojimas, kitaip tariant, jie nevykdo priverstinio taikos vykdymo. </w:t>
      </w:r>
    </w:p>
    <w:p w:rsidR="00F234E7" w:rsidRPr="0006604A" w:rsidRDefault="00F234E7" w:rsidP="00F1094F">
      <w:pPr>
        <w:spacing w:before="100" w:beforeAutospacing="1" w:after="100" w:afterAutospacing="1"/>
        <w:ind w:firstLine="851"/>
        <w:contextualSpacing/>
        <w:rPr>
          <w:lang w:val="lt-LT"/>
        </w:rPr>
      </w:pPr>
      <w:r w:rsidRPr="0006604A">
        <w:rPr>
          <w:lang w:val="lt-LT"/>
        </w:rPr>
        <w:t>Kitoje rezoliucijoje minima: „veikiant savigynos ribose,  imtis būtinų priemonių, įtraukiant jėgos panaudojimą atsakant į bombardavimus saugumo zonoje ar ginkluotus įsiveržimus [...].“</w:t>
      </w:r>
      <w:r w:rsidRPr="0006604A">
        <w:rPr>
          <w:rStyle w:val="FootnoteReference"/>
          <w:rFonts w:eastAsiaTheme="majorEastAsia"/>
          <w:lang w:val="lt-LT"/>
        </w:rPr>
        <w:footnoteReference w:id="99"/>
      </w:r>
      <w:r w:rsidR="008058B5">
        <w:rPr>
          <w:lang w:val="lt-LT"/>
        </w:rPr>
        <w:t xml:space="preserve"> </w:t>
      </w:r>
      <w:r w:rsidRPr="0006604A">
        <w:rPr>
          <w:lang w:val="lt-LT"/>
        </w:rPr>
        <w:t>Šioje rezoliucijoje tarp būtinų priemonių minimas jėgos panaudojimas aiškiai įtvirtina priverstinio taikos vykdymo veiksmus. Rezoliucijoje taip pat paminėtinos būtinos priemonės, kurių gali imtis valstybės narės nacionaliniu ar regioninių organizacijų lygiu ir taip padėti misijos dalyviams vykdyti įgaliojimus.</w:t>
      </w:r>
      <w:r w:rsidRPr="0006604A">
        <w:rPr>
          <w:rStyle w:val="FootnoteReference"/>
          <w:rFonts w:eastAsiaTheme="majorEastAsia"/>
          <w:lang w:val="lt-LT"/>
        </w:rPr>
        <w:footnoteReference w:id="100"/>
      </w:r>
      <w:r w:rsidRPr="0006604A">
        <w:rPr>
          <w:lang w:val="lt-LT"/>
        </w:rPr>
        <w:t xml:space="preserve"> Generalinis Sekretorius tuo metu patvirtino, kad jis užmezgė kontaktus su valstybėmis narėmis ir pakvietė Šiaurės Atlanto Sutarties Organizaciją (angl. NATO) suderinti veiksmus dėl oro pajėgų Bosnijoje.</w:t>
      </w:r>
      <w:r w:rsidRPr="0006604A">
        <w:rPr>
          <w:rStyle w:val="FootnoteReference"/>
          <w:rFonts w:eastAsiaTheme="majorEastAsia"/>
          <w:lang w:val="lt-LT"/>
        </w:rPr>
        <w:footnoteReference w:id="101"/>
      </w:r>
    </w:p>
    <w:p w:rsidR="00F234E7" w:rsidRPr="0006604A" w:rsidRDefault="00640187" w:rsidP="00F1094F">
      <w:pPr>
        <w:spacing w:before="100" w:beforeAutospacing="1" w:after="100" w:afterAutospacing="1"/>
        <w:ind w:firstLine="851"/>
        <w:contextualSpacing/>
        <w:rPr>
          <w:lang w:val="lt-LT"/>
        </w:rPr>
      </w:pPr>
      <w:r>
        <w:rPr>
          <w:lang w:val="lt-LT"/>
        </w:rPr>
        <w:t xml:space="preserve">NATO </w:t>
      </w:r>
      <w:r w:rsidR="00F234E7" w:rsidRPr="0006604A">
        <w:rPr>
          <w:lang w:val="lt-LT"/>
        </w:rPr>
        <w:t>priskiriama prie regioninių organizacijų, kurių veikla yra leidžiama, jeigu tai yra suderinama su Jungtinių Tautų tikslais ir principais.</w:t>
      </w:r>
      <w:r w:rsidR="00F234E7" w:rsidRPr="0006604A">
        <w:rPr>
          <w:rStyle w:val="FootnoteReference"/>
          <w:rFonts w:eastAsiaTheme="majorEastAsia"/>
          <w:lang w:val="lt-LT"/>
        </w:rPr>
        <w:footnoteReference w:id="102"/>
      </w:r>
      <w:r w:rsidR="00F234E7" w:rsidRPr="0006604A">
        <w:rPr>
          <w:lang w:val="lt-LT"/>
        </w:rPr>
        <w:t xml:space="preserve"> Regioninių organizacijų veiklos derinamas su Jungtinių Tautų tikslais ir principais parodo, kad</w:t>
      </w:r>
      <w:r w:rsidR="00BC7BDB">
        <w:rPr>
          <w:lang w:val="lt-LT"/>
        </w:rPr>
        <w:t>,</w:t>
      </w:r>
      <w:r w:rsidR="00F234E7" w:rsidRPr="0006604A">
        <w:rPr>
          <w:lang w:val="lt-LT"/>
        </w:rPr>
        <w:t xml:space="preserve"> visų pirma</w:t>
      </w:r>
      <w:r w:rsidR="00BC7BDB">
        <w:rPr>
          <w:lang w:val="lt-LT"/>
        </w:rPr>
        <w:t>,</w:t>
      </w:r>
      <w:r w:rsidR="00F234E7" w:rsidRPr="0006604A">
        <w:rPr>
          <w:lang w:val="lt-LT"/>
        </w:rPr>
        <w:t xml:space="preserve"> Jungtinių Tautų Organizacija yra pagrindinė institucija, atsakinga už tarptautinę taiką ir saugumą. Tą patvirtina ir Chartijos 54 straipsnis, kuriame įtvirtinama, jog Saugumo Taryba turi būti informuojama apie visus regioninių organizacijų veiksmus, skirtus palaikyti tarptautinę taiką ir saugumą.</w:t>
      </w:r>
      <w:r w:rsidR="00F234E7" w:rsidRPr="0006604A">
        <w:rPr>
          <w:rStyle w:val="FootnoteReference"/>
          <w:rFonts w:eastAsiaTheme="majorEastAsia"/>
          <w:lang w:val="lt-LT"/>
        </w:rPr>
        <w:footnoteReference w:id="103"/>
      </w:r>
      <w:r w:rsidR="007C00EF" w:rsidRPr="0006604A">
        <w:rPr>
          <w:lang w:val="lt-LT"/>
        </w:rPr>
        <w:t xml:space="preserve"> </w:t>
      </w:r>
      <w:r w:rsidR="00F234E7" w:rsidRPr="0006604A">
        <w:rPr>
          <w:lang w:val="lt-LT"/>
        </w:rPr>
        <w:t>Chartijos 53 straipsnyje minima: “Saugumo Taryba, jei tai tikslinga, naudojasi tokiais regioniniais susitarimais ar institucijomis vykdydama prievartos veiksmus.“</w:t>
      </w:r>
      <w:r w:rsidR="00F234E7" w:rsidRPr="0006604A">
        <w:rPr>
          <w:rStyle w:val="FootnoteReference"/>
          <w:rFonts w:eastAsiaTheme="majorEastAsia"/>
          <w:lang w:val="lt-LT"/>
        </w:rPr>
        <w:footnoteReference w:id="104"/>
      </w:r>
      <w:r w:rsidR="00F234E7" w:rsidRPr="0006604A">
        <w:rPr>
          <w:lang w:val="lt-LT"/>
        </w:rPr>
        <w:t xml:space="preserve"> Šiame Cha</w:t>
      </w:r>
      <w:r>
        <w:rPr>
          <w:lang w:val="lt-LT"/>
        </w:rPr>
        <w:t xml:space="preserve">rtijos straipsnyje įtvirtinta, </w:t>
      </w:r>
      <w:r w:rsidR="00F234E7" w:rsidRPr="0006604A">
        <w:rPr>
          <w:lang w:val="lt-LT"/>
        </w:rPr>
        <w:t>jog Saugumo Taryba gali spręsti dėl būtinybės naudoti prievartos priemones per regionines organizacijas, tačiau ir  pačios regionin</w:t>
      </w:r>
      <w:r w:rsidR="00C07F96">
        <w:rPr>
          <w:lang w:val="lt-LT"/>
        </w:rPr>
        <w:t>ės organizacijos gali nuspręsti</w:t>
      </w:r>
      <w:r w:rsidR="00F234E7" w:rsidRPr="0006604A">
        <w:rPr>
          <w:lang w:val="lt-LT"/>
        </w:rPr>
        <w:t xml:space="preserve"> dėl prievartos veiksmų reikalingumo, tačiau  Saugumo Taryba jiems turės pritarti. Bosnijos atveju Saugumo Taryba pirma pradėjo svarstymus dėl regioninių organizacijų pagalbos. Paminėtina, kad Bosnijos konflikto metu </w:t>
      </w:r>
      <w:r w:rsidR="00F234E7" w:rsidRPr="0006604A">
        <w:rPr>
          <w:lang w:val="lt-LT"/>
        </w:rPr>
        <w:lastRenderedPageBreak/>
        <w:t>Saugumo Tarybos re</w:t>
      </w:r>
      <w:r w:rsidR="00C07F96">
        <w:rPr>
          <w:lang w:val="lt-LT"/>
        </w:rPr>
        <w:t xml:space="preserve">zoliucijose </w:t>
      </w:r>
      <w:r w:rsidR="009B13F4">
        <w:rPr>
          <w:lang w:val="lt-LT"/>
        </w:rPr>
        <w:t>NATO</w:t>
      </w:r>
      <w:r w:rsidR="00F234E7" w:rsidRPr="0006604A">
        <w:rPr>
          <w:lang w:val="lt-LT"/>
        </w:rPr>
        <w:t xml:space="preserve"> nebuvo minima, kaip regioninė organizacija, tačiau jos tolimesni veiksmai vykdant prievartos priemones naudojant oro atakas, kurios buvo minimos Rezoliucijoje </w:t>
      </w:r>
      <w:r w:rsidR="00C07F96">
        <w:rPr>
          <w:lang w:val="lt-LT"/>
        </w:rPr>
        <w:t xml:space="preserve">Nr. </w:t>
      </w:r>
      <w:r w:rsidR="00F234E7" w:rsidRPr="0006604A">
        <w:rPr>
          <w:lang w:val="lt-LT"/>
        </w:rPr>
        <w:t>836 leidžia teigti, kad ji veikė kaip regioninė organizacija ir pagal Saugumo Tarybos įgaliojimus.</w:t>
      </w:r>
    </w:p>
    <w:p w:rsidR="00F234E7" w:rsidRPr="0006604A" w:rsidRDefault="00F234E7" w:rsidP="00F1094F">
      <w:pPr>
        <w:spacing w:before="100" w:beforeAutospacing="1" w:after="100" w:afterAutospacing="1"/>
        <w:ind w:firstLine="851"/>
        <w:contextualSpacing/>
        <w:rPr>
          <w:lang w:val="lt-LT"/>
        </w:rPr>
      </w:pPr>
      <w:r w:rsidRPr="0006604A">
        <w:rPr>
          <w:lang w:val="lt-LT"/>
        </w:rPr>
        <w:t>Taigi</w:t>
      </w:r>
      <w:r w:rsidR="00564F4D">
        <w:rPr>
          <w:lang w:val="lt-LT"/>
        </w:rPr>
        <w:t>,</w:t>
      </w:r>
      <w:r w:rsidRPr="0006604A">
        <w:rPr>
          <w:lang w:val="lt-LT"/>
        </w:rPr>
        <w:t xml:space="preserve"> jėgos panaudojimas tolimesnėje konflikto stadijoje buvo perkeltas minėtai regioninei organizacijai, o taikos misijos dalyviai, kaip ir minima rezoliucijoje, neišėjo už savigynos ribų. Rezoliucija aiškiai vengė naudoti žodžius, kaip antai, „apsaugoti“, „ginti“ ir reikalavo taikos misijų dalyvius tiktai „užimti pagrindinius taškus“</w:t>
      </w:r>
      <w:r w:rsidR="00564F4D">
        <w:rPr>
          <w:lang w:val="lt-LT"/>
        </w:rPr>
        <w:t>,</w:t>
      </w:r>
      <w:r w:rsidRPr="0006604A">
        <w:rPr>
          <w:lang w:val="lt-LT"/>
        </w:rPr>
        <w:t xml:space="preserve"> taip pat nurodė naudoti jėgą tik „savigynos atveju“.</w:t>
      </w:r>
      <w:r w:rsidRPr="0006604A">
        <w:rPr>
          <w:rStyle w:val="FootnoteReference"/>
          <w:rFonts w:eastAsiaTheme="majorEastAsia"/>
          <w:lang w:val="lt-LT"/>
        </w:rPr>
        <w:footnoteReference w:id="105"/>
      </w:r>
      <w:r w:rsidRPr="0006604A">
        <w:rPr>
          <w:lang w:val="lt-LT"/>
        </w:rPr>
        <w:t xml:space="preserve"> </w:t>
      </w:r>
    </w:p>
    <w:p w:rsidR="00F234E7" w:rsidRPr="0006604A" w:rsidRDefault="00F234E7" w:rsidP="00F1094F">
      <w:pPr>
        <w:spacing w:before="100" w:beforeAutospacing="1" w:after="100" w:afterAutospacing="1"/>
        <w:ind w:firstLine="851"/>
        <w:contextualSpacing/>
        <w:rPr>
          <w:lang w:val="lt-LT"/>
        </w:rPr>
      </w:pPr>
      <w:r w:rsidRPr="0006604A">
        <w:rPr>
          <w:lang w:val="lt-LT"/>
        </w:rPr>
        <w:t xml:space="preserve">Išanalizavus minėtą rezoliuciją, išskiriame tris pagrindines taikos misijų funkcijas: karinių ir </w:t>
      </w:r>
      <w:r w:rsidR="0006604A" w:rsidRPr="0006604A">
        <w:rPr>
          <w:lang w:val="lt-LT"/>
        </w:rPr>
        <w:t>pusiau</w:t>
      </w:r>
      <w:r w:rsidR="0006604A">
        <w:rPr>
          <w:lang w:val="lt-LT"/>
        </w:rPr>
        <w:t xml:space="preserve"> </w:t>
      </w:r>
      <w:r w:rsidR="0006604A" w:rsidRPr="0006604A">
        <w:rPr>
          <w:lang w:val="lt-LT"/>
        </w:rPr>
        <w:t>karinių</w:t>
      </w:r>
      <w:r w:rsidRPr="0006604A">
        <w:rPr>
          <w:lang w:val="lt-LT"/>
        </w:rPr>
        <w:t xml:space="preserve"> vienetų sustabdymas, paliaubų kontrolė bei atakų sulaikymas prieš saugumo zonas. Šiame kontekste pažymime, kad įsteigiant taikos misiją neegzistavo nei viena iš šių sąlygų: nebuvo taikos susitarimo, nefunkcionavo paliaubos, o iš kariaujančių šalių nebuvo jokios aiškios valios išreikšti aiškų sutikimą priimti taikos misijos dalyvius.</w:t>
      </w:r>
      <w:r w:rsidRPr="0006604A">
        <w:rPr>
          <w:rStyle w:val="FootnoteReference"/>
          <w:rFonts w:eastAsiaTheme="majorEastAsia"/>
          <w:lang w:val="lt-LT"/>
        </w:rPr>
        <w:footnoteReference w:id="106"/>
      </w:r>
      <w:r w:rsidRPr="0006604A">
        <w:rPr>
          <w:lang w:val="lt-LT"/>
        </w:rPr>
        <w:t xml:space="preserve"> Neegzistuojant paliauboms, neturint aiškaus sutikimo, kuris suteiktų taikos misijai teisėtą pagrindą ir esant dideliam vietinių pasipriešinimui, aiškiai nebepakanka pl</w:t>
      </w:r>
      <w:r w:rsidR="00B911AF">
        <w:rPr>
          <w:lang w:val="lt-LT"/>
        </w:rPr>
        <w:t>atesnio masto taikos operacijos. Š</w:t>
      </w:r>
      <w:r w:rsidRPr="0006604A">
        <w:rPr>
          <w:lang w:val="lt-LT"/>
        </w:rPr>
        <w:t>ioje situacijoje reikėjo daug intensyvesnių veiksmų.</w:t>
      </w:r>
    </w:p>
    <w:p w:rsidR="00F234E7" w:rsidRPr="0006604A" w:rsidRDefault="00F234E7" w:rsidP="00F1094F">
      <w:pPr>
        <w:spacing w:before="100" w:beforeAutospacing="1" w:after="100" w:afterAutospacing="1"/>
        <w:ind w:firstLine="851"/>
        <w:contextualSpacing/>
        <w:rPr>
          <w:lang w:val="lt-LT"/>
        </w:rPr>
      </w:pPr>
      <w:r w:rsidRPr="0006604A">
        <w:rPr>
          <w:lang w:val="lt-LT"/>
        </w:rPr>
        <w:t xml:space="preserve"> Jungtinių Tautų pajėgų vadas pažymėjo, jog tam, kad būtų užtikrinta saugumo zonų tikroji paskirtis, taikos misijai reikia papildomai 3</w:t>
      </w:r>
      <w:r w:rsidR="00E73101">
        <w:rPr>
          <w:lang w:val="lt-LT"/>
        </w:rPr>
        <w:t>4 tūkstančių karių, bet vis dėl</w:t>
      </w:r>
      <w:r w:rsidRPr="0006604A">
        <w:rPr>
          <w:lang w:val="lt-LT"/>
        </w:rPr>
        <w:t>to priėjo prie išv</w:t>
      </w:r>
      <w:r w:rsidR="00E73101">
        <w:rPr>
          <w:lang w:val="lt-LT"/>
        </w:rPr>
        <w:t>ados, kad būtų įmanoma pradėti R</w:t>
      </w:r>
      <w:r w:rsidRPr="0006604A">
        <w:rPr>
          <w:lang w:val="lt-LT"/>
        </w:rPr>
        <w:t xml:space="preserve">ezoliucijos </w:t>
      </w:r>
      <w:r w:rsidR="00E73101">
        <w:rPr>
          <w:lang w:val="lt-LT"/>
        </w:rPr>
        <w:t xml:space="preserve">Nr. </w:t>
      </w:r>
      <w:r w:rsidRPr="0006604A">
        <w:rPr>
          <w:lang w:val="lt-LT"/>
        </w:rPr>
        <w:t xml:space="preserve">836 įgyvendinimą ir su minimalia 7,600 karių </w:t>
      </w:r>
      <w:r w:rsidR="0006604A" w:rsidRPr="0006604A">
        <w:rPr>
          <w:lang w:val="lt-LT"/>
        </w:rPr>
        <w:t>įgula</w:t>
      </w:r>
      <w:r w:rsidRPr="0006604A">
        <w:rPr>
          <w:lang w:val="lt-LT"/>
        </w:rPr>
        <w:t>.</w:t>
      </w:r>
      <w:r w:rsidRPr="0006604A">
        <w:rPr>
          <w:rStyle w:val="FootnoteReference"/>
          <w:rFonts w:eastAsiaTheme="majorEastAsia"/>
          <w:lang w:val="lt-LT"/>
        </w:rPr>
        <w:footnoteReference w:id="107"/>
      </w:r>
      <w:r w:rsidRPr="0006604A">
        <w:rPr>
          <w:lang w:val="lt-LT"/>
        </w:rPr>
        <w:t xml:space="preserve">  Keletas </w:t>
      </w:r>
      <w:r w:rsidR="0006604A" w:rsidRPr="0006604A">
        <w:rPr>
          <w:lang w:val="lt-LT"/>
        </w:rPr>
        <w:t>islamo</w:t>
      </w:r>
      <w:r w:rsidRPr="0006604A">
        <w:rPr>
          <w:lang w:val="lt-LT"/>
        </w:rPr>
        <w:t xml:space="preserve"> šalių siūlė didelius kariuomenės kontingentus, tačiau Jungtinių Tautų Sekretoriatas teigė, kad tuo atveju, jeigu nebus gautas sutikimas iš Bosnijos Serbų, kariuomenė negalės atlikti savo pareigų.</w:t>
      </w:r>
      <w:r w:rsidRPr="0006604A">
        <w:rPr>
          <w:rStyle w:val="FootnoteReference"/>
          <w:rFonts w:eastAsiaTheme="majorEastAsia"/>
          <w:lang w:val="lt-LT"/>
        </w:rPr>
        <w:footnoteReference w:id="108"/>
      </w:r>
      <w:r w:rsidRPr="0006604A">
        <w:rPr>
          <w:lang w:val="lt-LT"/>
        </w:rPr>
        <w:t xml:space="preserve"> Tai įrodo, kad Jungtinių Tautų pajėgos tvirtai laikėsi tradicinių taikos misijų principų, nors situacija aiškiai reikalavo didesnio karių skaičiaus. </w:t>
      </w:r>
    </w:p>
    <w:p w:rsidR="00113D43" w:rsidRDefault="00F234E7" w:rsidP="00F1094F">
      <w:pPr>
        <w:spacing w:before="100" w:beforeAutospacing="1" w:after="100" w:afterAutospacing="1"/>
        <w:ind w:firstLine="851"/>
        <w:contextualSpacing/>
        <w:rPr>
          <w:lang w:val="lt-LT"/>
        </w:rPr>
      </w:pPr>
      <w:r w:rsidRPr="0006604A">
        <w:rPr>
          <w:lang w:val="lt-LT"/>
        </w:rPr>
        <w:t>Saugumo Taryba išleido aštuoniasdešimt tris rezoliucijas</w:t>
      </w:r>
      <w:r w:rsidR="00E73101">
        <w:rPr>
          <w:lang w:val="lt-LT"/>
        </w:rPr>
        <w:t>,</w:t>
      </w:r>
      <w:r w:rsidRPr="0006604A">
        <w:rPr>
          <w:lang w:val="lt-LT"/>
        </w:rPr>
        <w:t xml:space="preserve"> susijusias su buvusios Jugoslavijos konfliktu. Tarp šio didelio skaičiaus rezoliucijų nebuvo atspindėtos konfliktų priežastys, nebuvo plačiau gilinamasi į problemą ar ieškoma sprendimo būdų.</w:t>
      </w:r>
      <w:r w:rsidRPr="0006604A">
        <w:rPr>
          <w:rStyle w:val="FootnoteReference"/>
          <w:rFonts w:eastAsiaTheme="majorEastAsia"/>
          <w:lang w:val="lt-LT"/>
        </w:rPr>
        <w:footnoteReference w:id="109"/>
      </w:r>
      <w:r w:rsidRPr="0006604A">
        <w:rPr>
          <w:lang w:val="lt-LT"/>
        </w:rPr>
        <w:t xml:space="preserve"> Kad nebuvo </w:t>
      </w:r>
      <w:r w:rsidRPr="0006604A">
        <w:rPr>
          <w:lang w:val="lt-LT"/>
        </w:rPr>
        <w:lastRenderedPageBreak/>
        <w:t>gilinamasi į konfliktą matome iš olandų karių pasiruošimo saugoti Srebrenik</w:t>
      </w:r>
      <w:r w:rsidR="00BB2850">
        <w:rPr>
          <w:lang w:val="lt-LT"/>
        </w:rPr>
        <w:t xml:space="preserve">os miestą. Sprendimas dėl </w:t>
      </w:r>
      <w:r w:rsidR="00A42037">
        <w:rPr>
          <w:lang w:val="lt-LT"/>
        </w:rPr>
        <w:t>misijai reikalingų ginklų</w:t>
      </w:r>
      <w:r w:rsidRPr="0006604A">
        <w:rPr>
          <w:lang w:val="lt-LT"/>
        </w:rPr>
        <w:t xml:space="preserve"> buvo priimtas nacionaliniu lygiu: pasirinkta lengva ginkluotė, pirmiausia dėl to, kad trūko laiko karių apmokymui; antra, lengva ginkluotė pasirinkta vadovaujantis šiai taikos </w:t>
      </w:r>
      <w:r w:rsidR="0096767F">
        <w:rPr>
          <w:lang w:val="lt-LT"/>
        </w:rPr>
        <w:t xml:space="preserve">misijai būdingais principais ir </w:t>
      </w:r>
      <w:r w:rsidRPr="0006604A">
        <w:rPr>
          <w:lang w:val="lt-LT"/>
        </w:rPr>
        <w:t xml:space="preserve">trečia, ginklai turėjo būti naudojami tik savigynos atveju ir taip padėti išvengti serbų karių </w:t>
      </w:r>
      <w:r w:rsidR="0006604A" w:rsidRPr="0006604A">
        <w:rPr>
          <w:lang w:val="lt-LT"/>
        </w:rPr>
        <w:t>provokacijos</w:t>
      </w:r>
      <w:r w:rsidRPr="0006604A">
        <w:rPr>
          <w:lang w:val="lt-LT"/>
        </w:rPr>
        <w:t>.</w:t>
      </w:r>
      <w:r w:rsidRPr="0006604A">
        <w:rPr>
          <w:rStyle w:val="FootnoteReference"/>
          <w:rFonts w:eastAsiaTheme="majorEastAsia"/>
          <w:lang w:val="lt-LT"/>
        </w:rPr>
        <w:footnoteReference w:id="110"/>
      </w:r>
    </w:p>
    <w:p w:rsidR="00C00583" w:rsidRPr="0006604A" w:rsidRDefault="00C00583" w:rsidP="00113D43">
      <w:pPr>
        <w:spacing w:before="100" w:beforeAutospacing="1" w:after="100" w:afterAutospacing="1"/>
        <w:contextualSpacing/>
        <w:jc w:val="right"/>
        <w:rPr>
          <w:lang w:val="lt-LT"/>
        </w:rPr>
      </w:pPr>
      <w:r w:rsidRPr="0006604A">
        <w:rPr>
          <w:lang w:val="lt-LT"/>
        </w:rPr>
        <w:t>Schema Nr. 3</w:t>
      </w:r>
    </w:p>
    <w:p w:rsidR="00C00583" w:rsidRDefault="00C00583" w:rsidP="00113D43">
      <w:pPr>
        <w:spacing w:before="100" w:beforeAutospacing="1" w:after="100" w:afterAutospacing="1"/>
        <w:ind w:firstLine="720"/>
        <w:contextualSpacing/>
        <w:jc w:val="right"/>
        <w:rPr>
          <w:lang w:val="lt-LT"/>
        </w:rPr>
      </w:pPr>
      <w:r w:rsidRPr="0006604A">
        <w:rPr>
          <w:lang w:val="lt-LT"/>
        </w:rPr>
        <w:t>Platesnio masto taikos misija Bosnijoje</w:t>
      </w:r>
    </w:p>
    <w:p w:rsidR="00F1094F" w:rsidRPr="0006604A" w:rsidRDefault="00F1094F" w:rsidP="00113D43">
      <w:pPr>
        <w:spacing w:before="100" w:beforeAutospacing="1" w:after="100" w:afterAutospacing="1"/>
        <w:ind w:firstLine="720"/>
        <w:contextualSpacing/>
        <w:jc w:val="right"/>
        <w:rPr>
          <w:lang w:val="lt-LT"/>
        </w:rPr>
      </w:pPr>
    </w:p>
    <w:p w:rsidR="00F234E7" w:rsidRPr="0006604A" w:rsidRDefault="00275463" w:rsidP="00113D43">
      <w:pPr>
        <w:spacing w:before="100" w:beforeAutospacing="1" w:after="100" w:afterAutospacing="1"/>
        <w:ind w:firstLine="720"/>
        <w:contextualSpacing/>
        <w:rPr>
          <w:lang w:val="lt-LT"/>
        </w:rPr>
      </w:pPr>
      <w:r>
        <w:rPr>
          <w:lang w:val="lt-LT"/>
        </w:rPr>
      </w:r>
      <w:r>
        <w:rPr>
          <w:lang w:val="lt-LT"/>
        </w:rPr>
        <w:pict>
          <v:group id="_x0000_s1059" style="width:407.25pt;height:301.5pt;mso-position-horizontal-relative:char;mso-position-vertical-relative:line" coordorigin="1635,165" coordsize="8145,6211">
            <v:group id="_x0000_s1060" style="position:absolute;left:5085;top:5325;width:1185;height:900" coordorigin="5085,5325" coordsize="1185,900">
              <v:rect id="_x0000_s1061" style="position:absolute;left:5085;top:5595;width:1185;height:120" fillcolor="#4f81bd" strokecolor="#4f81bd" strokeweight="2.5pt">
                <v:shadow color="#868686"/>
              </v:rect>
              <v:rect id="_x0000_s1062" style="position:absolute;left:5085;top:5850;width:1185;height:120" fillcolor="#4f81bd" strokecolor="#4f81bd" strokeweight="2.5pt">
                <v:shadow color="#868686"/>
              </v:rect>
              <v:shapetype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_x0000_s1063" type="#_x0000_t57" style="position:absolute;left:5280;top:5325;width:900;height:900" strokecolor="#4f81bd" strokeweight="2.5pt">
                <v:shadow color="#868686"/>
              </v:shape>
            </v:group>
            <v:group id="_x0000_s1064" style="position:absolute;left:1635;top:165;width:3315;height:6211" coordorigin="1635,165" coordsize="3315,6211">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65" type="#_x0000_t114" style="position:absolute;left:1635;top:4845;width:3315;height:1531" strokecolor="#4f81bd" strokeweight="2.5pt">
                <v:shadow color="#868686"/>
                <v:textbox style="mso-next-textbox:#_x0000_s1065">
                  <w:txbxContent>
                    <w:p w:rsidR="00F63CC2" w:rsidRPr="006F4367" w:rsidRDefault="00F63CC2" w:rsidP="0082525D">
                      <w:pPr>
                        <w:jc w:val="center"/>
                        <w:rPr>
                          <w:lang w:val="lt-LT"/>
                        </w:rPr>
                      </w:pPr>
                      <w:r>
                        <w:rPr>
                          <w:lang w:val="lt-LT"/>
                        </w:rPr>
                        <w:t>Reikalingas priverstinis taikos vykdymas</w:t>
                      </w:r>
                    </w:p>
                    <w:p w:rsidR="00F63CC2" w:rsidRDefault="00F63CC2" w:rsidP="0082525D">
                      <w:pPr>
                        <w:jc w:val="center"/>
                        <w:rPr>
                          <w:lang w:val="lt-LT"/>
                        </w:rPr>
                      </w:pPr>
                    </w:p>
                    <w:p w:rsidR="00F63CC2" w:rsidRDefault="00F63CC2"/>
                  </w:txbxContent>
                </v:textbox>
              </v:shape>
              <v:rect id="_x0000_s1066" style="position:absolute;left:1635;top:735;width:3315;height:3315;mso-position-horizontal:center;mso-position-horizontal-relative:margin" strokecolor="#4f81bd" strokeweight="2.5pt">
                <v:shadow color="#868686"/>
                <v:textbox style="mso-next-textbox:#_x0000_s1066">
                  <w:txbxContent>
                    <w:p w:rsidR="00F63CC2" w:rsidRDefault="00F63CC2" w:rsidP="0082525D">
                      <w:pPr>
                        <w:jc w:val="center"/>
                        <w:rPr>
                          <w:lang w:val="lt-LT"/>
                        </w:rPr>
                      </w:pPr>
                      <w:r>
                        <w:rPr>
                          <w:lang w:val="lt-LT"/>
                        </w:rPr>
                        <w:t>Didelis vietinių pasipriešinimo laipsnis</w:t>
                      </w:r>
                    </w:p>
                    <w:p w:rsidR="00F63CC2" w:rsidRDefault="00F63CC2" w:rsidP="0082525D">
                      <w:pPr>
                        <w:jc w:val="center"/>
                        <w:rPr>
                          <w:lang w:val="lt-LT"/>
                        </w:rPr>
                      </w:pPr>
                    </w:p>
                    <w:p w:rsidR="00F63CC2" w:rsidRDefault="00F63CC2" w:rsidP="0082525D">
                      <w:pPr>
                        <w:jc w:val="center"/>
                        <w:rPr>
                          <w:lang w:val="lt-LT"/>
                        </w:rPr>
                      </w:pPr>
                      <w:r>
                        <w:rPr>
                          <w:lang w:val="lt-LT"/>
                        </w:rPr>
                        <w:t>Jokio aiškaus sutikimo, priimant taikos misiją</w:t>
                      </w:r>
                    </w:p>
                    <w:p w:rsidR="00F63CC2" w:rsidRDefault="00F63CC2" w:rsidP="0082525D">
                      <w:pPr>
                        <w:jc w:val="center"/>
                        <w:rPr>
                          <w:lang w:val="lt-LT"/>
                        </w:rPr>
                      </w:pPr>
                    </w:p>
                    <w:p w:rsidR="00F63CC2" w:rsidRPr="006F4367" w:rsidRDefault="00F63CC2" w:rsidP="0082525D">
                      <w:pPr>
                        <w:jc w:val="center"/>
                        <w:rPr>
                          <w:lang w:val="lt-LT"/>
                        </w:rPr>
                      </w:pPr>
                      <w:r>
                        <w:rPr>
                          <w:lang w:val="lt-LT"/>
                        </w:rPr>
                        <w:t>Nefunkcionuoja paliaubos</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67" type="#_x0000_t67" style="position:absolute;left:2400;top:3885;width:1695;height:1095;mso-position-horizontal:center;mso-position-horizontal-relative:margin" strokecolor="#4f81bd" strokeweight="2.5pt">
                <v:shadow color="#868686"/>
                <v:textbox style="layout-flow:vertical-ideographic"/>
              </v:shape>
              <v:shapetype id="_x0000_t202" coordsize="21600,21600" o:spt="202" path="m,l,21600r21600,l21600,xe">
                <v:stroke joinstyle="miter"/>
                <v:path gradientshapeok="t" o:connecttype="rect"/>
              </v:shapetype>
              <v:shape id="_x0000_s1068" type="#_x0000_t202" style="position:absolute;left:1635;top:165;width:3315;height:420" stroked="f">
                <v:textbox style="mso-next-textbox:#_x0000_s1068">
                  <w:txbxContent>
                    <w:p w:rsidR="00F63CC2" w:rsidRPr="00805BB1" w:rsidRDefault="00F63CC2" w:rsidP="0082525D">
                      <w:pPr>
                        <w:jc w:val="center"/>
                        <w:rPr>
                          <w:b/>
                          <w:lang w:val="lt-LT"/>
                        </w:rPr>
                      </w:pPr>
                      <w:r w:rsidRPr="0070670B">
                        <w:rPr>
                          <w:b/>
                          <w:lang w:val="lt-LT"/>
                        </w:rPr>
                        <w:t>Reali situacija Bosnijoje</w:t>
                      </w:r>
                    </w:p>
                  </w:txbxContent>
                </v:textbox>
              </v:shape>
            </v:group>
            <v:group id="_x0000_s1069" style="position:absolute;left:6465;top:165;width:3315;height:6190" coordorigin="6465,165" coordsize="3315,6190">
              <v:shape id="_x0000_s1070" type="#_x0000_t114" style="position:absolute;left:6465;top:4824;width:3315;height:1531" strokecolor="#4f81bd" strokeweight="2.5pt">
                <v:shadow color="#868686"/>
                <v:textbox style="mso-next-textbox:#_x0000_s1070">
                  <w:txbxContent>
                    <w:p w:rsidR="00F63CC2" w:rsidRDefault="00F63CC2" w:rsidP="0082525D">
                      <w:pPr>
                        <w:jc w:val="center"/>
                        <w:rPr>
                          <w:lang w:val="lt-LT"/>
                        </w:rPr>
                      </w:pPr>
                      <w:r>
                        <w:rPr>
                          <w:lang w:val="lt-LT"/>
                        </w:rPr>
                        <w:t>Vykdoma platesnio masto taikos operacija</w:t>
                      </w:r>
                    </w:p>
                    <w:p w:rsidR="00F63CC2" w:rsidRDefault="00F63CC2" w:rsidP="0082525D">
                      <w:pPr>
                        <w:jc w:val="center"/>
                        <w:rPr>
                          <w:lang w:val="lt-LT"/>
                        </w:rPr>
                      </w:pPr>
                    </w:p>
                    <w:p w:rsidR="00F63CC2" w:rsidRDefault="00F63CC2"/>
                  </w:txbxContent>
                </v:textbox>
              </v:shape>
              <v:rect id="_x0000_s1071" style="position:absolute;left:6465;top:735;width:3315;height:3315;mso-position-horizontal:center;mso-position-horizontal-relative:margin" strokecolor="#4f81bd" strokeweight="2.5pt">
                <v:shadow color="#868686"/>
                <v:textbox style="mso-next-textbox:#_x0000_s1071">
                  <w:txbxContent>
                    <w:p w:rsidR="00F63CC2" w:rsidRDefault="00F63CC2" w:rsidP="0082525D">
                      <w:pPr>
                        <w:jc w:val="center"/>
                        <w:rPr>
                          <w:lang w:val="lt-LT"/>
                        </w:rPr>
                      </w:pPr>
                      <w:r>
                        <w:rPr>
                          <w:lang w:val="lt-LT"/>
                        </w:rPr>
                        <w:t>Misijos neutralumas</w:t>
                      </w:r>
                    </w:p>
                    <w:p w:rsidR="00F63CC2" w:rsidRDefault="00F63CC2" w:rsidP="0082525D">
                      <w:pPr>
                        <w:jc w:val="center"/>
                        <w:rPr>
                          <w:lang w:val="lt-LT"/>
                        </w:rPr>
                      </w:pPr>
                      <w:r>
                        <w:rPr>
                          <w:lang w:val="lt-LT"/>
                        </w:rPr>
                        <w:t>Jėgos panaudojimas tik savigynai</w:t>
                      </w:r>
                    </w:p>
                    <w:p w:rsidR="00F63CC2" w:rsidRDefault="00F63CC2" w:rsidP="0082525D">
                      <w:pPr>
                        <w:jc w:val="center"/>
                        <w:rPr>
                          <w:lang w:val="lt-LT"/>
                        </w:rPr>
                      </w:pPr>
                      <w:r>
                        <w:rPr>
                          <w:lang w:val="lt-LT"/>
                        </w:rPr>
                        <w:t>Siekiama išlaikyti paliaubas</w:t>
                      </w:r>
                    </w:p>
                    <w:p w:rsidR="00F63CC2" w:rsidRDefault="00F63CC2" w:rsidP="0082525D">
                      <w:pPr>
                        <w:jc w:val="center"/>
                        <w:rPr>
                          <w:lang w:val="lt-LT"/>
                        </w:rPr>
                      </w:pPr>
                    </w:p>
                    <w:p w:rsidR="00F63CC2" w:rsidRDefault="00F63CC2" w:rsidP="0082525D">
                      <w:pPr>
                        <w:jc w:val="center"/>
                        <w:rPr>
                          <w:lang w:val="lt-LT"/>
                        </w:rPr>
                      </w:pPr>
                      <w:r>
                        <w:rPr>
                          <w:lang w:val="lt-LT"/>
                        </w:rPr>
                        <w:t>Trūksta kariuomenės ir įrangos</w:t>
                      </w:r>
                    </w:p>
                    <w:p w:rsidR="00F63CC2" w:rsidRDefault="00F63CC2" w:rsidP="0082525D">
                      <w:pPr>
                        <w:jc w:val="center"/>
                        <w:rPr>
                          <w:lang w:val="lt-LT"/>
                        </w:rPr>
                      </w:pPr>
                    </w:p>
                    <w:p w:rsidR="00F63CC2" w:rsidRDefault="00F63CC2" w:rsidP="0082525D">
                      <w:pPr>
                        <w:jc w:val="center"/>
                        <w:rPr>
                          <w:lang w:val="lt-LT"/>
                        </w:rPr>
                      </w:pPr>
                    </w:p>
                    <w:p w:rsidR="00F63CC2" w:rsidRPr="006F4367" w:rsidRDefault="00F63CC2" w:rsidP="0082525D">
                      <w:pPr>
                        <w:rPr>
                          <w:lang w:val="lt-LT"/>
                        </w:rPr>
                      </w:pPr>
                    </w:p>
                  </w:txbxContent>
                </v:textbox>
              </v:rect>
              <v:shape id="_x0000_s1072" type="#_x0000_t67" style="position:absolute;left:7391;top:3885;width:1695;height:1095;mso-position-horizontal:center;mso-position-horizontal-relative:margin" strokecolor="#4f81bd" strokeweight="2.5pt">
                <v:shadow color="#868686"/>
                <v:textbox style="layout-flow:vertical-ideographic"/>
              </v:shape>
              <v:shape id="_x0000_s1073" type="#_x0000_t202" style="position:absolute;left:6465;top:165;width:3315;height:420" stroked="f">
                <v:textbox style="mso-next-textbox:#_x0000_s1073">
                  <w:txbxContent>
                    <w:p w:rsidR="00F63CC2" w:rsidRPr="00805BB1" w:rsidRDefault="00F63CC2" w:rsidP="0082525D">
                      <w:pPr>
                        <w:jc w:val="center"/>
                        <w:rPr>
                          <w:b/>
                          <w:lang w:val="lt-LT"/>
                        </w:rPr>
                      </w:pPr>
                      <w:r w:rsidRPr="0070670B">
                        <w:rPr>
                          <w:b/>
                          <w:lang w:val="lt-LT"/>
                        </w:rPr>
                        <w:t>Taikos misijos padėtis</w:t>
                      </w:r>
                    </w:p>
                  </w:txbxContent>
                </v:textbox>
              </v:shape>
            </v:group>
            <w10:wrap type="none" anchorx="margin"/>
            <w10:anchorlock/>
          </v:group>
        </w:pict>
      </w:r>
    </w:p>
    <w:p w:rsidR="00F234E7" w:rsidRPr="0006604A" w:rsidRDefault="00F234E7" w:rsidP="00113D43">
      <w:pPr>
        <w:spacing w:before="100" w:beforeAutospacing="1" w:after="100" w:afterAutospacing="1"/>
        <w:ind w:firstLine="720"/>
        <w:contextualSpacing/>
        <w:rPr>
          <w:lang w:val="lt-LT" w:eastAsia="lt-LT"/>
        </w:rPr>
      </w:pPr>
    </w:p>
    <w:p w:rsidR="00F234E7" w:rsidRPr="0006604A" w:rsidRDefault="00321032" w:rsidP="0096767F">
      <w:pPr>
        <w:spacing w:before="100" w:beforeAutospacing="1" w:after="100" w:afterAutospacing="1"/>
        <w:ind w:firstLine="851"/>
        <w:contextualSpacing/>
        <w:rPr>
          <w:lang w:val="lt-LT" w:eastAsia="lt-LT"/>
        </w:rPr>
      </w:pPr>
      <w:r>
        <w:rPr>
          <w:lang w:val="lt-LT" w:eastAsia="lt-LT"/>
        </w:rPr>
        <w:t>Apibendrinant šio poskyriaus analizę</w:t>
      </w:r>
      <w:r w:rsidR="0096767F">
        <w:rPr>
          <w:lang w:val="lt-LT" w:eastAsia="lt-LT"/>
        </w:rPr>
        <w:t>,</w:t>
      </w:r>
      <w:r w:rsidR="002E2316">
        <w:rPr>
          <w:lang w:val="lt-LT" w:eastAsia="lt-LT"/>
        </w:rPr>
        <w:t xml:space="preserve"> </w:t>
      </w:r>
      <w:r>
        <w:rPr>
          <w:lang w:val="lt-LT" w:eastAsia="lt-LT"/>
        </w:rPr>
        <w:t xml:space="preserve">teigiame, jog </w:t>
      </w:r>
      <w:r w:rsidR="00F234E7" w:rsidRPr="0006604A">
        <w:rPr>
          <w:lang w:val="lt-LT" w:eastAsia="lt-LT"/>
        </w:rPr>
        <w:t xml:space="preserve">Jungtinių Tautų taikos misija Bosnijoje veikė kaip platesnio masto taikos misija, kurios esminis tikslas buvo palengvinti humanitarinės pagalbos teikimą.  Tačiau konfliktinė situacija ir didelio masto žmogaus teisių pažeidimai šalyje reikalavo daug intensyvesnių veiksmų, atitinkamai ir kariuomenės skaičius turėjo būti didesnis. </w:t>
      </w:r>
      <w:r w:rsidR="00F234E7" w:rsidRPr="0006604A">
        <w:rPr>
          <w:lang w:val="lt-LT"/>
        </w:rPr>
        <w:t xml:space="preserve">Nors ir atsirado rezoliucijos, kuriose minimas jėgos panaudojimas, tačiau ji niekada </w:t>
      </w:r>
      <w:r w:rsidR="0006604A" w:rsidRPr="0006604A">
        <w:rPr>
          <w:lang w:val="lt-LT"/>
        </w:rPr>
        <w:t>neviršijo</w:t>
      </w:r>
      <w:r w:rsidR="00F234E7" w:rsidRPr="0006604A">
        <w:rPr>
          <w:lang w:val="lt-LT"/>
        </w:rPr>
        <w:t xml:space="preserve"> savigynos ribų, o tuo pat metu išliko ir ankstesnės rezoliucijos, kurios suteikė įgaliojimus vykdyti platesnio masto taikos misiją, vadovaujantis pamatiniais taikos</w:t>
      </w:r>
      <w:r w:rsidR="0096767F">
        <w:rPr>
          <w:lang w:val="lt-LT"/>
        </w:rPr>
        <w:t xml:space="preserve"> misijų</w:t>
      </w:r>
      <w:r w:rsidR="00F234E7" w:rsidRPr="0006604A">
        <w:rPr>
          <w:lang w:val="lt-LT"/>
        </w:rPr>
        <w:t xml:space="preserve"> principais: misijos dalyviai </w:t>
      </w:r>
      <w:r w:rsidR="00F234E7" w:rsidRPr="0006604A">
        <w:rPr>
          <w:lang w:val="lt-LT"/>
        </w:rPr>
        <w:lastRenderedPageBreak/>
        <w:t xml:space="preserve">turėjo bendradarbiauti su šalimis, prižiūrėti paliaubas, gauti sutikimą iš vietinės valdžios, nors pažymėtina, kad šių funkcijų vykdymas buvo absoliučiai neįmanomas. </w:t>
      </w:r>
    </w:p>
    <w:p w:rsidR="00F234E7" w:rsidRPr="0006604A" w:rsidRDefault="00F234E7" w:rsidP="00113D43">
      <w:pPr>
        <w:pStyle w:val="Heading2"/>
        <w:numPr>
          <w:ilvl w:val="1"/>
          <w:numId w:val="2"/>
        </w:numPr>
        <w:rPr>
          <w:sz w:val="24"/>
          <w:szCs w:val="24"/>
          <w:lang w:val="lt-LT"/>
        </w:rPr>
      </w:pPr>
      <w:bookmarkStart w:id="22" w:name="_Toc280556721"/>
      <w:bookmarkStart w:id="23" w:name="_Toc280807840"/>
      <w:r w:rsidRPr="0006604A">
        <w:rPr>
          <w:sz w:val="24"/>
          <w:szCs w:val="24"/>
          <w:lang w:val="lt-LT"/>
        </w:rPr>
        <w:t>Nuo karinių veiksmų iki taikos įtvirtinimo</w:t>
      </w:r>
      <w:bookmarkEnd w:id="22"/>
      <w:bookmarkEnd w:id="23"/>
    </w:p>
    <w:p w:rsidR="00F234E7" w:rsidRDefault="00F234E7" w:rsidP="00113D43">
      <w:pPr>
        <w:spacing w:before="100" w:beforeAutospacing="1" w:after="100" w:afterAutospacing="1"/>
        <w:ind w:firstLine="851"/>
        <w:contextualSpacing/>
        <w:rPr>
          <w:lang w:val="lt-LT"/>
        </w:rPr>
      </w:pPr>
      <w:r w:rsidRPr="0006604A">
        <w:rPr>
          <w:lang w:val="lt-LT"/>
        </w:rPr>
        <w:t>Kaip jau buvo minėta pirmame poskyryje, antrosios kartos taikos misijoms priskirtas ir  taikos įtvirtinimas.  Kadangi ši Jungtinių Tautų veikla šiomis dienomis yra plačiausiai naudojama, būtina ją išskirti ir išanalizuoti atskirai, ypatingai dėl to, kad po 2001 metų rugsėjo 11 dienos įvykių taikos įtvirtinimas keliose valstybėse pradėtas neįprastu būdu: po karinės operacijos atlikimo. Šiame kontekste analizei pasirenkama Azijos pietvakariuose esanti</w:t>
      </w:r>
      <w:r w:rsidR="009B0501">
        <w:rPr>
          <w:lang w:val="lt-LT"/>
        </w:rPr>
        <w:t xml:space="preserve"> Afganistano Islamo Respublika.</w:t>
      </w:r>
    </w:p>
    <w:p w:rsidR="009B0501" w:rsidRPr="0006604A" w:rsidRDefault="009B0501" w:rsidP="009B0501">
      <w:pPr>
        <w:spacing w:before="100" w:beforeAutospacing="1" w:after="100" w:afterAutospacing="1"/>
        <w:ind w:right="-99" w:firstLine="851"/>
        <w:contextualSpacing/>
        <w:rPr>
          <w:lang w:val="lt-LT"/>
        </w:rPr>
      </w:pPr>
      <w:r>
        <w:rPr>
          <w:lang w:val="lt-LT"/>
        </w:rPr>
        <w:t>Prieš pradedant detalią ta</w:t>
      </w:r>
      <w:r w:rsidR="001F48F9">
        <w:rPr>
          <w:lang w:val="lt-LT"/>
        </w:rPr>
        <w:t>ikos įtvirtinimo</w:t>
      </w:r>
      <w:r>
        <w:rPr>
          <w:lang w:val="lt-LT"/>
        </w:rPr>
        <w:t xml:space="preserve"> misijos</w:t>
      </w:r>
      <w:r w:rsidR="001F48F9">
        <w:rPr>
          <w:lang w:val="lt-LT"/>
        </w:rPr>
        <w:t xml:space="preserve"> </w:t>
      </w:r>
      <w:r w:rsidR="00987EF7">
        <w:rPr>
          <w:lang w:val="lt-LT"/>
        </w:rPr>
        <w:t>analizę,</w:t>
      </w:r>
      <w:r>
        <w:rPr>
          <w:lang w:val="lt-LT"/>
        </w:rPr>
        <w:t xml:space="preserve"> būtina aptarti faktines taikos misijos įkūrimo prielaidas.</w:t>
      </w:r>
    </w:p>
    <w:p w:rsidR="00F234E7" w:rsidRPr="0006604A" w:rsidRDefault="00F234E7" w:rsidP="00113D43">
      <w:pPr>
        <w:spacing w:before="100" w:beforeAutospacing="1" w:after="100" w:afterAutospacing="1"/>
        <w:ind w:firstLine="851"/>
        <w:contextualSpacing/>
        <w:rPr>
          <w:lang w:val="lt-LT"/>
        </w:rPr>
      </w:pPr>
      <w:r w:rsidRPr="0006604A">
        <w:rPr>
          <w:lang w:val="lt-LT"/>
        </w:rPr>
        <w:t>2001 m. ru</w:t>
      </w:r>
      <w:r w:rsidR="00A843AF">
        <w:rPr>
          <w:lang w:val="lt-LT"/>
        </w:rPr>
        <w:t xml:space="preserve">gsėjo 11 d. Jungtinėse </w:t>
      </w:r>
      <w:r w:rsidRPr="0006604A">
        <w:rPr>
          <w:lang w:val="lt-LT"/>
        </w:rPr>
        <w:t>Valstij</w:t>
      </w:r>
      <w:r w:rsidR="00A843AF">
        <w:rPr>
          <w:lang w:val="lt-LT"/>
        </w:rPr>
        <w:t>ose</w:t>
      </w:r>
      <w:r w:rsidRPr="0006604A">
        <w:rPr>
          <w:lang w:val="lt-LT"/>
        </w:rPr>
        <w:t xml:space="preserve"> teroristų užgrobtais keturiais lėktuvais įvykdomi didelio masto teroro aktai: du lėktuvai įsirėžė į Pasaulio Prekybos Centrus Niujorke, kitas į Pentagono pastatą Vašingtone, o ketvirtas sudužo Pensilvanijos valstijoje. Jungtinės Valstijos ir Didžioji Britanija pradėjo rinkti informaciją apie asmenis, atsakingus už rugsėjo 11 dienos įvykius ir priklausančius teroristinei organ</w:t>
      </w:r>
      <w:r w:rsidR="007C00EF" w:rsidRPr="0006604A">
        <w:rPr>
          <w:lang w:val="lt-LT"/>
        </w:rPr>
        <w:t>izacijai, žinomai, kaip Al-Qai</w:t>
      </w:r>
      <w:r w:rsidRPr="0006604A">
        <w:rPr>
          <w:lang w:val="lt-LT"/>
        </w:rPr>
        <w:t>da. Gali</w:t>
      </w:r>
      <w:r w:rsidR="007C00EF" w:rsidRPr="0006604A">
        <w:rPr>
          <w:lang w:val="lt-LT"/>
        </w:rPr>
        <w:t>ausiai buvo atskleista, jog Al-Qai</w:t>
      </w:r>
      <w:r w:rsidRPr="0006604A">
        <w:rPr>
          <w:lang w:val="lt-LT"/>
        </w:rPr>
        <w:t xml:space="preserve">da ir Talibano – Afganistano </w:t>
      </w:r>
      <w:r w:rsidRPr="0006604A">
        <w:rPr>
          <w:i/>
          <w:lang w:val="lt-LT"/>
        </w:rPr>
        <w:t>de facto</w:t>
      </w:r>
      <w:r w:rsidRPr="0006604A">
        <w:rPr>
          <w:lang w:val="lt-LT"/>
        </w:rPr>
        <w:t xml:space="preserve"> valdytojų, ryšiai glaudžiai susiję.</w:t>
      </w:r>
      <w:r w:rsidRPr="0006604A">
        <w:rPr>
          <w:rStyle w:val="FootnoteReference"/>
          <w:rFonts w:eastAsiaTheme="majorEastAsia"/>
          <w:lang w:val="lt-LT"/>
        </w:rPr>
        <w:footnoteReference w:id="111"/>
      </w:r>
      <w:r w:rsidRPr="0006604A">
        <w:rPr>
          <w:lang w:val="lt-LT"/>
        </w:rPr>
        <w:t xml:space="preserve"> Jungtinės Valstijos ir Didžioji Britanija spalio 7 dieną pradėjo bombarduoti Afganistaną</w:t>
      </w:r>
      <w:r w:rsidR="00547B7A" w:rsidRPr="0006604A">
        <w:rPr>
          <w:rStyle w:val="FootnoteReference"/>
          <w:lang w:val="lt-LT"/>
        </w:rPr>
        <w:footnoteReference w:id="112"/>
      </w:r>
      <w:r w:rsidRPr="0006604A">
        <w:rPr>
          <w:lang w:val="lt-LT"/>
        </w:rPr>
        <w:t xml:space="preserve"> ir buvo pradėta operacija „Tvirta taika“ ( angl. Enduring Freedom).</w:t>
      </w:r>
    </w:p>
    <w:p w:rsidR="00F234E7" w:rsidRPr="0006604A" w:rsidRDefault="00F234E7" w:rsidP="00113D43">
      <w:pPr>
        <w:spacing w:before="100" w:beforeAutospacing="1" w:after="100" w:afterAutospacing="1"/>
        <w:ind w:firstLine="851"/>
        <w:contextualSpacing/>
        <w:rPr>
          <w:lang w:val="lt-LT"/>
        </w:rPr>
      </w:pPr>
      <w:r w:rsidRPr="0006604A">
        <w:rPr>
          <w:lang w:val="lt-LT"/>
        </w:rPr>
        <w:lastRenderedPageBreak/>
        <w:t>Kai buvo užimtas paskutinis Talibano kontroliuojamas miestas –</w:t>
      </w:r>
      <w:r w:rsidR="007A4ABB" w:rsidRPr="0006604A">
        <w:rPr>
          <w:lang w:val="lt-LT"/>
        </w:rPr>
        <w:t xml:space="preserve"> </w:t>
      </w:r>
      <w:r w:rsidRPr="0006604A">
        <w:rPr>
          <w:lang w:val="lt-LT"/>
        </w:rPr>
        <w:t>Kandahar, Bonoje Jungtinės Tautos ir kitos šalys</w:t>
      </w:r>
      <w:r w:rsidR="00987EF7">
        <w:rPr>
          <w:lang w:val="lt-LT"/>
        </w:rPr>
        <w:t>,</w:t>
      </w:r>
      <w:r w:rsidRPr="0006604A">
        <w:rPr>
          <w:lang w:val="lt-LT"/>
        </w:rPr>
        <w:t xml:space="preserve"> įsitraukusios į Afganistano konfliktą</w:t>
      </w:r>
      <w:r w:rsidR="00987EF7">
        <w:rPr>
          <w:lang w:val="lt-LT"/>
        </w:rPr>
        <w:t>,</w:t>
      </w:r>
      <w:r w:rsidRPr="0006604A">
        <w:rPr>
          <w:lang w:val="lt-LT"/>
        </w:rPr>
        <w:t xml:space="preserve"> pradėjo svarstymus dėl naujos Afganistano vyriausybės.</w:t>
      </w:r>
      <w:r w:rsidRPr="0006604A">
        <w:rPr>
          <w:rStyle w:val="FootnoteReference"/>
          <w:rFonts w:eastAsiaTheme="majorEastAsia"/>
          <w:lang w:val="lt-LT"/>
        </w:rPr>
        <w:footnoteReference w:id="113"/>
      </w:r>
      <w:r w:rsidRPr="0006604A">
        <w:rPr>
          <w:lang w:val="lt-LT"/>
        </w:rPr>
        <w:t xml:space="preserve"> 2001 metų gruodžio 5 dieną konferencija priėmė Bonos susitarimą (angl. Bonn Agreement), kuris įsteigė Laikinąją Afganistano Vyriausybę. Susitarimo I Priede Jungtinių Tautų Saugumo Tarybos prašoma įsteigti ir suteikti įgaliojimus veikti pirmosioms karinėms pajėgoms, kurios padėtų palaikyti Kabulo miesto ir jo apylinkių saugumą.</w:t>
      </w:r>
      <w:r w:rsidRPr="0006604A">
        <w:rPr>
          <w:rStyle w:val="FootnoteReference"/>
          <w:rFonts w:eastAsiaTheme="majorEastAsia"/>
          <w:lang w:val="lt-LT"/>
        </w:rPr>
        <w:footnoteReference w:id="114"/>
      </w:r>
    </w:p>
    <w:p w:rsidR="00F234E7" w:rsidRPr="0006604A" w:rsidRDefault="00AD5309" w:rsidP="00113D43">
      <w:pPr>
        <w:spacing w:before="100" w:beforeAutospacing="1" w:after="100" w:afterAutospacing="1"/>
        <w:ind w:firstLine="851"/>
        <w:contextualSpacing/>
        <w:rPr>
          <w:color w:val="000000"/>
          <w:lang w:val="lt-LT"/>
        </w:rPr>
      </w:pPr>
      <w:r w:rsidRPr="0006604A">
        <w:rPr>
          <w:lang w:val="lt-LT"/>
        </w:rPr>
        <w:t xml:space="preserve">Jungtinių Tautų </w:t>
      </w:r>
      <w:r w:rsidR="00987EF7">
        <w:rPr>
          <w:lang w:val="lt-LT"/>
        </w:rPr>
        <w:t xml:space="preserve">Saugumo Taryba </w:t>
      </w:r>
      <w:r w:rsidR="00F3043D">
        <w:rPr>
          <w:lang w:val="lt-LT"/>
        </w:rPr>
        <w:t>R</w:t>
      </w:r>
      <w:r w:rsidR="00987EF7">
        <w:rPr>
          <w:lang w:val="lt-LT"/>
        </w:rPr>
        <w:t xml:space="preserve">ezoliucijoje </w:t>
      </w:r>
      <w:r w:rsidR="00F3043D">
        <w:rPr>
          <w:lang w:val="lt-LT"/>
        </w:rPr>
        <w:t xml:space="preserve">Nr. </w:t>
      </w:r>
      <w:r w:rsidR="00F234E7" w:rsidRPr="0006604A">
        <w:rPr>
          <w:lang w:val="lt-LT"/>
        </w:rPr>
        <w:t xml:space="preserve">1386 pasmerkė teroro aktus ir remdamasi Jungtinių Tautų Chartijos VII skyriumi suteikė mandatą pradėti karinę operaciją: </w:t>
      </w:r>
      <w:r w:rsidR="00F234E7" w:rsidRPr="0006604A">
        <w:rPr>
          <w:lang w:val="lt-LT"/>
        </w:rPr>
        <w:lastRenderedPageBreak/>
        <w:t>„įgalioja, kaip numatyta Bonos susitarimo I priede, įsteigti šešiems mėnesiams Tarptautines Saugumo Paramos pajėgas (angl. ISAF), kurios padėtų sukurti saugią aplinką [...]“</w:t>
      </w:r>
      <w:r w:rsidR="00F234E7" w:rsidRPr="0006604A">
        <w:rPr>
          <w:rStyle w:val="FootnoteReference"/>
          <w:rFonts w:eastAsiaTheme="majorEastAsia"/>
          <w:lang w:val="lt-LT"/>
        </w:rPr>
        <w:footnoteReference w:id="115"/>
      </w:r>
      <w:r w:rsidR="00F234E7" w:rsidRPr="0006604A">
        <w:rPr>
          <w:color w:val="000000"/>
          <w:lang w:val="lt-LT"/>
        </w:rPr>
        <w:t xml:space="preserve"> </w:t>
      </w:r>
    </w:p>
    <w:p w:rsidR="00F234E7" w:rsidRPr="0006604A" w:rsidRDefault="00F234E7" w:rsidP="00113D43">
      <w:pPr>
        <w:spacing w:before="100" w:beforeAutospacing="1" w:after="100" w:afterAutospacing="1"/>
        <w:ind w:firstLine="851"/>
        <w:contextualSpacing/>
        <w:rPr>
          <w:rStyle w:val="Strong"/>
          <w:b w:val="0"/>
          <w:lang w:val="lt-LT"/>
        </w:rPr>
      </w:pPr>
      <w:r w:rsidRPr="0006604A">
        <w:rPr>
          <w:rStyle w:val="Strong"/>
          <w:b w:val="0"/>
          <w:lang w:val="lt-LT"/>
        </w:rPr>
        <w:t>2002 metais Saugumo Taryba įsteigia Jungtinių Tautų pagalbos misiją (angl. UNAMA) ir patvirtina Generalinio Sekretoriaus Specialaus atstovo įgaliojimus planuoti ir vykdyti Jungtin</w:t>
      </w:r>
      <w:r w:rsidR="00F3043D">
        <w:rPr>
          <w:rStyle w:val="Strong"/>
          <w:b w:val="0"/>
          <w:lang w:val="lt-LT"/>
        </w:rPr>
        <w:t>i</w:t>
      </w:r>
      <w:r w:rsidRPr="0006604A">
        <w:rPr>
          <w:rStyle w:val="Strong"/>
          <w:b w:val="0"/>
          <w:lang w:val="lt-LT"/>
        </w:rPr>
        <w:t>ų Tautų veiklą Afganistane.</w:t>
      </w:r>
      <w:r w:rsidRPr="0006604A">
        <w:rPr>
          <w:rStyle w:val="FootnoteReference"/>
          <w:rFonts w:eastAsiaTheme="majorEastAsia"/>
          <w:lang w:val="lt-LT"/>
        </w:rPr>
        <w:footnoteReference w:id="116"/>
      </w:r>
      <w:r w:rsidRPr="0006604A">
        <w:rPr>
          <w:rStyle w:val="Strong"/>
          <w:b w:val="0"/>
          <w:lang w:val="lt-LT"/>
        </w:rPr>
        <w:t xml:space="preserve"> Ši Jungtinių Tautų misija neturi vykdomųjų galių ir yra tik politinė, turinti savo biurus tiek regioniniu, tiek pro</w:t>
      </w:r>
      <w:r w:rsidR="00AD5309" w:rsidRPr="0006604A">
        <w:rPr>
          <w:rStyle w:val="Strong"/>
          <w:b w:val="0"/>
          <w:lang w:val="lt-LT"/>
        </w:rPr>
        <w:t>vincijų</w:t>
      </w:r>
      <w:r w:rsidRPr="0006604A">
        <w:rPr>
          <w:rStyle w:val="Strong"/>
          <w:b w:val="0"/>
          <w:lang w:val="lt-LT"/>
        </w:rPr>
        <w:t xml:space="preserve"> mastu. Jungtinių Tautų pagalbos misijos įgaliojimai apima paramą Afganistano vyriausybei, žmogaus teisių rėmimą, techninės paramos teikimą, pagalbą rinkimų metu, Jungtinių Tautų humanitarinės pagalbos, atkūrimo, atstatymo ir plėtros veiklų valdymą.</w:t>
      </w:r>
      <w:r w:rsidRPr="0006604A">
        <w:rPr>
          <w:rStyle w:val="FootnoteReference"/>
          <w:rFonts w:eastAsiaTheme="majorEastAsia"/>
          <w:lang w:val="lt-LT"/>
        </w:rPr>
        <w:footnoteReference w:id="117"/>
      </w:r>
    </w:p>
    <w:p w:rsidR="00F234E7" w:rsidRPr="0006604A" w:rsidRDefault="00F234E7" w:rsidP="00113D43">
      <w:pPr>
        <w:spacing w:before="100" w:beforeAutospacing="1" w:after="100" w:afterAutospacing="1"/>
        <w:ind w:firstLine="851"/>
        <w:contextualSpacing/>
        <w:rPr>
          <w:lang w:val="lt-LT"/>
        </w:rPr>
      </w:pPr>
      <w:r w:rsidRPr="0006604A">
        <w:rPr>
          <w:lang w:val="lt-LT"/>
        </w:rPr>
        <w:t>Taigi</w:t>
      </w:r>
      <w:r w:rsidR="0004669C">
        <w:rPr>
          <w:lang w:val="lt-LT"/>
        </w:rPr>
        <w:t>,</w:t>
      </w:r>
      <w:r w:rsidRPr="0006604A">
        <w:rPr>
          <w:lang w:val="lt-LT"/>
        </w:rPr>
        <w:t xml:space="preserve"> greta politinės Jungtinių Tautų </w:t>
      </w:r>
      <w:r w:rsidR="00D75B2C">
        <w:rPr>
          <w:lang w:val="lt-LT"/>
        </w:rPr>
        <w:t>pagalbos misijos</w:t>
      </w:r>
      <w:r w:rsidRPr="0006604A">
        <w:rPr>
          <w:lang w:val="lt-LT"/>
        </w:rPr>
        <w:t xml:space="preserve"> Afganistane veikia Jungtinių Valstijų vadovaujama karinė </w:t>
      </w:r>
      <w:r w:rsidR="007735AF" w:rsidRPr="0006604A">
        <w:rPr>
          <w:lang w:val="lt-LT"/>
        </w:rPr>
        <w:t xml:space="preserve">operacija „Tvirta taika“ </w:t>
      </w:r>
      <w:r w:rsidR="00587B96" w:rsidRPr="0006604A">
        <w:rPr>
          <w:lang w:val="lt-LT"/>
        </w:rPr>
        <w:t>ir NATO</w:t>
      </w:r>
      <w:r w:rsidRPr="0006604A">
        <w:rPr>
          <w:lang w:val="lt-LT"/>
        </w:rPr>
        <w:t xml:space="preserve"> vadovaujamos Tarptautinės Saugumo Paramos pajėgos</w:t>
      </w:r>
      <w:r w:rsidR="00D75B2C">
        <w:rPr>
          <w:lang w:val="lt-LT"/>
        </w:rPr>
        <w:t>,</w:t>
      </w:r>
      <w:r w:rsidRPr="0006604A">
        <w:rPr>
          <w:lang w:val="lt-LT"/>
        </w:rPr>
        <w:t xml:space="preserve"> į kurias įeina 27 valstybių vadovaujamos provincijų atkūrimo grupės</w:t>
      </w:r>
      <w:r w:rsidR="0004669C">
        <w:rPr>
          <w:lang w:val="lt-LT"/>
        </w:rPr>
        <w:t>,</w:t>
      </w:r>
      <w:r w:rsidRPr="0006604A">
        <w:rPr>
          <w:rStyle w:val="FootnoteReference"/>
          <w:rFonts w:eastAsiaTheme="majorEastAsia"/>
          <w:lang w:val="lt-LT"/>
        </w:rPr>
        <w:footnoteReference w:id="118"/>
      </w:r>
      <w:r w:rsidRPr="0006604A">
        <w:rPr>
          <w:lang w:val="lt-LT"/>
        </w:rPr>
        <w:t xml:space="preserve"> (angl. PRTs) veikiančios penkiuose šalies regionuose: šiaurės, rytų, vakarų, pietų ir sostinės.</w:t>
      </w:r>
    </w:p>
    <w:p w:rsidR="00F234E7" w:rsidRPr="0006604A" w:rsidRDefault="00F234E7" w:rsidP="00113D43">
      <w:pPr>
        <w:spacing w:before="100" w:beforeAutospacing="1" w:after="100" w:afterAutospacing="1"/>
        <w:ind w:firstLine="851"/>
        <w:contextualSpacing/>
        <w:rPr>
          <w:lang w:val="lt-LT"/>
        </w:rPr>
      </w:pPr>
      <w:r w:rsidRPr="0006604A">
        <w:rPr>
          <w:lang w:val="lt-LT"/>
        </w:rPr>
        <w:t>Pažymėtina, jog prieš misiją Afganistane taikos įtvirtinimas buvo pradedamas pasibaigus civiliniam karui, kur vietinė valdžia paskelbus paliaubas prašydavo tarptautinės pagalbos, tačiau Afganistano atveju</w:t>
      </w:r>
      <w:r w:rsidR="00BC7BDB">
        <w:rPr>
          <w:lang w:val="lt-LT"/>
        </w:rPr>
        <w:t>,</w:t>
      </w:r>
      <w:r w:rsidRPr="0006604A">
        <w:rPr>
          <w:lang w:val="lt-LT"/>
        </w:rPr>
        <w:t xml:space="preserve"> visų pirma</w:t>
      </w:r>
      <w:r w:rsidR="00BC7BDB">
        <w:rPr>
          <w:lang w:val="lt-LT"/>
        </w:rPr>
        <w:t>,</w:t>
      </w:r>
      <w:r w:rsidRPr="0006604A">
        <w:rPr>
          <w:lang w:val="lt-LT"/>
        </w:rPr>
        <w:t xml:space="preserve"> buvo pradėta karinė operacija ir tik po to pradėtas taikos įtvirtinimas.</w:t>
      </w:r>
      <w:r w:rsidRPr="0006604A">
        <w:rPr>
          <w:rStyle w:val="FootnoteReference"/>
          <w:rFonts w:eastAsiaTheme="majorEastAsia"/>
          <w:lang w:val="lt-LT"/>
        </w:rPr>
        <w:footnoteReference w:id="119"/>
      </w:r>
      <w:r w:rsidRPr="0006604A">
        <w:rPr>
          <w:lang w:val="lt-LT"/>
        </w:rPr>
        <w:t xml:space="preserve"> Pirmiausia</w:t>
      </w:r>
      <w:r w:rsidR="00640187">
        <w:rPr>
          <w:lang w:val="lt-LT"/>
        </w:rPr>
        <w:t xml:space="preserve"> </w:t>
      </w:r>
      <w:r w:rsidRPr="0006604A">
        <w:rPr>
          <w:lang w:val="lt-LT"/>
        </w:rPr>
        <w:t xml:space="preserve"> pagrindinis tikslas buvo nuversti Talibano režimą ir sunaikin</w:t>
      </w:r>
      <w:r w:rsidR="007735AF" w:rsidRPr="0006604A">
        <w:rPr>
          <w:lang w:val="lt-LT"/>
        </w:rPr>
        <w:t>ti teroristinę grupuotę Al-Qai</w:t>
      </w:r>
      <w:r w:rsidRPr="0006604A">
        <w:rPr>
          <w:lang w:val="lt-LT"/>
        </w:rPr>
        <w:t>da. Nacionalinėje Jungtinių Valstijų strategijoje buvo teigiama: „Kol mūsų šalis stengsis pritraukti tarptautinės bendruomenės paramą, nedvejosime ir pradėsime veikti vieni, jei būtina, naudosime savigynos teisę, kaip prevenciją prieš teroristų veiksmus“.</w:t>
      </w:r>
      <w:r w:rsidRPr="0006604A">
        <w:rPr>
          <w:rStyle w:val="FootnoteReference"/>
          <w:rFonts w:eastAsiaTheme="majorEastAsia"/>
          <w:lang w:val="lt-LT"/>
        </w:rPr>
        <w:footnoteReference w:id="120"/>
      </w:r>
      <w:r w:rsidRPr="0006604A">
        <w:rPr>
          <w:lang w:val="lt-LT"/>
        </w:rPr>
        <w:t xml:space="preserve"> </w:t>
      </w:r>
      <w:r w:rsidR="0006604A" w:rsidRPr="0006604A">
        <w:rPr>
          <w:lang w:val="lt-LT"/>
        </w:rPr>
        <w:t>Toje pačioje strategijoje įtvirtinama, ka</w:t>
      </w:r>
      <w:r w:rsidR="0006604A">
        <w:rPr>
          <w:lang w:val="lt-LT"/>
        </w:rPr>
        <w:t>d tuo pačiu metu, kol bus perse</w:t>
      </w:r>
      <w:r w:rsidR="0006604A" w:rsidRPr="0006604A">
        <w:rPr>
          <w:lang w:val="lt-LT"/>
        </w:rPr>
        <w:t>kiojami teroristai Afganistane, bus bendradarbiaujama su tarptautinėmis organizacijomis, kaip Jungtinės Tautos ar nevyriausybinėmis organizacijomis, taip pat su šalimis, kurios teiks humanitarinę, politinę, ekonominę, saugumo pagalbą, reikalingą Afganistano valstybės atstatymui.</w:t>
      </w:r>
      <w:r w:rsidR="0006604A" w:rsidRPr="0006604A">
        <w:rPr>
          <w:rStyle w:val="FootnoteReference"/>
          <w:rFonts w:eastAsiaTheme="majorEastAsia"/>
          <w:lang w:val="lt-LT"/>
        </w:rPr>
        <w:footnoteReference w:id="121"/>
      </w:r>
      <w:r w:rsidR="0006604A" w:rsidRPr="0006604A">
        <w:rPr>
          <w:lang w:val="lt-LT"/>
        </w:rPr>
        <w:t xml:space="preserve"> </w:t>
      </w:r>
    </w:p>
    <w:p w:rsidR="00113D43" w:rsidRPr="00A81D7F" w:rsidRDefault="00F234E7" w:rsidP="00A81D7F">
      <w:pPr>
        <w:spacing w:before="100" w:beforeAutospacing="1" w:after="100" w:afterAutospacing="1"/>
        <w:ind w:firstLine="851"/>
        <w:contextualSpacing/>
        <w:rPr>
          <w:color w:val="FF0000"/>
          <w:lang w:val="lt-LT"/>
        </w:rPr>
      </w:pPr>
      <w:r w:rsidRPr="0006604A">
        <w:rPr>
          <w:lang w:val="lt-LT"/>
        </w:rPr>
        <w:t>Taip pat svarbu paminėti, jog nors Jungtinės Tautos nemažai prisidėjo formuodamos naują vyriausybę, pagrindinę atsakomybę už politinius ir karinius tai</w:t>
      </w:r>
      <w:r w:rsidR="00C5112E" w:rsidRPr="0006604A">
        <w:rPr>
          <w:lang w:val="lt-LT"/>
        </w:rPr>
        <w:t>kos įtvirtinimo elementus prisiė</w:t>
      </w:r>
      <w:r w:rsidRPr="0006604A">
        <w:rPr>
          <w:lang w:val="lt-LT"/>
        </w:rPr>
        <w:t xml:space="preserve">mė </w:t>
      </w:r>
      <w:r w:rsidRPr="0006604A">
        <w:rPr>
          <w:lang w:val="lt-LT"/>
        </w:rPr>
        <w:lastRenderedPageBreak/>
        <w:t>Jungtinės Valstijos – jos kariai, diplomatai ir kiti pareigūnai.</w:t>
      </w:r>
      <w:r w:rsidRPr="0006604A">
        <w:rPr>
          <w:rStyle w:val="FootnoteReference"/>
          <w:rFonts w:eastAsiaTheme="majorEastAsia"/>
          <w:lang w:val="lt-LT"/>
        </w:rPr>
        <w:footnoteReference w:id="122"/>
      </w:r>
      <w:r w:rsidRPr="0006604A">
        <w:rPr>
          <w:lang w:val="lt-LT"/>
        </w:rPr>
        <w:t xml:space="preserve"> Tai galima paaiškinti tuo, kad karinių pajėgų įvedimas į Afganistaną pirmiausia buvo susijęs su Jungtinių Valstijų nacionalinio saugumo tikslais, todėl v</w:t>
      </w:r>
      <w:r w:rsidR="00944D73" w:rsidRPr="0006604A">
        <w:rPr>
          <w:lang w:val="lt-LT"/>
        </w:rPr>
        <w:t>isą iniciatyvą pirmiausia prisiė</w:t>
      </w:r>
      <w:r w:rsidRPr="0006604A">
        <w:rPr>
          <w:lang w:val="lt-LT"/>
        </w:rPr>
        <w:t xml:space="preserve">mė Jungtinės Valstijos. Po Jungtinių Valstijų karinių pajėgų įvedimo į Afganistaną, prie taikos įtvirtinimo prisideda Jungtinių Tautų politinė misija bei Saugumo Tarybos įgaliotos Tarptautinės Saugumo Paramos pajėgos. </w:t>
      </w:r>
    </w:p>
    <w:p w:rsidR="00113D43" w:rsidRDefault="00113D43" w:rsidP="00113D43">
      <w:pPr>
        <w:spacing w:before="100" w:beforeAutospacing="1" w:after="100" w:afterAutospacing="1"/>
        <w:ind w:firstLine="720"/>
        <w:contextualSpacing/>
        <w:jc w:val="right"/>
        <w:rPr>
          <w:lang w:val="lt-LT"/>
        </w:rPr>
      </w:pPr>
    </w:p>
    <w:p w:rsidR="00F234E7" w:rsidRPr="0006604A" w:rsidRDefault="007735AF" w:rsidP="00113D43">
      <w:pPr>
        <w:spacing w:before="100" w:beforeAutospacing="1" w:after="100" w:afterAutospacing="1"/>
        <w:ind w:firstLine="720"/>
        <w:contextualSpacing/>
        <w:jc w:val="right"/>
        <w:rPr>
          <w:lang w:val="lt-LT"/>
        </w:rPr>
      </w:pPr>
      <w:r w:rsidRPr="0006604A">
        <w:rPr>
          <w:lang w:val="lt-LT"/>
        </w:rPr>
        <w:t>Schema Nr. 4</w:t>
      </w:r>
    </w:p>
    <w:p w:rsidR="00F234E7" w:rsidRPr="0006604A" w:rsidRDefault="007735AF" w:rsidP="00113D43">
      <w:pPr>
        <w:spacing w:before="100" w:beforeAutospacing="1" w:after="100" w:afterAutospacing="1"/>
        <w:ind w:firstLine="720"/>
        <w:contextualSpacing/>
        <w:jc w:val="right"/>
        <w:rPr>
          <w:lang w:val="lt-LT"/>
        </w:rPr>
      </w:pPr>
      <w:r w:rsidRPr="0006604A">
        <w:rPr>
          <w:lang w:val="lt-LT"/>
        </w:rPr>
        <w:t>Taikos įtvirtinimas Afganistane</w:t>
      </w:r>
    </w:p>
    <w:p w:rsidR="007735AF" w:rsidRPr="0006604A" w:rsidRDefault="00275463" w:rsidP="00113D43">
      <w:pPr>
        <w:spacing w:before="100" w:beforeAutospacing="1" w:after="100" w:afterAutospacing="1"/>
        <w:ind w:firstLine="720"/>
        <w:contextualSpacing/>
        <w:jc w:val="right"/>
        <w:rPr>
          <w:lang w:val="lt-LT"/>
        </w:rPr>
      </w:pPr>
      <w:r>
        <w:rPr>
          <w:lang w:val="lt-LT" w:eastAsia="lt-LT"/>
        </w:rPr>
        <w:pict>
          <v:roundrect id="_x0000_s1042" style="position:absolute;left:0;text-align:left;margin-left:28.9pt;margin-top:161pt;width:388pt;height:27.25pt;z-index:251663360" arcsize="10923f" fillcolor="#5165bb" stroked="f" strokeweight="0">
            <v:fill color2="#365e8f [2372]" focusposition=".5,.5" focussize="" focus="100%" type="gradient"/>
            <v:shadow on="t" type="perspective" color="#bfbfbf [2412]" offset="1pt" offset2="-3pt"/>
            <v:textbox style="mso-next-textbox:#_x0000_s1042">
              <w:txbxContent>
                <w:p w:rsidR="00F63CC2" w:rsidRPr="00796C5E" w:rsidRDefault="00F63CC2" w:rsidP="00F234E7">
                  <w:pPr>
                    <w:jc w:val="center"/>
                    <w:rPr>
                      <w:b/>
                      <w:color w:val="FFFFFF" w:themeColor="background1"/>
                      <w:lang w:val="lt-LT"/>
                    </w:rPr>
                  </w:pPr>
                  <w:r w:rsidRPr="00796C5E">
                    <w:rPr>
                      <w:b/>
                      <w:color w:val="FFFFFF" w:themeColor="background1"/>
                      <w:lang w:val="lt-LT"/>
                    </w:rPr>
                    <w:t>Taikos įtvirtinimas</w:t>
                  </w:r>
                </w:p>
              </w:txbxContent>
            </v:textbox>
          </v:roundrect>
        </w:pict>
      </w:r>
    </w:p>
    <w:p w:rsidR="00F234E7" w:rsidRPr="0006604A" w:rsidRDefault="00F234E7" w:rsidP="00113D43">
      <w:pPr>
        <w:spacing w:before="100" w:beforeAutospacing="1" w:after="100" w:afterAutospacing="1"/>
        <w:ind w:firstLine="720"/>
        <w:contextualSpacing/>
        <w:rPr>
          <w:lang w:val="lt-LT"/>
        </w:rPr>
      </w:pPr>
      <w:r w:rsidRPr="0006604A">
        <w:rPr>
          <w:noProof/>
          <w:lang w:val="lt-LT" w:eastAsia="lt-LT"/>
        </w:rPr>
        <w:drawing>
          <wp:anchor distT="0" distB="0" distL="114300" distR="114300" simplePos="0" relativeHeight="251662336" behindDoc="0" locked="0" layoutInCell="1" allowOverlap="1">
            <wp:simplePos x="0" y="0"/>
            <wp:positionH relativeFrom="column">
              <wp:posOffset>238760</wp:posOffset>
            </wp:positionH>
            <wp:positionV relativeFrom="paragraph">
              <wp:posOffset>0</wp:posOffset>
            </wp:positionV>
            <wp:extent cx="5262880" cy="2519680"/>
            <wp:effectExtent l="0" t="0" r="0" b="0"/>
            <wp:wrapTopAndBottom/>
            <wp:docPr id="1"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anchor>
        </w:drawing>
      </w:r>
      <w:r w:rsidRPr="0006604A">
        <w:rPr>
          <w:lang w:val="lt-LT"/>
        </w:rPr>
        <w:t>Neseniai Ju</w:t>
      </w:r>
      <w:r w:rsidR="007735AF" w:rsidRPr="0006604A">
        <w:rPr>
          <w:lang w:val="lt-LT"/>
        </w:rPr>
        <w:t>ngtinės Valstijos bei kitos NATO</w:t>
      </w:r>
      <w:r w:rsidRPr="0006604A">
        <w:rPr>
          <w:lang w:val="lt-LT"/>
        </w:rPr>
        <w:t xml:space="preserve"> narės pareiškė apie planuojamą karinių dalinių išvedimą ir visišką saugumo kontrolės perdavimą </w:t>
      </w:r>
      <w:r w:rsidR="007735AF" w:rsidRPr="0006604A">
        <w:rPr>
          <w:lang w:val="lt-LT"/>
        </w:rPr>
        <w:t>Afganistanui iki 2014 metų. NATO</w:t>
      </w:r>
      <w:r w:rsidRPr="0006604A">
        <w:rPr>
          <w:lang w:val="lt-LT"/>
        </w:rPr>
        <w:t xml:space="preserve"> Generalinis Sekretorius Anders Fogh Rasmussen teigė: “Mes pradėsime procesą, kurio metu palaipsniui Afganistano vyriausybė prisiims vadovavimą savo saugumui tiek regioniniu, tiek provinciniu mastu. Tai Prezidento</w:t>
      </w:r>
      <w:r w:rsidR="0090181F" w:rsidRPr="0006604A">
        <w:rPr>
          <w:lang w:val="lt-LT"/>
        </w:rPr>
        <w:t xml:space="preserve"> Hamid</w:t>
      </w:r>
      <w:r w:rsidRPr="0006604A">
        <w:rPr>
          <w:lang w:val="lt-LT"/>
        </w:rPr>
        <w:t xml:space="preserve"> Karzai pateikta vizija, kuria mes pradėsime įgyvendinti jau kitais metais.“</w:t>
      </w:r>
      <w:r w:rsidRPr="0006604A">
        <w:rPr>
          <w:rStyle w:val="FootnoteReference"/>
          <w:rFonts w:eastAsiaTheme="majorEastAsia"/>
          <w:lang w:val="lt-LT"/>
        </w:rPr>
        <w:footnoteReference w:id="123"/>
      </w:r>
    </w:p>
    <w:p w:rsidR="00F234E7" w:rsidRPr="0006604A" w:rsidRDefault="00F234E7" w:rsidP="00113D43">
      <w:pPr>
        <w:spacing w:before="100" w:beforeAutospacing="1" w:after="100" w:afterAutospacing="1"/>
        <w:ind w:firstLine="851"/>
        <w:contextualSpacing/>
        <w:rPr>
          <w:lang w:val="lt-LT"/>
        </w:rPr>
      </w:pPr>
      <w:r w:rsidRPr="0006604A">
        <w:rPr>
          <w:lang w:val="lt-LT"/>
        </w:rPr>
        <w:t>Nepaisant tarptautinės bendruomenės pastangų</w:t>
      </w:r>
      <w:r w:rsidR="00E42528" w:rsidRPr="0006604A">
        <w:rPr>
          <w:lang w:val="lt-LT"/>
        </w:rPr>
        <w:t>,</w:t>
      </w:r>
      <w:r w:rsidRPr="0006604A">
        <w:rPr>
          <w:lang w:val="lt-LT"/>
        </w:rPr>
        <w:t xml:space="preserve"> Afganistano nacionalinės pajėgos: kariuomenė ir policija išlieka toliau </w:t>
      </w:r>
      <w:r w:rsidR="0006604A" w:rsidRPr="0006604A">
        <w:rPr>
          <w:lang w:val="lt-LT"/>
        </w:rPr>
        <w:t>susiskaldžiusios</w:t>
      </w:r>
      <w:r w:rsidRPr="0006604A">
        <w:rPr>
          <w:lang w:val="lt-LT"/>
        </w:rPr>
        <w:t xml:space="preserve">, nevienalytės. Daugelis rajonų kontroliuojami Talibano režimo, o sukilėlių grupuotės randa naujų narių prie Pakistano pasienio, ten yra perorganizuojamos, aprūpinamos amunicija </w:t>
      </w:r>
      <w:r w:rsidR="004D37D8" w:rsidRPr="0006604A">
        <w:rPr>
          <w:lang w:val="lt-LT"/>
        </w:rPr>
        <w:t>ir visa tai vyksta su aktyvia  Al-Qai</w:t>
      </w:r>
      <w:r w:rsidRPr="0006604A">
        <w:rPr>
          <w:lang w:val="lt-LT"/>
        </w:rPr>
        <w:t>da parama.</w:t>
      </w:r>
      <w:r w:rsidRPr="0006604A">
        <w:rPr>
          <w:rStyle w:val="FootnoteReference"/>
          <w:rFonts w:eastAsiaTheme="majorEastAsia"/>
          <w:lang w:val="lt-LT"/>
        </w:rPr>
        <w:footnoteReference w:id="124"/>
      </w:r>
    </w:p>
    <w:p w:rsidR="00F234E7" w:rsidRPr="0006604A" w:rsidRDefault="00F234E7" w:rsidP="00113D43">
      <w:pPr>
        <w:spacing w:before="100" w:beforeAutospacing="1" w:after="100" w:afterAutospacing="1"/>
        <w:ind w:firstLine="851"/>
        <w:contextualSpacing/>
        <w:rPr>
          <w:lang w:val="lt-LT"/>
        </w:rPr>
      </w:pPr>
      <w:r w:rsidRPr="0006604A">
        <w:rPr>
          <w:lang w:val="lt-LT"/>
        </w:rPr>
        <w:lastRenderedPageBreak/>
        <w:t>Tarptautinės Krizių valdymo grupės (angl. International Crisis Group) atstovai dabartinei saugumo situacijai Afganistane priskiria dvi pagrindines priežastis:</w:t>
      </w:r>
    </w:p>
    <w:p w:rsidR="00F234E7" w:rsidRPr="0006604A" w:rsidRDefault="00F234E7" w:rsidP="00827881">
      <w:pPr>
        <w:pStyle w:val="ListParagraph"/>
        <w:numPr>
          <w:ilvl w:val="0"/>
          <w:numId w:val="3"/>
        </w:numPr>
        <w:spacing w:before="100" w:beforeAutospacing="1" w:after="100" w:afterAutospacing="1"/>
        <w:ind w:left="1701" w:hanging="567"/>
        <w:contextualSpacing/>
        <w:rPr>
          <w:lang w:val="lt-LT"/>
        </w:rPr>
      </w:pPr>
      <w:r w:rsidRPr="0006604A">
        <w:rPr>
          <w:lang w:val="lt-LT"/>
        </w:rPr>
        <w:t>šalies saugumas nebuvo užtikrintas pačioje pradžioje, kai Talibano režimas dar nebuvo toks stiprus;</w:t>
      </w:r>
    </w:p>
    <w:p w:rsidR="00F234E7" w:rsidRPr="0006604A" w:rsidRDefault="00F234E7" w:rsidP="00827881">
      <w:pPr>
        <w:pStyle w:val="ListParagraph"/>
        <w:numPr>
          <w:ilvl w:val="0"/>
          <w:numId w:val="3"/>
        </w:numPr>
        <w:spacing w:before="100" w:beforeAutospacing="1" w:after="100" w:afterAutospacing="1"/>
        <w:ind w:left="1701" w:hanging="567"/>
        <w:contextualSpacing/>
        <w:rPr>
          <w:lang w:val="lt-LT"/>
        </w:rPr>
      </w:pPr>
      <w:r w:rsidRPr="0006604A">
        <w:rPr>
          <w:lang w:val="lt-LT"/>
        </w:rPr>
        <w:t>nebuvo pakankamai imtasi priemonių, kad pati Afganistano valstybė galėtų užkirsti kelią šio režimo įsigalėjimui.</w:t>
      </w:r>
      <w:r w:rsidRPr="0006604A">
        <w:rPr>
          <w:rStyle w:val="FootnoteReference"/>
          <w:rFonts w:eastAsiaTheme="majorEastAsia"/>
          <w:lang w:val="lt-LT"/>
        </w:rPr>
        <w:footnoteReference w:id="125"/>
      </w:r>
      <w:r w:rsidRPr="0006604A">
        <w:rPr>
          <w:lang w:val="lt-LT"/>
        </w:rPr>
        <w:t xml:space="preserve"> </w:t>
      </w:r>
    </w:p>
    <w:p w:rsidR="00F234E7" w:rsidRPr="0006604A" w:rsidRDefault="00AE0D09" w:rsidP="00113D43">
      <w:pPr>
        <w:spacing w:before="100" w:beforeAutospacing="1" w:after="100" w:afterAutospacing="1"/>
        <w:ind w:firstLine="851"/>
        <w:contextualSpacing/>
        <w:rPr>
          <w:rStyle w:val="Strong"/>
          <w:b w:val="0"/>
          <w:lang w:val="lt-LT"/>
        </w:rPr>
      </w:pPr>
      <w:r>
        <w:rPr>
          <w:rStyle w:val="Strong"/>
          <w:b w:val="0"/>
          <w:lang w:val="lt-LT"/>
        </w:rPr>
        <w:t>Šių</w:t>
      </w:r>
      <w:r w:rsidR="00F234E7" w:rsidRPr="0006604A">
        <w:rPr>
          <w:rStyle w:val="Strong"/>
          <w:b w:val="0"/>
          <w:lang w:val="lt-LT"/>
        </w:rPr>
        <w:t xml:space="preserve"> </w:t>
      </w:r>
      <w:r w:rsidR="008165D5" w:rsidRPr="0006604A">
        <w:rPr>
          <w:rStyle w:val="Strong"/>
          <w:b w:val="0"/>
          <w:lang w:val="lt-LT"/>
        </w:rPr>
        <w:t xml:space="preserve">aplinkybių </w:t>
      </w:r>
      <w:r w:rsidR="00F234E7" w:rsidRPr="0006604A">
        <w:rPr>
          <w:rStyle w:val="Strong"/>
          <w:b w:val="0"/>
          <w:lang w:val="lt-LT"/>
        </w:rPr>
        <w:t xml:space="preserve">kontekste </w:t>
      </w:r>
      <w:r>
        <w:rPr>
          <w:rStyle w:val="Strong"/>
          <w:b w:val="0"/>
          <w:lang w:val="lt-LT"/>
        </w:rPr>
        <w:t xml:space="preserve">toliau bus </w:t>
      </w:r>
      <w:r w:rsidR="00F234E7" w:rsidRPr="0006604A">
        <w:rPr>
          <w:rStyle w:val="Strong"/>
          <w:b w:val="0"/>
          <w:lang w:val="lt-LT"/>
        </w:rPr>
        <w:t>analizuojam</w:t>
      </w:r>
      <w:r>
        <w:rPr>
          <w:rStyle w:val="Strong"/>
          <w:b w:val="0"/>
          <w:lang w:val="lt-LT"/>
        </w:rPr>
        <w:t>i pradiniai</w:t>
      </w:r>
      <w:r w:rsidR="00F234E7" w:rsidRPr="0006604A">
        <w:rPr>
          <w:rStyle w:val="Strong"/>
          <w:b w:val="0"/>
          <w:lang w:val="lt-LT"/>
        </w:rPr>
        <w:t xml:space="preserve"> tarpt</w:t>
      </w:r>
      <w:r>
        <w:rPr>
          <w:rStyle w:val="Strong"/>
          <w:b w:val="0"/>
          <w:lang w:val="lt-LT"/>
        </w:rPr>
        <w:t>autinės bendruomenės įgaliojimai ir jų įgyvendinimas</w:t>
      </w:r>
      <w:r w:rsidR="00F234E7" w:rsidRPr="0006604A">
        <w:rPr>
          <w:rStyle w:val="Strong"/>
          <w:b w:val="0"/>
          <w:lang w:val="lt-LT"/>
        </w:rPr>
        <w:t xml:space="preserve"> praktikoje.</w:t>
      </w:r>
    </w:p>
    <w:p w:rsidR="00F234E7" w:rsidRPr="0006604A" w:rsidRDefault="00F234E7" w:rsidP="00113D43">
      <w:pPr>
        <w:spacing w:before="100" w:beforeAutospacing="1" w:after="100" w:afterAutospacing="1"/>
        <w:ind w:firstLine="851"/>
        <w:contextualSpacing/>
        <w:rPr>
          <w:color w:val="000000"/>
          <w:lang w:val="lt-LT"/>
        </w:rPr>
      </w:pPr>
      <w:r w:rsidRPr="0006604A">
        <w:rPr>
          <w:color w:val="000000"/>
          <w:lang w:val="lt-LT"/>
        </w:rPr>
        <w:t>Rezoliucija Nr. 1386, kuria buvo įsteigtos Tarptautinės Saugumo Paramos pajėgos</w:t>
      </w:r>
      <w:r w:rsidR="009F607B">
        <w:rPr>
          <w:color w:val="000000"/>
          <w:lang w:val="lt-LT"/>
        </w:rPr>
        <w:t>,</w:t>
      </w:r>
      <w:r w:rsidRPr="0006604A">
        <w:rPr>
          <w:color w:val="000000"/>
          <w:lang w:val="lt-LT"/>
        </w:rPr>
        <w:t xml:space="preserve"> suteikė įgaliojimus imtis “visų būtinų priemonių”. Kaip buvo minėta 2.2</w:t>
      </w:r>
      <w:r w:rsidR="009F607B">
        <w:rPr>
          <w:color w:val="000000"/>
          <w:lang w:val="lt-LT"/>
        </w:rPr>
        <w:t>.</w:t>
      </w:r>
      <w:r w:rsidRPr="0006604A">
        <w:rPr>
          <w:color w:val="000000"/>
          <w:lang w:val="lt-LT"/>
        </w:rPr>
        <w:t xml:space="preserve"> poskyryje, būtinų priemonių panaudojimas gali apimti ir jėgos panaudojimą. Nors Tarptautinės Saugumo Paramos pajėgos buvo įgaliotos imtis būtinų priemonių, tačiau pirminis operacijos veikimas, kuris apsiribojo ties Kabulo miestu ir jo apylinkėmis, leidžia teigti, kad jėgą ketinama naudoti tik savigynos ribose.</w:t>
      </w:r>
      <w:r w:rsidRPr="0006604A">
        <w:rPr>
          <w:rStyle w:val="FootnoteReference"/>
          <w:rFonts w:eastAsiaTheme="majorEastAsia"/>
          <w:color w:val="000000"/>
          <w:lang w:val="lt-LT"/>
        </w:rPr>
        <w:footnoteReference w:id="126"/>
      </w:r>
      <w:r w:rsidRPr="0006604A">
        <w:rPr>
          <w:color w:val="000000"/>
          <w:lang w:val="lt-LT"/>
        </w:rPr>
        <w:t xml:space="preserve"> Jėgos panaudojimo savigynos ribose, kaip vieno iš esminio taikos misijų principo</w:t>
      </w:r>
      <w:r w:rsidR="002F5DEF">
        <w:rPr>
          <w:color w:val="000000"/>
          <w:lang w:val="lt-LT"/>
        </w:rPr>
        <w:t>,</w:t>
      </w:r>
      <w:r w:rsidRPr="0006604A">
        <w:rPr>
          <w:color w:val="000000"/>
          <w:lang w:val="lt-LT"/>
        </w:rPr>
        <w:t xml:space="preserve"> buvimą galima paremti ir tuo, kad Tarptautinių Saugumo Paramos pajėgų pagrindinis tikslas buvo padėti palaikyti saugią Kabulo ir jo apylinkių aplinką, bet ne tapti kariaujančia šalimi, todėl manytina, kad priverstinis taikos vykdymas, t.y. jėgos panaudojimas, kaip esminis misijos įrankis, negali būti taikomas. </w:t>
      </w:r>
    </w:p>
    <w:p w:rsidR="00F234E7" w:rsidRPr="0006604A" w:rsidRDefault="00F234E7" w:rsidP="00113D43">
      <w:pPr>
        <w:spacing w:before="100" w:beforeAutospacing="1" w:after="100" w:afterAutospacing="1"/>
        <w:ind w:firstLine="851"/>
        <w:contextualSpacing/>
        <w:rPr>
          <w:rStyle w:val="Strong"/>
          <w:b w:val="0"/>
          <w:color w:val="000000"/>
          <w:lang w:val="lt-LT"/>
        </w:rPr>
      </w:pPr>
      <w:r w:rsidRPr="0006604A">
        <w:rPr>
          <w:lang w:val="lt-LT"/>
        </w:rPr>
        <w:t>Afganistano prezidentas Hamid Karzai, Jungtinių Tautų pagalbos misijos vadas Lakhdar Brahimi, daugelis nevyriausybinių organizacijų ir vietiniai gyventojai pasisakė už Tarptautinių Saugumo Paramos pajėgų  padidinimą</w:t>
      </w:r>
      <w:r w:rsidR="00C15EB2" w:rsidRPr="0006604A">
        <w:rPr>
          <w:lang w:val="lt-LT"/>
        </w:rPr>
        <w:t xml:space="preserve"> </w:t>
      </w:r>
      <w:r w:rsidRPr="0006604A">
        <w:rPr>
          <w:lang w:val="lt-LT"/>
        </w:rPr>
        <w:t>ir išplėtimą, tačiau karius teikiančios šalys neatsakė į šiuos prašymus ir nedidino savo karių skaičiaus</w:t>
      </w:r>
      <w:r w:rsidRPr="002F5DEF">
        <w:rPr>
          <w:rStyle w:val="Strong"/>
          <w:b w:val="0"/>
          <w:lang w:val="lt-LT"/>
        </w:rPr>
        <w:t>.</w:t>
      </w:r>
      <w:r w:rsidRPr="0006604A">
        <w:rPr>
          <w:rStyle w:val="FootnoteReference"/>
          <w:rFonts w:eastAsiaTheme="majorEastAsia"/>
          <w:lang w:val="lt-LT"/>
        </w:rPr>
        <w:footnoteReference w:id="127"/>
      </w:r>
      <w:r w:rsidRPr="0006604A">
        <w:rPr>
          <w:rStyle w:val="Strong"/>
          <w:b w:val="0"/>
          <w:lang w:val="lt-LT"/>
        </w:rPr>
        <w:t xml:space="preserve"> Nepaisant prezidento ir Jungtinių Tautų prašymų, Vašingtonas prieštaravo šios misijos karių skaičiaus padidinimui, nes bijojo, kad taip susikirs Jungtinių Valstijų vadovaujama operacija “Tvirta taika” ir taip bus sutrukdyta jos vyk</w:t>
      </w:r>
      <w:r w:rsidR="0090181F" w:rsidRPr="0006604A">
        <w:rPr>
          <w:rStyle w:val="Strong"/>
          <w:b w:val="0"/>
          <w:lang w:val="lt-LT"/>
        </w:rPr>
        <w:t>domai karinei kompanijai prieš Al-Qai</w:t>
      </w:r>
      <w:r w:rsidRPr="0006604A">
        <w:rPr>
          <w:rStyle w:val="Strong"/>
          <w:b w:val="0"/>
          <w:lang w:val="lt-LT"/>
        </w:rPr>
        <w:t>da ir Talibano režimą.</w:t>
      </w:r>
      <w:r w:rsidRPr="0006604A">
        <w:rPr>
          <w:rStyle w:val="FootnoteReference"/>
          <w:rFonts w:eastAsiaTheme="majorEastAsia"/>
          <w:lang w:val="lt-LT"/>
        </w:rPr>
        <w:footnoteReference w:id="128"/>
      </w:r>
      <w:r w:rsidRPr="0006604A">
        <w:rPr>
          <w:rStyle w:val="Strong"/>
          <w:b w:val="0"/>
          <w:lang w:val="lt-LT"/>
        </w:rPr>
        <w:t xml:space="preserve"> Todėl pradžioje tiek Tar</w:t>
      </w:r>
      <w:r w:rsidR="000A0B5A">
        <w:rPr>
          <w:rStyle w:val="Strong"/>
          <w:b w:val="0"/>
          <w:lang w:val="lt-LT"/>
        </w:rPr>
        <w:t>ptautines</w:t>
      </w:r>
      <w:r w:rsidRPr="0006604A">
        <w:rPr>
          <w:rStyle w:val="Strong"/>
          <w:b w:val="0"/>
          <w:lang w:val="lt-LT"/>
        </w:rPr>
        <w:t xml:space="preserve"> Saugumo Paramos pajėgas aprūpinančios valstybės, tiek Jungtinės Valstijos nenorėjo, kad būtų padidintas karių skaičius. Jungtinės Valstijos – dėl savo vykdomos politikos, o Tarptautinėse Saugumo Paramos pajėgose dalyvaujančios šalys nenorėjo labiau įsitraukti į rotacijos būdu vykstantį pusės metų dalyvavimą Afganistane.</w:t>
      </w:r>
    </w:p>
    <w:p w:rsidR="00F234E7" w:rsidRPr="0006604A" w:rsidRDefault="00F234E7" w:rsidP="00113D43">
      <w:pPr>
        <w:spacing w:before="100" w:beforeAutospacing="1" w:after="100" w:afterAutospacing="1"/>
        <w:ind w:firstLine="851"/>
        <w:contextualSpacing/>
        <w:rPr>
          <w:rStyle w:val="apple-style-span"/>
          <w:color w:val="000000"/>
          <w:lang w:val="lt-LT"/>
        </w:rPr>
      </w:pPr>
      <w:r w:rsidRPr="0006604A">
        <w:rPr>
          <w:color w:val="000000"/>
          <w:lang w:val="lt-LT"/>
        </w:rPr>
        <w:lastRenderedPageBreak/>
        <w:t>2003 metais rugpjūčio 13 dieną NATO pradeda vadovauti Tarptautinėms Saugumo Paramos pajėgoms. Nuo tada panaikinta tarp šalių vykstanti šešių mėnesių trukmės rotacija.</w:t>
      </w:r>
      <w:r w:rsidRPr="0006604A">
        <w:rPr>
          <w:rStyle w:val="FootnoteReference"/>
          <w:rFonts w:eastAsiaTheme="majorEastAsia"/>
          <w:color w:val="000000"/>
          <w:lang w:val="lt-LT"/>
        </w:rPr>
        <w:footnoteReference w:id="129"/>
      </w:r>
      <w:r w:rsidRPr="0006604A">
        <w:rPr>
          <w:rStyle w:val="Strong"/>
          <w:lang w:val="lt-LT"/>
        </w:rPr>
        <w:t xml:space="preserve"> </w:t>
      </w:r>
      <w:r w:rsidRPr="0006604A">
        <w:rPr>
          <w:lang w:val="lt-LT"/>
        </w:rPr>
        <w:t>Po kelių mėnesių Saugumo Taryba  išplečia įgaliojimus ir suteikia teisę misijai veikti už Kabulo miesto ir jo apylinkių ribų.</w:t>
      </w:r>
      <w:r w:rsidRPr="0006604A">
        <w:rPr>
          <w:rStyle w:val="FootnoteReference"/>
          <w:rFonts w:eastAsiaTheme="majorEastAsia"/>
          <w:lang w:val="lt-LT"/>
        </w:rPr>
        <w:footnoteReference w:id="130"/>
      </w:r>
      <w:r w:rsidRPr="0006604A">
        <w:rPr>
          <w:lang w:val="lt-LT"/>
        </w:rPr>
        <w:t xml:space="preserve"> Palaipsniui buvo pradėtas Tarptautinių Saugumo Paramos pajėgų veikimo zonų plėtros etapas, o 2006 metų spalio 5 dieną</w:t>
      </w:r>
      <w:r w:rsidR="008B0657">
        <w:rPr>
          <w:lang w:val="lt-LT"/>
        </w:rPr>
        <w:t>,</w:t>
      </w:r>
      <w:r w:rsidRPr="0006604A">
        <w:rPr>
          <w:lang w:val="lt-LT"/>
        </w:rPr>
        <w:t xml:space="preserve"> įgyvendinus </w:t>
      </w:r>
      <w:r w:rsidR="0006604A" w:rsidRPr="0006604A">
        <w:rPr>
          <w:lang w:val="lt-LT"/>
        </w:rPr>
        <w:t>paskutinįjį</w:t>
      </w:r>
      <w:r w:rsidR="008B0657">
        <w:rPr>
          <w:lang w:val="lt-LT"/>
        </w:rPr>
        <w:t xml:space="preserve"> </w:t>
      </w:r>
      <w:r w:rsidRPr="0006604A">
        <w:rPr>
          <w:rStyle w:val="apple-style-span"/>
          <w:color w:val="000000"/>
          <w:lang w:val="lt-LT"/>
        </w:rPr>
        <w:t>rytų Afganistane</w:t>
      </w:r>
      <w:r w:rsidR="008B0657">
        <w:rPr>
          <w:rStyle w:val="apple-style-span"/>
          <w:color w:val="000000"/>
          <w:lang w:val="lt-LT"/>
        </w:rPr>
        <w:t>,</w:t>
      </w:r>
      <w:r w:rsidRPr="0006604A">
        <w:rPr>
          <w:rStyle w:val="apple-style-span"/>
          <w:color w:val="000000"/>
          <w:lang w:val="lt-LT"/>
        </w:rPr>
        <w:t xml:space="preserve"> iš Jungtinių Valstijų perimamas </w:t>
      </w:r>
      <w:r w:rsidR="0006604A" w:rsidRPr="0006604A">
        <w:rPr>
          <w:rStyle w:val="apple-style-span"/>
          <w:color w:val="000000"/>
          <w:lang w:val="lt-LT"/>
        </w:rPr>
        <w:t>vado</w:t>
      </w:r>
      <w:r w:rsidR="0006604A">
        <w:rPr>
          <w:rStyle w:val="apple-style-span"/>
          <w:color w:val="000000"/>
          <w:lang w:val="lt-LT"/>
        </w:rPr>
        <w:t>va</w:t>
      </w:r>
      <w:r w:rsidR="0006604A" w:rsidRPr="0006604A">
        <w:rPr>
          <w:rStyle w:val="apple-style-span"/>
          <w:color w:val="000000"/>
          <w:lang w:val="lt-LT"/>
        </w:rPr>
        <w:t>vimas</w:t>
      </w:r>
      <w:r w:rsidRPr="0006604A">
        <w:rPr>
          <w:rStyle w:val="apple-style-span"/>
          <w:color w:val="000000"/>
          <w:lang w:val="lt-LT"/>
        </w:rPr>
        <w:t xml:space="preserve"> tarptautinėms karių pajėgoms.</w:t>
      </w:r>
      <w:r w:rsidRPr="0006604A">
        <w:rPr>
          <w:rStyle w:val="FootnoteReference"/>
          <w:rFonts w:eastAsiaTheme="majorEastAsia"/>
          <w:color w:val="000000"/>
          <w:lang w:val="lt-LT"/>
        </w:rPr>
        <w:footnoteReference w:id="131"/>
      </w:r>
      <w:r w:rsidRPr="0006604A">
        <w:rPr>
          <w:rStyle w:val="apple-style-span"/>
          <w:color w:val="000000"/>
          <w:lang w:val="lt-LT"/>
        </w:rPr>
        <w:t xml:space="preserve"> </w:t>
      </w:r>
    </w:p>
    <w:p w:rsidR="00F234E7" w:rsidRPr="0006604A" w:rsidRDefault="00F234E7" w:rsidP="00113D43">
      <w:pPr>
        <w:spacing w:before="100" w:beforeAutospacing="1" w:after="100" w:afterAutospacing="1"/>
        <w:ind w:firstLine="851"/>
        <w:contextualSpacing/>
        <w:rPr>
          <w:rStyle w:val="apple-style-span"/>
          <w:color w:val="000000"/>
          <w:lang w:val="lt-LT"/>
        </w:rPr>
      </w:pPr>
      <w:r w:rsidRPr="0006604A">
        <w:rPr>
          <w:rStyle w:val="apple-style-span"/>
          <w:color w:val="000000"/>
          <w:lang w:val="lt-LT"/>
        </w:rPr>
        <w:t>Tarptautinės Saugumo Paramos pajėgos pradėjo veikti kaip platesnio masto taikos misija su įgaliojimais naudoti jėgą tik savigynos atveju, be to</w:t>
      </w:r>
      <w:r w:rsidR="00CF2549" w:rsidRPr="0006604A">
        <w:rPr>
          <w:rStyle w:val="apple-style-span"/>
          <w:color w:val="000000"/>
          <w:lang w:val="lt-LT"/>
        </w:rPr>
        <w:t>,</w:t>
      </w:r>
      <w:r w:rsidRPr="0006604A">
        <w:rPr>
          <w:rStyle w:val="apple-style-span"/>
          <w:color w:val="000000"/>
          <w:lang w:val="lt-LT"/>
        </w:rPr>
        <w:t xml:space="preserve"> jų veikimas</w:t>
      </w:r>
      <w:r w:rsidRPr="0006604A">
        <w:rPr>
          <w:color w:val="000000"/>
          <w:lang w:val="lt-LT"/>
        </w:rPr>
        <w:t xml:space="preserve"> šalyje buvo paremtas prezidento </w:t>
      </w:r>
      <w:r w:rsidR="00C018F0" w:rsidRPr="0006604A">
        <w:rPr>
          <w:color w:val="000000"/>
          <w:lang w:val="lt-LT"/>
        </w:rPr>
        <w:t xml:space="preserve">Hamid </w:t>
      </w:r>
      <w:r w:rsidRPr="0006604A">
        <w:rPr>
          <w:color w:val="000000"/>
          <w:lang w:val="lt-LT"/>
        </w:rPr>
        <w:t>Karzai sutikimu.</w:t>
      </w:r>
      <w:r w:rsidRPr="0006604A">
        <w:rPr>
          <w:rStyle w:val="FootnoteReference"/>
          <w:rFonts w:eastAsiaTheme="majorEastAsia"/>
          <w:color w:val="000000"/>
          <w:lang w:val="lt-LT"/>
        </w:rPr>
        <w:footnoteReference w:id="132"/>
      </w:r>
      <w:r w:rsidRPr="0006604A">
        <w:rPr>
          <w:rStyle w:val="apple-style-span"/>
          <w:color w:val="000000"/>
          <w:lang w:val="lt-LT"/>
        </w:rPr>
        <w:t xml:space="preserve"> </w:t>
      </w:r>
      <w:r w:rsidR="00137893" w:rsidRPr="0006604A">
        <w:rPr>
          <w:rStyle w:val="apple-style-span"/>
          <w:color w:val="000000"/>
          <w:lang w:val="lt-LT"/>
        </w:rPr>
        <w:t>Todėl ša</w:t>
      </w:r>
      <w:r w:rsidR="008B0657">
        <w:rPr>
          <w:rStyle w:val="apple-style-span"/>
          <w:color w:val="000000"/>
          <w:lang w:val="lt-LT"/>
        </w:rPr>
        <w:t>lia jėgos panaudojimo savigynai</w:t>
      </w:r>
      <w:r w:rsidR="00137893" w:rsidRPr="0006604A">
        <w:rPr>
          <w:rStyle w:val="apple-style-span"/>
          <w:color w:val="000000"/>
          <w:lang w:val="lt-LT"/>
        </w:rPr>
        <w:t xml:space="preserve"> egzistuoja ir kitas pamatinis taikos misijų principas – šalies, kurioje įsteigiama taikos misija</w:t>
      </w:r>
      <w:r w:rsidR="00DA6189" w:rsidRPr="0006604A">
        <w:rPr>
          <w:rStyle w:val="apple-style-span"/>
          <w:color w:val="000000"/>
          <w:lang w:val="lt-LT"/>
        </w:rPr>
        <w:t>,</w:t>
      </w:r>
      <w:r w:rsidR="00137893" w:rsidRPr="0006604A">
        <w:rPr>
          <w:rStyle w:val="apple-style-span"/>
          <w:color w:val="000000"/>
          <w:lang w:val="lt-LT"/>
        </w:rPr>
        <w:t xml:space="preserve"> sutikimas. </w:t>
      </w:r>
      <w:r w:rsidRPr="0006604A">
        <w:rPr>
          <w:rStyle w:val="apple-style-span"/>
          <w:color w:val="000000"/>
          <w:lang w:val="lt-LT"/>
        </w:rPr>
        <w:t>Tačiau vėliau misijai išsiplėtus iki visos Afganist</w:t>
      </w:r>
      <w:r w:rsidR="00CF2549" w:rsidRPr="0006604A">
        <w:rPr>
          <w:rStyle w:val="apple-style-span"/>
          <w:color w:val="000000"/>
          <w:lang w:val="lt-LT"/>
        </w:rPr>
        <w:t>an</w:t>
      </w:r>
      <w:r w:rsidRPr="0006604A">
        <w:rPr>
          <w:rStyle w:val="apple-style-span"/>
          <w:color w:val="000000"/>
          <w:lang w:val="lt-LT"/>
        </w:rPr>
        <w:t>o valstybės teritorijos ir perėmus vadovavimą karinėms pajėgoms, neišvengiamai padidėjo panaudojamos jėgos mastas. 2006 metais padidėjęs karinių veiksmų šalies pietinėje ir rytinėje dalyje skaičius leidžia teigti, kad misija perėjo nuo taikos įtvirtinimo iki karo veiksmų.</w:t>
      </w:r>
      <w:r w:rsidRPr="0006604A">
        <w:rPr>
          <w:rStyle w:val="FootnoteReference"/>
          <w:rFonts w:eastAsiaTheme="majorEastAsia"/>
          <w:color w:val="000000"/>
          <w:lang w:val="lt-LT"/>
        </w:rPr>
        <w:footnoteReference w:id="133"/>
      </w:r>
      <w:r w:rsidRPr="0006604A">
        <w:rPr>
          <w:rStyle w:val="apple-style-span"/>
          <w:color w:val="000000"/>
          <w:lang w:val="lt-LT"/>
        </w:rPr>
        <w:t xml:space="preserve"> Taip pat paminėtina, kad padaugėjus aukų skaičiui, kurį sukėlė NATO oro pajėgos, Afganistano vyriausybė iškėlė misijos teisėtumo klausimą.</w:t>
      </w:r>
      <w:r w:rsidRPr="0006604A">
        <w:rPr>
          <w:rStyle w:val="FootnoteReference"/>
          <w:rFonts w:eastAsiaTheme="majorEastAsia"/>
          <w:color w:val="000000"/>
          <w:lang w:val="lt-LT"/>
        </w:rPr>
        <w:footnoteReference w:id="134"/>
      </w:r>
      <w:r w:rsidRPr="0006604A">
        <w:rPr>
          <w:rStyle w:val="apple-style-span"/>
          <w:color w:val="000000"/>
          <w:lang w:val="lt-LT"/>
        </w:rPr>
        <w:t xml:space="preserve"> Tai dar kartą patvirtina, kad Tarpt</w:t>
      </w:r>
      <w:r w:rsidR="00D15679" w:rsidRPr="0006604A">
        <w:rPr>
          <w:rStyle w:val="apple-style-span"/>
          <w:color w:val="000000"/>
          <w:lang w:val="lt-LT"/>
        </w:rPr>
        <w:t>autinės Saugumo Paramos</w:t>
      </w:r>
      <w:r w:rsidRPr="0006604A">
        <w:rPr>
          <w:rStyle w:val="apple-style-span"/>
          <w:color w:val="000000"/>
          <w:lang w:val="lt-LT"/>
        </w:rPr>
        <w:t xml:space="preserve"> pajėgos šalyje vei</w:t>
      </w:r>
      <w:r w:rsidR="00D15679" w:rsidRPr="0006604A">
        <w:rPr>
          <w:rStyle w:val="apple-style-span"/>
          <w:color w:val="000000"/>
          <w:lang w:val="lt-LT"/>
        </w:rPr>
        <w:t xml:space="preserve">kia kaip platesnio masto misija ir vadovaujamasi tradiciniais taikos misijų principais. </w:t>
      </w:r>
      <w:r w:rsidR="003327AA" w:rsidRPr="0006604A">
        <w:rPr>
          <w:rStyle w:val="apple-style-span"/>
          <w:color w:val="000000"/>
          <w:lang w:val="lt-LT"/>
        </w:rPr>
        <w:t>Karinių veiksmų padidėjimas paneigia misijos neutralumo principą: Tarptautinės Saugumo Param</w:t>
      </w:r>
      <w:r w:rsidR="00CF2549" w:rsidRPr="0006604A">
        <w:rPr>
          <w:rStyle w:val="apple-style-span"/>
          <w:color w:val="000000"/>
          <w:lang w:val="lt-LT"/>
        </w:rPr>
        <w:t>o</w:t>
      </w:r>
      <w:r w:rsidR="003327AA" w:rsidRPr="0006604A">
        <w:rPr>
          <w:rStyle w:val="apple-style-span"/>
          <w:color w:val="000000"/>
          <w:lang w:val="lt-LT"/>
        </w:rPr>
        <w:t>s pajėgos iš nešališkos šalies tampa kariaujančia šalimi.</w:t>
      </w:r>
      <w:r w:rsidRPr="0006604A">
        <w:rPr>
          <w:rStyle w:val="apple-style-span"/>
          <w:color w:val="000000"/>
          <w:lang w:val="lt-LT"/>
        </w:rPr>
        <w:t xml:space="preserve"> </w:t>
      </w:r>
    </w:p>
    <w:p w:rsidR="00F234E7" w:rsidRPr="0006604A" w:rsidRDefault="00F234E7" w:rsidP="00113D43">
      <w:pPr>
        <w:spacing w:before="100" w:beforeAutospacing="1" w:after="100" w:afterAutospacing="1"/>
        <w:ind w:firstLine="851"/>
        <w:contextualSpacing/>
        <w:rPr>
          <w:color w:val="000000"/>
          <w:lang w:val="lt-LT"/>
        </w:rPr>
      </w:pPr>
      <w:r w:rsidRPr="0006604A">
        <w:rPr>
          <w:color w:val="000000"/>
          <w:lang w:val="lt-LT"/>
        </w:rPr>
        <w:t xml:space="preserve"> Nors 2003 metais Saugumo Tarybos įgaliojimai suteikė teisę veikti visoje šalyje ir, kaip buvo minėta, Tarptautinės Saugumo Pa</w:t>
      </w:r>
      <w:r w:rsidR="005312ED" w:rsidRPr="0006604A">
        <w:rPr>
          <w:color w:val="000000"/>
          <w:lang w:val="lt-LT"/>
        </w:rPr>
        <w:t>ramos pajėgos palaipsniui prisiė</w:t>
      </w:r>
      <w:r w:rsidRPr="0006604A">
        <w:rPr>
          <w:color w:val="000000"/>
          <w:lang w:val="lt-LT"/>
        </w:rPr>
        <w:t>mė vadovauti karinėms pajėgoms, tačiau pažymėtina, kad Saugumo Tarybos rezoliucijoje</w:t>
      </w:r>
      <w:r w:rsidR="005312ED" w:rsidRPr="0006604A">
        <w:rPr>
          <w:color w:val="000000"/>
          <w:lang w:val="lt-LT"/>
        </w:rPr>
        <w:t>,</w:t>
      </w:r>
      <w:r w:rsidRPr="0006604A">
        <w:rPr>
          <w:color w:val="000000"/>
          <w:lang w:val="lt-LT"/>
        </w:rPr>
        <w:t xml:space="preserve"> išplečiančioje veikimo zonas</w:t>
      </w:r>
      <w:r w:rsidR="005312ED" w:rsidRPr="0006604A">
        <w:rPr>
          <w:color w:val="000000"/>
          <w:lang w:val="lt-LT"/>
        </w:rPr>
        <w:t xml:space="preserve"> už Kabulo miesto ribų, įgalioji</w:t>
      </w:r>
      <w:r w:rsidRPr="0006604A">
        <w:rPr>
          <w:color w:val="000000"/>
          <w:lang w:val="lt-LT"/>
        </w:rPr>
        <w:t>mai apima pagalbą Afgan</w:t>
      </w:r>
      <w:r w:rsidR="005312ED" w:rsidRPr="0006604A">
        <w:rPr>
          <w:color w:val="000000"/>
          <w:lang w:val="lt-LT"/>
        </w:rPr>
        <w:t>istano</w:t>
      </w:r>
      <w:r w:rsidRPr="0006604A">
        <w:rPr>
          <w:color w:val="000000"/>
          <w:lang w:val="lt-LT"/>
        </w:rPr>
        <w:t xml:space="preserve"> Laikinajai Vyriausybei palaikant saugumą visoje šalyje</w:t>
      </w:r>
      <w:r w:rsidRPr="0006604A">
        <w:rPr>
          <w:rStyle w:val="FootnoteReference"/>
          <w:rFonts w:eastAsiaTheme="majorEastAsia"/>
          <w:color w:val="000000"/>
          <w:lang w:val="lt-LT"/>
        </w:rPr>
        <w:footnoteReference w:id="135"/>
      </w:r>
      <w:r w:rsidRPr="0006604A">
        <w:rPr>
          <w:color w:val="000000"/>
          <w:lang w:val="lt-LT"/>
        </w:rPr>
        <w:t xml:space="preserve"> ir nesuteikia teisės vykdyti karinių veiksmų.</w:t>
      </w:r>
    </w:p>
    <w:p w:rsidR="00F234E7" w:rsidRPr="0006604A" w:rsidRDefault="00F234E7" w:rsidP="00113D43">
      <w:pPr>
        <w:spacing w:before="100" w:beforeAutospacing="1" w:after="100" w:afterAutospacing="1"/>
        <w:ind w:firstLine="851"/>
        <w:contextualSpacing/>
        <w:rPr>
          <w:color w:val="000000"/>
          <w:lang w:val="lt-LT"/>
        </w:rPr>
      </w:pPr>
      <w:r w:rsidRPr="0006604A">
        <w:rPr>
          <w:color w:val="000000"/>
          <w:lang w:val="lt-LT"/>
        </w:rPr>
        <w:t xml:space="preserve">Tačiau Jungtinės Valstijos, skirtingai nei misijos pradžioje, buvo linkusios į didesnį sąjungininkių karių skaičių. Jungtinės Valstijos kai kurių NATO sąjungininkių prašė teikti daugiau </w:t>
      </w:r>
      <w:r w:rsidRPr="0006604A">
        <w:rPr>
          <w:color w:val="000000"/>
          <w:lang w:val="lt-LT"/>
        </w:rPr>
        <w:lastRenderedPageBreak/>
        <w:t>karių, kad būtų stabilizuota karinė situacija Afganistane, tači</w:t>
      </w:r>
      <w:r w:rsidR="00862189" w:rsidRPr="0006604A">
        <w:rPr>
          <w:color w:val="000000"/>
          <w:lang w:val="lt-LT"/>
        </w:rPr>
        <w:t>au pastebėjo, kad kai kurios šalys</w:t>
      </w:r>
      <w:r w:rsidRPr="0006604A">
        <w:rPr>
          <w:color w:val="000000"/>
          <w:lang w:val="lt-LT"/>
        </w:rPr>
        <w:t xml:space="preserve"> nori ne tiekti daugiau karių, o sumažinti jų skaičių.</w:t>
      </w:r>
      <w:r w:rsidRPr="0006604A">
        <w:rPr>
          <w:rStyle w:val="FootnoteReference"/>
          <w:rFonts w:eastAsiaTheme="majorEastAsia"/>
          <w:color w:val="000000"/>
          <w:lang w:val="lt-LT"/>
        </w:rPr>
        <w:footnoteReference w:id="136"/>
      </w:r>
      <w:r w:rsidRPr="0006604A">
        <w:rPr>
          <w:color w:val="000000"/>
          <w:lang w:val="lt-LT"/>
        </w:rPr>
        <w:t xml:space="preserve"> </w:t>
      </w:r>
    </w:p>
    <w:p w:rsidR="00F234E7" w:rsidRPr="0006604A" w:rsidRDefault="00F234E7" w:rsidP="00113D43">
      <w:pPr>
        <w:spacing w:before="100" w:beforeAutospacing="1" w:after="100" w:afterAutospacing="1"/>
        <w:ind w:firstLine="851"/>
        <w:contextualSpacing/>
        <w:rPr>
          <w:color w:val="000000"/>
          <w:lang w:val="lt-LT"/>
        </w:rPr>
      </w:pPr>
      <w:r w:rsidRPr="0006604A">
        <w:rPr>
          <w:color w:val="000000"/>
          <w:lang w:val="lt-LT"/>
        </w:rPr>
        <w:t xml:space="preserve">Matome, kad iš vienos pusės Jungtinės </w:t>
      </w:r>
      <w:r w:rsidR="0006604A" w:rsidRPr="0006604A">
        <w:rPr>
          <w:color w:val="000000"/>
          <w:lang w:val="lt-LT"/>
        </w:rPr>
        <w:t>Valstijos</w:t>
      </w:r>
      <w:r w:rsidRPr="0006604A">
        <w:rPr>
          <w:color w:val="000000"/>
          <w:lang w:val="lt-LT"/>
        </w:rPr>
        <w:t xml:space="preserve"> nori aktyviai vykdyti karinę operaciją, tuo tarpu sąjungininkės</w:t>
      </w:r>
      <w:r w:rsidR="008B0657">
        <w:rPr>
          <w:color w:val="000000"/>
          <w:lang w:val="lt-LT"/>
        </w:rPr>
        <w:t>,</w:t>
      </w:r>
      <w:r w:rsidRPr="0006604A">
        <w:rPr>
          <w:color w:val="000000"/>
          <w:lang w:val="lt-LT"/>
        </w:rPr>
        <w:t xml:space="preserve"> nenorėdamos tiekti daugiau savo karių, linkusios mažinti jėgos panaudojimo mastą. Nenoras tiekti daugiau karių siejasi ne tik su padidėjusiu karinių veiksmų mastu, dėl kurio</w:t>
      </w:r>
      <w:r w:rsidR="00C018F0" w:rsidRPr="0006604A">
        <w:rPr>
          <w:color w:val="000000"/>
          <w:lang w:val="lt-LT"/>
        </w:rPr>
        <w:t xml:space="preserve"> atsirado didelis </w:t>
      </w:r>
      <w:r w:rsidRPr="0006604A">
        <w:rPr>
          <w:color w:val="000000"/>
          <w:lang w:val="lt-LT"/>
        </w:rPr>
        <w:t>civilių, tiek pačių karių aukų skaičius, tačiau ir su skirtingais tarptautinės bendruomenės prioritetais.</w:t>
      </w:r>
    </w:p>
    <w:p w:rsidR="00F234E7" w:rsidRPr="0006604A" w:rsidRDefault="00F234E7" w:rsidP="00113D43">
      <w:pPr>
        <w:spacing w:before="100" w:beforeAutospacing="1" w:after="100" w:afterAutospacing="1"/>
        <w:ind w:firstLine="851"/>
        <w:contextualSpacing/>
        <w:rPr>
          <w:rStyle w:val="Strong"/>
          <w:b w:val="0"/>
          <w:lang w:val="lt-LT"/>
        </w:rPr>
      </w:pPr>
      <w:r w:rsidRPr="0006604A">
        <w:rPr>
          <w:rStyle w:val="Strong"/>
          <w:b w:val="0"/>
          <w:lang w:val="lt-LT"/>
        </w:rPr>
        <w:t>Tarptautinio saugumo ekspertas Adam Roberts teigia, kad aiškiausias skirtumas yra toks, kad Jungtinės Valstijos, Didžioji Britanija ir Kanada, linkusios laikyti, nors ir su tam tikrais nukrypimais, savo v</w:t>
      </w:r>
      <w:r w:rsidR="008B0657">
        <w:rPr>
          <w:rStyle w:val="Strong"/>
          <w:b w:val="0"/>
          <w:lang w:val="lt-LT"/>
        </w:rPr>
        <w:t>eiksmus</w:t>
      </w:r>
      <w:r w:rsidR="004D0C37" w:rsidRPr="0006604A">
        <w:rPr>
          <w:rStyle w:val="Strong"/>
          <w:b w:val="0"/>
          <w:lang w:val="lt-LT"/>
        </w:rPr>
        <w:t xml:space="preserve"> stabilia operacija, apimančia</w:t>
      </w:r>
      <w:r w:rsidRPr="0006604A">
        <w:rPr>
          <w:rStyle w:val="Strong"/>
          <w:b w:val="0"/>
          <w:lang w:val="lt-LT"/>
        </w:rPr>
        <w:t xml:space="preserve"> priemones prieš sukilėlius, tuo tarpu Vokietija ir kai kurios kitos šalys tai mato tik kaip taikos misiją ar taikos įtvirtinimo misiją.</w:t>
      </w:r>
      <w:r w:rsidRPr="0006604A">
        <w:rPr>
          <w:rStyle w:val="FootnoteReference"/>
          <w:rFonts w:eastAsiaTheme="majorEastAsia"/>
          <w:lang w:val="lt-LT"/>
        </w:rPr>
        <w:footnoteReference w:id="137"/>
      </w:r>
      <w:r w:rsidRPr="0006604A">
        <w:rPr>
          <w:rStyle w:val="Strong"/>
          <w:b w:val="0"/>
          <w:lang w:val="lt-LT"/>
        </w:rPr>
        <w:t xml:space="preserve"> Tai atskleidžia ir pavyzdys, kai Vokietijos vyriausybė pareiškė, kad tam, kad Tarptautinės Saugumo Paramos pajė</w:t>
      </w:r>
      <w:r w:rsidR="008B0657">
        <w:rPr>
          <w:rStyle w:val="Strong"/>
          <w:b w:val="0"/>
          <w:lang w:val="lt-LT"/>
        </w:rPr>
        <w:t>gos išliktų nešališka misija, jos</w:t>
      </w:r>
      <w:r w:rsidRPr="0006604A">
        <w:rPr>
          <w:rStyle w:val="Strong"/>
          <w:b w:val="0"/>
          <w:lang w:val="lt-LT"/>
        </w:rPr>
        <w:t xml:space="preserve"> turi visiškai atsiskirti nuo operacijos “Tvirta Taika” ir atsisakė tiekti karius į valstybės rytinę bei pietinę dalį, vietas, kur labiausiai reikėjo papildomos kariuomenės.</w:t>
      </w:r>
      <w:r w:rsidRPr="0006604A">
        <w:rPr>
          <w:rStyle w:val="FootnoteReference"/>
          <w:rFonts w:eastAsiaTheme="majorEastAsia"/>
          <w:lang w:val="lt-LT"/>
        </w:rPr>
        <w:footnoteReference w:id="138"/>
      </w:r>
      <w:r w:rsidRPr="0006604A">
        <w:rPr>
          <w:rStyle w:val="Strong"/>
          <w:lang w:val="lt-LT"/>
        </w:rPr>
        <w:t xml:space="preserve"> </w:t>
      </w:r>
    </w:p>
    <w:p w:rsidR="00F234E7" w:rsidRPr="0006604A" w:rsidRDefault="00374834" w:rsidP="00113D43">
      <w:pPr>
        <w:spacing w:before="100" w:beforeAutospacing="1" w:after="100" w:afterAutospacing="1"/>
        <w:ind w:firstLine="851"/>
        <w:contextualSpacing/>
        <w:rPr>
          <w:color w:val="000000"/>
          <w:lang w:val="lt-LT"/>
        </w:rPr>
      </w:pPr>
      <w:r>
        <w:rPr>
          <w:color w:val="000000"/>
          <w:lang w:val="lt-LT"/>
        </w:rPr>
        <w:t xml:space="preserve">Šiame kontekste minime </w:t>
      </w:r>
      <w:r w:rsidR="00F234E7" w:rsidRPr="0006604A">
        <w:rPr>
          <w:color w:val="000000"/>
          <w:lang w:val="lt-LT"/>
        </w:rPr>
        <w:t>2006 metais Tarptautinės bendruomenės i</w:t>
      </w:r>
      <w:r w:rsidR="004D0C37" w:rsidRPr="0006604A">
        <w:rPr>
          <w:color w:val="000000"/>
          <w:lang w:val="lt-LT"/>
        </w:rPr>
        <w:t>r Afganistano valstybės priimt</w:t>
      </w:r>
      <w:r w:rsidR="00F234E7" w:rsidRPr="0006604A">
        <w:rPr>
          <w:color w:val="000000"/>
          <w:lang w:val="lt-LT"/>
        </w:rPr>
        <w:t>ą Afganistano Susitarimą (angl.</w:t>
      </w:r>
      <w:r w:rsidR="00F234E7" w:rsidRPr="0006604A">
        <w:rPr>
          <w:color w:val="000000"/>
          <w:lang w:val="en-AU"/>
        </w:rPr>
        <w:t xml:space="preserve"> </w:t>
      </w:r>
      <w:proofErr w:type="gramStart"/>
      <w:r w:rsidR="00F234E7" w:rsidRPr="0006604A">
        <w:rPr>
          <w:color w:val="000000"/>
          <w:lang w:val="en-AU"/>
        </w:rPr>
        <w:t>Afghanistan Compact</w:t>
      </w:r>
      <w:r w:rsidR="00F234E7" w:rsidRPr="0006604A">
        <w:rPr>
          <w:color w:val="000000"/>
          <w:lang w:val="lt-LT"/>
        </w:rPr>
        <w:t>), kuriame įtvirtinama, kad saugumas negali būti pasiekiamas tik karinėmis priemonėmis.</w:t>
      </w:r>
      <w:proofErr w:type="gramEnd"/>
      <w:r w:rsidR="00F234E7" w:rsidRPr="0006604A">
        <w:rPr>
          <w:color w:val="000000"/>
          <w:lang w:val="lt-LT"/>
        </w:rPr>
        <w:t xml:space="preserve"> Tam reikia gero valdymo ir teisėtumo, kuris įgyvendinamas per šalies pertvarkymo ir </w:t>
      </w:r>
      <w:r w:rsidR="0006604A" w:rsidRPr="0006604A">
        <w:rPr>
          <w:color w:val="000000"/>
          <w:lang w:val="lt-LT"/>
        </w:rPr>
        <w:t>vystymo</w:t>
      </w:r>
      <w:r w:rsidR="00F234E7" w:rsidRPr="0006604A">
        <w:rPr>
          <w:color w:val="000000"/>
          <w:lang w:val="lt-LT"/>
        </w:rPr>
        <w:t xml:space="preserve"> veiksmus.</w:t>
      </w:r>
      <w:r w:rsidR="00F234E7" w:rsidRPr="0006604A">
        <w:rPr>
          <w:rStyle w:val="FootnoteReference"/>
          <w:rFonts w:eastAsiaTheme="majorEastAsia"/>
          <w:color w:val="000000"/>
          <w:lang w:val="lt-LT"/>
        </w:rPr>
        <w:footnoteReference w:id="139"/>
      </w:r>
      <w:r w:rsidR="00F234E7" w:rsidRPr="0006604A">
        <w:rPr>
          <w:color w:val="000000"/>
          <w:lang w:val="lt-LT"/>
        </w:rPr>
        <w:t xml:space="preserve"> Todėl norint pasiekti valstybės stabilumą, tolesnį </w:t>
      </w:r>
      <w:r w:rsidR="0006604A" w:rsidRPr="0006604A">
        <w:rPr>
          <w:color w:val="000000"/>
          <w:lang w:val="lt-LT"/>
        </w:rPr>
        <w:t>vystymąsi</w:t>
      </w:r>
      <w:r w:rsidR="00F234E7" w:rsidRPr="0006604A">
        <w:rPr>
          <w:color w:val="000000"/>
          <w:lang w:val="lt-LT"/>
        </w:rPr>
        <w:t>, saugumą reikia užtikrinti daug platesniu mastu nei kariniai veiksmai. Kaip buvo minėta, kai kurios NATO sąjungininkės prilygina savo įgaliojimus ne karinei operacijai, bet taikos įtvirtinimo misijai. Tai pateisina ir Tarptautinėms Saugumo Paramos pajėgoms suteikti Saugumo Tarybos įgaliojimai, kurie yra skirti saugumo šalyje įtvirtinimui, kuris yra būtina sąlyga norint pasiekti taiką. Tuo tarpu yra ir kit</w:t>
      </w:r>
      <w:r w:rsidR="00BC5528" w:rsidRPr="0006604A">
        <w:rPr>
          <w:color w:val="000000"/>
          <w:lang w:val="lt-LT"/>
        </w:rPr>
        <w:t>a grupė valstybių, kurios laiko</w:t>
      </w:r>
      <w:r w:rsidR="00CB08E1" w:rsidRPr="0006604A">
        <w:rPr>
          <w:color w:val="000000"/>
          <w:lang w:val="lt-LT"/>
        </w:rPr>
        <w:t xml:space="preserve"> savo veiksmus</w:t>
      </w:r>
      <w:r w:rsidR="00F234E7" w:rsidRPr="0006604A">
        <w:rPr>
          <w:color w:val="000000"/>
          <w:lang w:val="lt-LT"/>
        </w:rPr>
        <w:t xml:space="preserve"> karine, o n</w:t>
      </w:r>
      <w:r w:rsidR="00CB08E1" w:rsidRPr="0006604A">
        <w:rPr>
          <w:color w:val="000000"/>
          <w:lang w:val="lt-LT"/>
        </w:rPr>
        <w:t>e taikos įtvirtinimo operacija.</w:t>
      </w:r>
    </w:p>
    <w:p w:rsidR="00F234E7" w:rsidRPr="0006604A" w:rsidRDefault="00F234E7" w:rsidP="00113D43">
      <w:pPr>
        <w:spacing w:before="100" w:beforeAutospacing="1" w:after="100" w:afterAutospacing="1"/>
        <w:ind w:firstLine="851"/>
        <w:contextualSpacing/>
        <w:rPr>
          <w:color w:val="000000"/>
          <w:lang w:val="lt-LT"/>
        </w:rPr>
      </w:pPr>
      <w:r w:rsidRPr="0006604A">
        <w:rPr>
          <w:color w:val="000000"/>
          <w:lang w:val="lt-LT"/>
        </w:rPr>
        <w:t>Kad saugumas nebuvo užtikrintas pačioje pradžioje matome iš šių veiksnių:</w:t>
      </w:r>
    </w:p>
    <w:p w:rsidR="00F234E7" w:rsidRPr="0006604A" w:rsidRDefault="00F234E7" w:rsidP="00113D43">
      <w:pPr>
        <w:pStyle w:val="ListParagraph"/>
        <w:numPr>
          <w:ilvl w:val="0"/>
          <w:numId w:val="4"/>
        </w:numPr>
        <w:spacing w:before="100" w:beforeAutospacing="1" w:after="100" w:afterAutospacing="1"/>
        <w:contextualSpacing/>
        <w:rPr>
          <w:rStyle w:val="Strong"/>
          <w:b w:val="0"/>
          <w:lang w:val="lt-LT"/>
        </w:rPr>
      </w:pPr>
      <w:r w:rsidRPr="0006604A">
        <w:rPr>
          <w:rStyle w:val="Strong"/>
          <w:b w:val="0"/>
          <w:lang w:val="lt-LT"/>
        </w:rPr>
        <w:t>Iki tol, kol vadovavimą perėmė NATO, valstybės nenorėjo tiekti daugiau savo karių dėl trumpo pusės metų trunkančio įgaliojimų suteikimo;</w:t>
      </w:r>
    </w:p>
    <w:p w:rsidR="00F234E7" w:rsidRPr="0006604A" w:rsidRDefault="00F234E7" w:rsidP="00113D43">
      <w:pPr>
        <w:pStyle w:val="ListParagraph"/>
        <w:numPr>
          <w:ilvl w:val="0"/>
          <w:numId w:val="4"/>
        </w:numPr>
        <w:spacing w:before="100" w:beforeAutospacing="1" w:after="100" w:afterAutospacing="1"/>
        <w:contextualSpacing/>
        <w:rPr>
          <w:rStyle w:val="Strong"/>
          <w:b w:val="0"/>
          <w:lang w:val="lt-LT"/>
        </w:rPr>
      </w:pPr>
      <w:r w:rsidRPr="0006604A">
        <w:rPr>
          <w:rStyle w:val="Strong"/>
          <w:b w:val="0"/>
          <w:lang w:val="lt-LT"/>
        </w:rPr>
        <w:lastRenderedPageBreak/>
        <w:t xml:space="preserve">Jungtinės Valstijos prieštaravo kitų valstybių karių didinimo skaičiui, nes bijojo, kad tai trukdys jų vykdomai </w:t>
      </w:r>
      <w:r w:rsidR="00E452F5" w:rsidRPr="0006604A">
        <w:rPr>
          <w:rStyle w:val="Strong"/>
          <w:b w:val="0"/>
          <w:lang w:val="lt-LT"/>
        </w:rPr>
        <w:t>karinei kompanijai prieš A</w:t>
      </w:r>
      <w:r w:rsidR="00C018F0" w:rsidRPr="0006604A">
        <w:rPr>
          <w:rStyle w:val="Strong"/>
          <w:b w:val="0"/>
          <w:lang w:val="lt-LT"/>
        </w:rPr>
        <w:t>l-Qai</w:t>
      </w:r>
      <w:r w:rsidRPr="0006604A">
        <w:rPr>
          <w:rStyle w:val="Strong"/>
          <w:b w:val="0"/>
          <w:lang w:val="lt-LT"/>
        </w:rPr>
        <w:t>da ir Talibano režimą;</w:t>
      </w:r>
    </w:p>
    <w:p w:rsidR="00F234E7" w:rsidRPr="0006604A" w:rsidRDefault="00F234E7" w:rsidP="00113D43">
      <w:pPr>
        <w:pStyle w:val="ListParagraph"/>
        <w:numPr>
          <w:ilvl w:val="0"/>
          <w:numId w:val="4"/>
        </w:numPr>
        <w:spacing w:before="100" w:beforeAutospacing="1" w:after="100" w:afterAutospacing="1"/>
        <w:contextualSpacing/>
        <w:rPr>
          <w:rStyle w:val="Strong"/>
          <w:b w:val="0"/>
          <w:lang w:val="lt-LT"/>
        </w:rPr>
      </w:pPr>
      <w:r w:rsidRPr="0006604A">
        <w:rPr>
          <w:rStyle w:val="Strong"/>
          <w:b w:val="0"/>
          <w:lang w:val="lt-LT"/>
        </w:rPr>
        <w:t>NATO perėmus vadovavimą Tarptautinėms Saugumo pajėgoms ir Saugumo Tarybai suteikus įgaliojimus veikti visoje šalyje, padidėja ne tik karinių veiksmų mastas, bet ir aukų skaičius, dėl ko daugelis valstybių nebenori tiekti savo karių;</w:t>
      </w:r>
    </w:p>
    <w:p w:rsidR="000C6D2F" w:rsidRPr="0006604A" w:rsidRDefault="00F234E7" w:rsidP="00113D43">
      <w:pPr>
        <w:pStyle w:val="ListParagraph"/>
        <w:numPr>
          <w:ilvl w:val="0"/>
          <w:numId w:val="4"/>
        </w:numPr>
        <w:spacing w:before="100" w:beforeAutospacing="1" w:after="100" w:afterAutospacing="1"/>
        <w:contextualSpacing/>
        <w:rPr>
          <w:rStyle w:val="Strong"/>
          <w:b w:val="0"/>
          <w:lang w:val="lt-LT"/>
        </w:rPr>
      </w:pPr>
      <w:r w:rsidRPr="0006604A">
        <w:rPr>
          <w:rStyle w:val="Strong"/>
          <w:b w:val="0"/>
          <w:lang w:val="lt-LT"/>
        </w:rPr>
        <w:t>Išsiskiriantys valstybių prioritetai: vienos valstybės savo veiksmus laiko</w:t>
      </w:r>
      <w:r w:rsidR="007B30EE">
        <w:rPr>
          <w:rStyle w:val="Strong"/>
          <w:b w:val="0"/>
          <w:lang w:val="lt-LT"/>
        </w:rPr>
        <w:t>,</w:t>
      </w:r>
      <w:r w:rsidRPr="0006604A">
        <w:rPr>
          <w:rStyle w:val="Strong"/>
          <w:b w:val="0"/>
          <w:lang w:val="lt-LT"/>
        </w:rPr>
        <w:t xml:space="preserve"> atitinkančius taikos valstybė</w:t>
      </w:r>
      <w:r w:rsidR="00374834">
        <w:rPr>
          <w:rStyle w:val="Strong"/>
          <w:b w:val="0"/>
          <w:lang w:val="lt-LT"/>
        </w:rPr>
        <w:t>je įtvirtinimą, tuo tarpu kitos ‒</w:t>
      </w:r>
      <w:r w:rsidRPr="0006604A">
        <w:rPr>
          <w:rStyle w:val="Strong"/>
          <w:b w:val="0"/>
          <w:lang w:val="lt-LT"/>
        </w:rPr>
        <w:t xml:space="preserve"> kaip karinę operaciją.</w:t>
      </w:r>
    </w:p>
    <w:p w:rsidR="006329C3" w:rsidRPr="0006604A" w:rsidRDefault="000C6D2F" w:rsidP="00113D43">
      <w:pPr>
        <w:spacing w:before="100" w:beforeAutospacing="1" w:after="100" w:afterAutospacing="1"/>
        <w:ind w:firstLine="851"/>
        <w:contextualSpacing/>
        <w:rPr>
          <w:rStyle w:val="Strong"/>
          <w:b w:val="0"/>
          <w:lang w:val="lt-LT"/>
        </w:rPr>
      </w:pPr>
      <w:r w:rsidRPr="0006604A">
        <w:rPr>
          <w:rStyle w:val="Strong"/>
          <w:b w:val="0"/>
          <w:lang w:val="lt-LT"/>
        </w:rPr>
        <w:t>Kad nebuvo imtasi pakankamai priemonių Afganistano valstybės stiprinimui</w:t>
      </w:r>
      <w:r w:rsidR="0069680D">
        <w:rPr>
          <w:rStyle w:val="Strong"/>
          <w:b w:val="0"/>
          <w:lang w:val="lt-LT"/>
        </w:rPr>
        <w:t xml:space="preserve">, </w:t>
      </w:r>
      <w:r w:rsidRPr="0006604A">
        <w:rPr>
          <w:rStyle w:val="Strong"/>
          <w:b w:val="0"/>
          <w:lang w:val="lt-LT"/>
        </w:rPr>
        <w:t>matome iš Tarptautinių Saugumo Paramos pajėgų tikslų nukrypimų. Misija pradėjo veikti kaip platesnio masto taikos misija su tikslu padėt</w:t>
      </w:r>
      <w:r w:rsidR="006329C3" w:rsidRPr="0006604A">
        <w:rPr>
          <w:rStyle w:val="Strong"/>
          <w:b w:val="0"/>
          <w:lang w:val="lt-LT"/>
        </w:rPr>
        <w:t>i</w:t>
      </w:r>
      <w:r w:rsidRPr="0006604A">
        <w:rPr>
          <w:rStyle w:val="Strong"/>
          <w:b w:val="0"/>
          <w:lang w:val="lt-LT"/>
        </w:rPr>
        <w:t xml:space="preserve"> palaikyti Kabulo ir jo apylinkių, vėliau visos Afganistano valstybės teritor</w:t>
      </w:r>
      <w:r w:rsidR="006329C3" w:rsidRPr="0006604A">
        <w:rPr>
          <w:rStyle w:val="Strong"/>
          <w:b w:val="0"/>
          <w:lang w:val="lt-LT"/>
        </w:rPr>
        <w:t>i</w:t>
      </w:r>
      <w:r w:rsidRPr="0006604A">
        <w:rPr>
          <w:rStyle w:val="Strong"/>
          <w:b w:val="0"/>
          <w:lang w:val="lt-LT"/>
        </w:rPr>
        <w:t xml:space="preserve">jos saugią aplinką. Tačiau nuo pagalbos valstybei buvo nukrypta iki karinių veiksmų. </w:t>
      </w:r>
      <w:r w:rsidR="00C81591" w:rsidRPr="0006604A">
        <w:rPr>
          <w:rStyle w:val="Strong"/>
          <w:b w:val="0"/>
          <w:lang w:val="lt-LT"/>
        </w:rPr>
        <w:t>Viršijami platesnio masto taikos misijos įgaliojimai ir pažeidžiami pamatiniai taikos misijų principai. Priverstinio vykdymo veiksmai ir Afganistano valstybės stiprinimas yra absoliučiai nesuderinami.</w:t>
      </w:r>
    </w:p>
    <w:p w:rsidR="00EA3CB0" w:rsidRPr="0006604A" w:rsidRDefault="0006604A" w:rsidP="00113D43">
      <w:pPr>
        <w:spacing w:before="100" w:beforeAutospacing="1" w:after="100" w:afterAutospacing="1"/>
        <w:ind w:firstLine="851"/>
        <w:contextualSpacing/>
        <w:rPr>
          <w:rStyle w:val="Strong"/>
          <w:b w:val="0"/>
          <w:lang w:val="lt-LT"/>
        </w:rPr>
      </w:pPr>
      <w:r>
        <w:rPr>
          <w:rStyle w:val="Strong"/>
          <w:b w:val="0"/>
          <w:lang w:val="lt-LT"/>
        </w:rPr>
        <w:t>Apibendrinant šio poskyrio</w:t>
      </w:r>
      <w:r w:rsidRPr="0006604A">
        <w:rPr>
          <w:rStyle w:val="Strong"/>
          <w:b w:val="0"/>
          <w:lang w:val="lt-LT"/>
        </w:rPr>
        <w:t xml:space="preserve"> analizę, galime teigti, kad taikos įtvirtinimo misija Afganistane  prasidėjo po karinių pajėgų įvedimo ir iš esmės skyrėsi nuo tradicinio taikos įtvirtinimo šalyje būdo, kuris pradedamas tik po paliaubų paskelbimo bei su pačios valstybės prašymu. </w:t>
      </w:r>
    </w:p>
    <w:p w:rsidR="00F234E7" w:rsidRPr="0006604A" w:rsidRDefault="00F234E7" w:rsidP="00113D43">
      <w:pPr>
        <w:spacing w:before="100" w:beforeAutospacing="1" w:after="100" w:afterAutospacing="1"/>
        <w:ind w:firstLine="851"/>
        <w:contextualSpacing/>
        <w:rPr>
          <w:rStyle w:val="Strong"/>
          <w:b w:val="0"/>
          <w:lang w:val="lt-LT"/>
        </w:rPr>
      </w:pPr>
      <w:r w:rsidRPr="0006604A">
        <w:rPr>
          <w:rStyle w:val="Strong"/>
          <w:b w:val="0"/>
          <w:lang w:val="lt-LT"/>
        </w:rPr>
        <w:t>Nors tarptautinės bendruomenės parama yra gana didelė, tačiau šalyje saugumo situacija vis dar netvirta. Tam įtakos turėjo tarptautinės bendruomenės neaktyvumas jų veiklos pradžioje ir skirtingi dalyvaujančių šalių prioritetai:</w:t>
      </w:r>
      <w:r w:rsidR="00A178ED" w:rsidRPr="0006604A">
        <w:rPr>
          <w:rStyle w:val="Strong"/>
          <w:b w:val="0"/>
          <w:lang w:val="lt-LT"/>
        </w:rPr>
        <w:t xml:space="preserve"> vienos šalys savo dalyvavimą </w:t>
      </w:r>
      <w:r w:rsidRPr="0006604A">
        <w:rPr>
          <w:rStyle w:val="Strong"/>
          <w:b w:val="0"/>
          <w:lang w:val="lt-LT"/>
        </w:rPr>
        <w:t>sieja su karine operacija, tuo tar</w:t>
      </w:r>
      <w:r w:rsidR="00A178ED" w:rsidRPr="0006604A">
        <w:rPr>
          <w:rStyle w:val="Strong"/>
          <w:b w:val="0"/>
          <w:lang w:val="lt-LT"/>
        </w:rPr>
        <w:t>pu kitos šalys vykdo</w:t>
      </w:r>
      <w:r w:rsidRPr="0006604A">
        <w:rPr>
          <w:rStyle w:val="Strong"/>
          <w:b w:val="0"/>
          <w:lang w:val="lt-LT"/>
        </w:rPr>
        <w:t xml:space="preserve"> taikos įtvirtinimo misiją. </w:t>
      </w:r>
      <w:r w:rsidR="00EA3CB0" w:rsidRPr="0006604A">
        <w:rPr>
          <w:rStyle w:val="Strong"/>
          <w:b w:val="0"/>
          <w:lang w:val="lt-LT"/>
        </w:rPr>
        <w:t>Saugumas negali būti pasiekiamas tik karinėmis priemonėmis, todėl Tarptautinėm</w:t>
      </w:r>
      <w:r w:rsidR="00A178ED" w:rsidRPr="0006604A">
        <w:rPr>
          <w:rStyle w:val="Strong"/>
          <w:b w:val="0"/>
          <w:lang w:val="lt-LT"/>
        </w:rPr>
        <w:t>s</w:t>
      </w:r>
      <w:r w:rsidR="00EA3CB0" w:rsidRPr="0006604A">
        <w:rPr>
          <w:rStyle w:val="Strong"/>
          <w:b w:val="0"/>
          <w:lang w:val="lt-LT"/>
        </w:rPr>
        <w:t xml:space="preserve"> Saugumo Paramos pajėgoms viršijus panaudojamos jėgos mastą ir nukrypus nuo taikos įtv</w:t>
      </w:r>
      <w:r w:rsidR="0069680D">
        <w:rPr>
          <w:rStyle w:val="Strong"/>
          <w:b w:val="0"/>
          <w:lang w:val="lt-LT"/>
        </w:rPr>
        <w:t>irtinimo tikslų,</w:t>
      </w:r>
      <w:r w:rsidR="00EA3CB0" w:rsidRPr="0006604A">
        <w:rPr>
          <w:rStyle w:val="Strong"/>
          <w:b w:val="0"/>
          <w:lang w:val="lt-LT"/>
        </w:rPr>
        <w:t xml:space="preserve"> buvo paneigiamas ne tik pačios misijos neutralumas, tačiau susilpnintas ir Afganistano valstybės atstatym</w:t>
      </w:r>
      <w:r w:rsidR="00E74F75" w:rsidRPr="0006604A">
        <w:rPr>
          <w:rStyle w:val="Strong"/>
          <w:b w:val="0"/>
          <w:lang w:val="lt-LT"/>
        </w:rPr>
        <w:t>o procesas.</w:t>
      </w:r>
    </w:p>
    <w:p w:rsidR="00F234E7" w:rsidRPr="0006604A" w:rsidRDefault="006D2D3A" w:rsidP="00113D43">
      <w:pPr>
        <w:pStyle w:val="Heading2"/>
        <w:numPr>
          <w:ilvl w:val="1"/>
          <w:numId w:val="2"/>
        </w:numPr>
        <w:rPr>
          <w:sz w:val="24"/>
          <w:szCs w:val="24"/>
          <w:lang w:val="lt-LT"/>
        </w:rPr>
      </w:pPr>
      <w:bookmarkStart w:id="24" w:name="_Toc280556722"/>
      <w:bookmarkStart w:id="25" w:name="_Toc280807841"/>
      <w:r w:rsidRPr="0006604A">
        <w:rPr>
          <w:rStyle w:val="Strong"/>
          <w:b/>
          <w:bCs/>
          <w:sz w:val="24"/>
          <w:szCs w:val="24"/>
          <w:lang w:val="lt-LT"/>
        </w:rPr>
        <w:t>Lietuva – t</w:t>
      </w:r>
      <w:r w:rsidR="00F234E7" w:rsidRPr="0006604A">
        <w:rPr>
          <w:rStyle w:val="Strong"/>
          <w:b/>
          <w:bCs/>
          <w:sz w:val="24"/>
          <w:szCs w:val="24"/>
          <w:lang w:val="lt-LT"/>
        </w:rPr>
        <w:t>aikos misijų dalyvė</w:t>
      </w:r>
      <w:bookmarkEnd w:id="24"/>
      <w:bookmarkEnd w:id="25"/>
    </w:p>
    <w:p w:rsidR="00F234E7" w:rsidRPr="0006604A" w:rsidRDefault="00F234E7" w:rsidP="00113D43">
      <w:pPr>
        <w:spacing w:before="100" w:beforeAutospacing="1" w:after="100" w:afterAutospacing="1"/>
        <w:ind w:firstLine="851"/>
        <w:contextualSpacing/>
        <w:rPr>
          <w:lang w:val="lt-LT" w:eastAsia="lt-LT"/>
        </w:rPr>
      </w:pPr>
      <w:r w:rsidRPr="0006604A">
        <w:rPr>
          <w:lang w:val="lt-LT" w:eastAsia="lt-LT"/>
        </w:rPr>
        <w:t>Lietuvos valstybė</w:t>
      </w:r>
      <w:r w:rsidR="002E0F69">
        <w:rPr>
          <w:lang w:val="lt-LT" w:eastAsia="lt-LT"/>
        </w:rPr>
        <w:t>,</w:t>
      </w:r>
      <w:r w:rsidRPr="0006604A">
        <w:rPr>
          <w:lang w:val="lt-LT" w:eastAsia="lt-LT"/>
        </w:rPr>
        <w:t xml:space="preserve"> būdama aktyvia tarptautinės bendrijos nare</w:t>
      </w:r>
      <w:r w:rsidR="002E0F69">
        <w:rPr>
          <w:lang w:val="lt-LT" w:eastAsia="lt-LT"/>
        </w:rPr>
        <w:t>,</w:t>
      </w:r>
      <w:r w:rsidRPr="0006604A">
        <w:rPr>
          <w:lang w:val="lt-LT" w:eastAsia="lt-LT"/>
        </w:rPr>
        <w:t xml:space="preserve"> kartu su kitomis valstybėmis prisideda prie tarptautinės taikos ir saugumo palaikymo. Vienas iš būdų prisidėti prie tarptautinės tvarkos kūrimo – dalyvavimas taikos misijose. Šiame poskyryje išanalizuosime, kodėl Lietuva dalyvauja taikos misijose, iš kur</w:t>
      </w:r>
      <w:r w:rsidR="001B2150">
        <w:rPr>
          <w:lang w:val="lt-LT" w:eastAsia="lt-LT"/>
        </w:rPr>
        <w:t xml:space="preserve"> kyla jos įsipareigojimai, </w:t>
      </w:r>
      <w:r w:rsidRPr="0006604A">
        <w:rPr>
          <w:lang w:val="lt-LT" w:eastAsia="lt-LT"/>
        </w:rPr>
        <w:t>kokie nacionaliniai teisės aktai įtvirtina dalyvavimą taikos misijose bei analizuosime šiuo metu didžiausią Lietuvos valstybės įsitraukimą tarptautinėse</w:t>
      </w:r>
      <w:r w:rsidR="00666F1E" w:rsidRPr="0006604A">
        <w:rPr>
          <w:lang w:val="lt-LT" w:eastAsia="lt-LT"/>
        </w:rPr>
        <w:t xml:space="preserve"> operacijose</w:t>
      </w:r>
      <w:r w:rsidR="00FF449D">
        <w:rPr>
          <w:lang w:val="lt-LT" w:eastAsia="lt-LT"/>
        </w:rPr>
        <w:t xml:space="preserve"> ‒ </w:t>
      </w:r>
      <w:r w:rsidRPr="0006604A">
        <w:rPr>
          <w:lang w:val="lt-LT" w:eastAsia="lt-LT"/>
        </w:rPr>
        <w:t>Afganistano Islamo Respublikoje.</w:t>
      </w:r>
    </w:p>
    <w:p w:rsidR="00F234E7" w:rsidRPr="0006604A" w:rsidRDefault="00DB16CF" w:rsidP="00113D43">
      <w:pPr>
        <w:spacing w:before="100" w:beforeAutospacing="1" w:after="100" w:afterAutospacing="1"/>
        <w:ind w:firstLine="851"/>
        <w:contextualSpacing/>
        <w:rPr>
          <w:rStyle w:val="Strong"/>
          <w:b w:val="0"/>
          <w:lang w:val="lt-LT"/>
        </w:rPr>
      </w:pPr>
      <w:r>
        <w:rPr>
          <w:rStyle w:val="Strong"/>
          <w:b w:val="0"/>
          <w:lang w:val="lt-LT"/>
        </w:rPr>
        <w:lastRenderedPageBreak/>
        <w:t>P</w:t>
      </w:r>
      <w:r w:rsidR="00F234E7" w:rsidRPr="0006604A">
        <w:rPr>
          <w:rStyle w:val="Strong"/>
          <w:b w:val="0"/>
          <w:lang w:val="lt-LT"/>
        </w:rPr>
        <w:t xml:space="preserve">risidėjimas prie tarptautinio saugumo ir </w:t>
      </w:r>
      <w:r>
        <w:rPr>
          <w:rStyle w:val="Strong"/>
          <w:b w:val="0"/>
          <w:lang w:val="lt-LT"/>
        </w:rPr>
        <w:t>taikos palaikymo kyla iš Lietuvo</w:t>
      </w:r>
      <w:r w:rsidR="00F234E7" w:rsidRPr="0006604A">
        <w:rPr>
          <w:rStyle w:val="Strong"/>
          <w:b w:val="0"/>
          <w:lang w:val="lt-LT"/>
        </w:rPr>
        <w:t>s</w:t>
      </w:r>
      <w:r>
        <w:rPr>
          <w:rStyle w:val="Strong"/>
          <w:b w:val="0"/>
          <w:lang w:val="lt-LT"/>
        </w:rPr>
        <w:t>,</w:t>
      </w:r>
      <w:r w:rsidR="00F234E7" w:rsidRPr="0006604A">
        <w:rPr>
          <w:rStyle w:val="Strong"/>
          <w:b w:val="0"/>
          <w:lang w:val="lt-LT"/>
        </w:rPr>
        <w:t xml:space="preserve"> kaip tarptautinės bendrijos narės</w:t>
      </w:r>
      <w:r w:rsidR="00F0454E">
        <w:rPr>
          <w:rStyle w:val="Strong"/>
          <w:b w:val="0"/>
          <w:lang w:val="lt-LT"/>
        </w:rPr>
        <w:t>,</w:t>
      </w:r>
      <w:r w:rsidR="00F234E7" w:rsidRPr="0006604A">
        <w:rPr>
          <w:rStyle w:val="Strong"/>
          <w:b w:val="0"/>
          <w:lang w:val="lt-LT"/>
        </w:rPr>
        <w:t xml:space="preserve"> įsipareigojimų. 1991 metais Lietuva prisijungia prie Jungtinių Tautų Organizacijos, 2004 metai</w:t>
      </w:r>
      <w:r w:rsidR="008F4A4B" w:rsidRPr="0006604A">
        <w:rPr>
          <w:rStyle w:val="Strong"/>
          <w:b w:val="0"/>
          <w:lang w:val="lt-LT"/>
        </w:rPr>
        <w:t>s įstoja į NATO</w:t>
      </w:r>
      <w:r w:rsidR="00F234E7" w:rsidRPr="0006604A">
        <w:rPr>
          <w:rStyle w:val="Strong"/>
          <w:b w:val="0"/>
          <w:lang w:val="lt-LT"/>
        </w:rPr>
        <w:t>. Paminėtina, kad Lietu</w:t>
      </w:r>
      <w:r w:rsidR="00C1650D" w:rsidRPr="0006604A">
        <w:rPr>
          <w:rStyle w:val="Strong"/>
          <w:b w:val="0"/>
          <w:lang w:val="lt-LT"/>
        </w:rPr>
        <w:t>va yra</w:t>
      </w:r>
      <w:r w:rsidR="00F234E7" w:rsidRPr="0006604A">
        <w:rPr>
          <w:rStyle w:val="Strong"/>
          <w:b w:val="0"/>
          <w:lang w:val="lt-LT"/>
        </w:rPr>
        <w:t xml:space="preserve"> ir kitų tarptautinių organizacijų, kurių veikla yra susijusi su taikos ir saugumo užtikrinimu, dalyvė, tačiau šio darbo ribose apsiribojame ties minėtomis organizacijomis. Todėl atitinkamai Lietuvos dalyvavimą taikos misijose kildiname iš pasirašytų minėtų organizacijų sutarčių: Jungtinių Tautų Chartijos ir Šiaurės Atlanto Sutarties.</w:t>
      </w:r>
    </w:p>
    <w:p w:rsidR="005E7370" w:rsidRDefault="00F234E7" w:rsidP="00113D43">
      <w:pPr>
        <w:spacing w:before="100" w:beforeAutospacing="1" w:after="100" w:afterAutospacing="1"/>
        <w:ind w:firstLine="851"/>
        <w:contextualSpacing/>
        <w:rPr>
          <w:rStyle w:val="apple-style-span"/>
          <w:color w:val="000000"/>
          <w:lang w:val="lt-LT"/>
        </w:rPr>
      </w:pPr>
      <w:r w:rsidRPr="0006604A">
        <w:rPr>
          <w:rStyle w:val="Strong"/>
          <w:b w:val="0"/>
          <w:lang w:val="lt-LT"/>
        </w:rPr>
        <w:t xml:space="preserve"> Šiaurės Atlanto Sutarties 5 straipsnyje įtvirtinta:</w:t>
      </w:r>
      <w:r w:rsidRPr="0006604A">
        <w:rPr>
          <w:rStyle w:val="Strong"/>
          <w:lang w:val="lt-LT"/>
        </w:rPr>
        <w:t xml:space="preserve"> </w:t>
      </w:r>
      <w:r w:rsidRPr="00F0454E">
        <w:rPr>
          <w:rStyle w:val="Strong"/>
          <w:b w:val="0"/>
          <w:lang w:val="lt-LT"/>
        </w:rPr>
        <w:t>“</w:t>
      </w:r>
      <w:r w:rsidRPr="0006604A">
        <w:rPr>
          <w:rStyle w:val="apple-style-span"/>
          <w:color w:val="000000"/>
          <w:lang w:val="lt-LT"/>
        </w:rPr>
        <w:t>Šalys susitaria, kad vienos ar kelių iš jų ginkluotas užpuolimas Europoje ar Šiaurės Amerikoje bus laikomas jų visų užpuolimu, ir todėl susitarė, kad tokio ginkluoto užpuolimo atveju kiekviena iš jų, įgyvendindama individualios ar kolektyvinės savigynos teisę, pripažintą Jungtinių Tautų Chartijos 51 straipsnyje, nedelsdama suteiks pagalbą […]” Vadinasi</w:t>
      </w:r>
      <w:r w:rsidR="00903220" w:rsidRPr="0006604A">
        <w:rPr>
          <w:rStyle w:val="apple-style-span"/>
          <w:color w:val="000000"/>
          <w:lang w:val="lt-LT"/>
        </w:rPr>
        <w:t>,</w:t>
      </w:r>
      <w:r w:rsidRPr="0006604A">
        <w:rPr>
          <w:rStyle w:val="apple-style-span"/>
          <w:color w:val="000000"/>
          <w:lang w:val="lt-LT"/>
        </w:rPr>
        <w:t xml:space="preserve"> grėsmė vienai valstybei prilygin</w:t>
      </w:r>
      <w:r w:rsidR="00233318" w:rsidRPr="0006604A">
        <w:rPr>
          <w:rStyle w:val="apple-style-span"/>
          <w:color w:val="000000"/>
          <w:lang w:val="lt-LT"/>
        </w:rPr>
        <w:t xml:space="preserve">ama </w:t>
      </w:r>
      <w:r w:rsidR="00DB42A0" w:rsidRPr="0006604A">
        <w:rPr>
          <w:rStyle w:val="apple-style-span"/>
          <w:color w:val="000000"/>
          <w:lang w:val="lt-LT"/>
        </w:rPr>
        <w:t>ir visų kitų NATO</w:t>
      </w:r>
      <w:r w:rsidRPr="0006604A">
        <w:rPr>
          <w:rStyle w:val="apple-style-span"/>
          <w:color w:val="000000"/>
          <w:lang w:val="lt-LT"/>
        </w:rPr>
        <w:t xml:space="preserve"> narių grėsmei. Šis straipsnis atitinka Lietuvos gynybos politikoje minimą saugumo </w:t>
      </w:r>
      <w:r w:rsidR="0006604A" w:rsidRPr="0006604A">
        <w:rPr>
          <w:rStyle w:val="apple-style-span"/>
          <w:color w:val="000000"/>
          <w:lang w:val="lt-LT"/>
        </w:rPr>
        <w:t>nedalumo</w:t>
      </w:r>
      <w:r w:rsidRPr="0006604A">
        <w:rPr>
          <w:rStyle w:val="apple-style-span"/>
          <w:color w:val="000000"/>
          <w:lang w:val="lt-LT"/>
        </w:rPr>
        <w:t xml:space="preserve"> principą ir parodo, kad Lietuvos valstybė</w:t>
      </w:r>
      <w:r w:rsidR="00F0454E">
        <w:rPr>
          <w:rStyle w:val="apple-style-span"/>
          <w:color w:val="000000"/>
          <w:lang w:val="lt-LT"/>
        </w:rPr>
        <w:t>,</w:t>
      </w:r>
      <w:r w:rsidRPr="0006604A">
        <w:rPr>
          <w:rStyle w:val="apple-style-span"/>
          <w:color w:val="000000"/>
          <w:lang w:val="lt-LT"/>
        </w:rPr>
        <w:t xml:space="preserve"> būda</w:t>
      </w:r>
      <w:r w:rsidR="00903220" w:rsidRPr="0006604A">
        <w:rPr>
          <w:rStyle w:val="apple-style-span"/>
          <w:color w:val="000000"/>
          <w:lang w:val="lt-LT"/>
        </w:rPr>
        <w:t>ma  NATO</w:t>
      </w:r>
      <w:r w:rsidRPr="0006604A">
        <w:rPr>
          <w:rStyle w:val="apple-style-span"/>
          <w:color w:val="000000"/>
          <w:lang w:val="lt-LT"/>
        </w:rPr>
        <w:t xml:space="preserve"> nare</w:t>
      </w:r>
      <w:r w:rsidR="00F0454E">
        <w:rPr>
          <w:rStyle w:val="apple-style-span"/>
          <w:color w:val="000000"/>
          <w:lang w:val="lt-LT"/>
        </w:rPr>
        <w:t>,</w:t>
      </w:r>
      <w:r w:rsidRPr="0006604A">
        <w:rPr>
          <w:rStyle w:val="apple-style-span"/>
          <w:color w:val="000000"/>
          <w:lang w:val="lt-LT"/>
        </w:rPr>
        <w:t xml:space="preserve"> kitos narės ginkluoto užpuolimo atveju visada pasirengusi suteikti pagalbą. Be to, šis Šiaurės Atlanto Sutarties straipsnis prilyginamas fundamentaliajam kolektyvinės gynybos sutarti</w:t>
      </w:r>
      <w:r w:rsidR="00903220" w:rsidRPr="0006604A">
        <w:rPr>
          <w:rStyle w:val="apple-style-span"/>
          <w:color w:val="000000"/>
          <w:lang w:val="lt-LT"/>
        </w:rPr>
        <w:t>es principui, minimam</w:t>
      </w:r>
      <w:r w:rsidRPr="0006604A">
        <w:rPr>
          <w:rStyle w:val="apple-style-span"/>
          <w:color w:val="000000"/>
          <w:lang w:val="lt-LT"/>
        </w:rPr>
        <w:t xml:space="preserve"> Lietuvos Respublikos Tarptautinių operacijų, pratybų ir kitų karinio bendradarbiavimo renginių įstatymo (toliau Tarptautinių operacijų įstatymas) preambulėje. Pažymėtina, kad kolektyvinės gynybos principas kyla iš 2.3</w:t>
      </w:r>
      <w:r w:rsidR="00F0454E">
        <w:rPr>
          <w:rStyle w:val="apple-style-span"/>
          <w:color w:val="000000"/>
          <w:lang w:val="lt-LT"/>
        </w:rPr>
        <w:t>. poskyryje minė</w:t>
      </w:r>
      <w:r w:rsidRPr="0006604A">
        <w:rPr>
          <w:rStyle w:val="apple-style-span"/>
          <w:color w:val="000000"/>
          <w:lang w:val="lt-LT"/>
        </w:rPr>
        <w:t xml:space="preserve">to Chartijos 51 straipsnio, įtvirtinančio kolektyvinę savigyną, jeigu įvykdomas Jungtinių Tautų </w:t>
      </w:r>
      <w:r w:rsidR="005E7370">
        <w:rPr>
          <w:rStyle w:val="apple-style-span"/>
          <w:color w:val="000000"/>
          <w:lang w:val="lt-LT"/>
        </w:rPr>
        <w:t xml:space="preserve"> </w:t>
      </w:r>
      <w:r w:rsidRPr="0006604A">
        <w:rPr>
          <w:rStyle w:val="apple-style-span"/>
          <w:color w:val="000000"/>
          <w:lang w:val="lt-LT"/>
        </w:rPr>
        <w:t>narės ginkluotas užpuolimas.</w:t>
      </w:r>
    </w:p>
    <w:p w:rsidR="00F234E7" w:rsidRPr="0006604A" w:rsidRDefault="00F234E7" w:rsidP="00113D43">
      <w:pPr>
        <w:spacing w:before="100" w:beforeAutospacing="1" w:after="100" w:afterAutospacing="1"/>
        <w:ind w:firstLine="851"/>
        <w:contextualSpacing/>
        <w:rPr>
          <w:rStyle w:val="apple-style-span"/>
          <w:color w:val="000000"/>
          <w:lang w:val="lt-LT"/>
        </w:rPr>
      </w:pPr>
      <w:r w:rsidRPr="0006604A">
        <w:rPr>
          <w:rStyle w:val="apple-style-span"/>
          <w:color w:val="000000"/>
          <w:lang w:val="lt-LT"/>
        </w:rPr>
        <w:t xml:space="preserve"> Lietuvos įstatymuose minimi saugumo </w:t>
      </w:r>
      <w:r w:rsidR="0006604A">
        <w:rPr>
          <w:rStyle w:val="apple-style-span"/>
          <w:color w:val="000000"/>
          <w:lang w:val="lt-LT"/>
        </w:rPr>
        <w:t>nedal</w:t>
      </w:r>
      <w:r w:rsidR="0006604A" w:rsidRPr="0006604A">
        <w:rPr>
          <w:rStyle w:val="apple-style-span"/>
          <w:color w:val="000000"/>
          <w:lang w:val="lt-LT"/>
        </w:rPr>
        <w:t>umo</w:t>
      </w:r>
      <w:r w:rsidRPr="0006604A">
        <w:rPr>
          <w:rStyle w:val="apple-style-span"/>
          <w:color w:val="000000"/>
          <w:lang w:val="lt-LT"/>
        </w:rPr>
        <w:t xml:space="preserve"> ir kolektyvinės gynybos principai parodo ne tik valstybės prisiimtus įsipareigojimus tarptautinio saugumo atžvilgiu, tačiau užtikrina ir Lietuvos saugumą.</w:t>
      </w:r>
      <w:r w:rsidRPr="0006604A">
        <w:rPr>
          <w:rStyle w:val="Strong"/>
          <w:lang w:val="lt-LT"/>
        </w:rPr>
        <w:t xml:space="preserve"> </w:t>
      </w:r>
      <w:r w:rsidRPr="0006604A">
        <w:rPr>
          <w:rStyle w:val="Strong"/>
          <w:b w:val="0"/>
          <w:lang w:val="lt-LT"/>
        </w:rPr>
        <w:t xml:space="preserve">Tai patvirtina ir Nacionalinė Saugumo Strategija, kurioje teigiama, kad Lietuvos </w:t>
      </w:r>
      <w:r w:rsidR="00F0454E">
        <w:rPr>
          <w:lang w:val="lt-LT" w:eastAsia="lt-LT"/>
        </w:rPr>
        <w:t>Respublika,</w:t>
      </w:r>
      <w:r w:rsidRPr="0006604A">
        <w:rPr>
          <w:lang w:val="lt-LT" w:eastAsia="lt-LT"/>
        </w:rPr>
        <w:t xml:space="preserve"> atsižvelgdama į tai, kad tarptautinis saugumas yra nedalomas, savo saugumą siekia užtikrinti kaip platesnės regioninės, europinės ir pasaulinės valstybių bendrijos saugumo neatskiriamą sudedamąją dalį.</w:t>
      </w:r>
      <w:r w:rsidRPr="0006604A">
        <w:rPr>
          <w:rStyle w:val="FootnoteReference"/>
          <w:rFonts w:eastAsiaTheme="majorEastAsia"/>
          <w:lang w:val="lt-LT" w:eastAsia="lt-LT"/>
        </w:rPr>
        <w:footnoteReference w:id="140"/>
      </w:r>
    </w:p>
    <w:p w:rsidR="00F234E7" w:rsidRPr="0006604A" w:rsidRDefault="00F234E7" w:rsidP="00113D43">
      <w:pPr>
        <w:spacing w:before="100" w:beforeAutospacing="1" w:after="100" w:afterAutospacing="1"/>
        <w:ind w:firstLine="851"/>
        <w:contextualSpacing/>
        <w:rPr>
          <w:rStyle w:val="Strong"/>
          <w:lang w:val="lt-LT"/>
        </w:rPr>
      </w:pPr>
      <w:r w:rsidRPr="0006604A">
        <w:rPr>
          <w:rStyle w:val="Strong"/>
          <w:b w:val="0"/>
          <w:lang w:val="lt-LT"/>
        </w:rPr>
        <w:t>Lietuvos Respublikos Konstitucijos 135 straipsnio 1 dalyje minimas teise ir teisingumu pagrįstas tarptautinės tvarkos kūrimas.</w:t>
      </w:r>
      <w:r w:rsidRPr="0006604A">
        <w:rPr>
          <w:rStyle w:val="FootnoteReference"/>
          <w:rFonts w:eastAsiaTheme="majorEastAsia"/>
          <w:lang w:val="lt-LT"/>
        </w:rPr>
        <w:footnoteReference w:id="141"/>
      </w:r>
      <w:r w:rsidRPr="0006604A">
        <w:rPr>
          <w:rStyle w:val="Strong"/>
          <w:lang w:val="lt-LT"/>
        </w:rPr>
        <w:t xml:space="preserve"> </w:t>
      </w:r>
      <w:r w:rsidRPr="0006604A">
        <w:rPr>
          <w:lang w:val="lt-LT" w:eastAsia="lt-LT"/>
        </w:rPr>
        <w:t xml:space="preserve">Matome, kad tarptautinės taikos palaikymas, įtvirtintas aukščiausiajame šalies </w:t>
      </w:r>
      <w:r w:rsidR="00877627" w:rsidRPr="0006604A">
        <w:rPr>
          <w:lang w:val="lt-LT" w:eastAsia="lt-LT"/>
        </w:rPr>
        <w:t>įstatyme, yra esminis užsienio politi</w:t>
      </w:r>
      <w:r w:rsidRPr="0006604A">
        <w:rPr>
          <w:lang w:val="lt-LT" w:eastAsia="lt-LT"/>
        </w:rPr>
        <w:t>kos elementas. Tai patvirtina ir vienas iš</w:t>
      </w:r>
      <w:r w:rsidRPr="0006604A">
        <w:rPr>
          <w:color w:val="FF0000"/>
          <w:lang w:val="lt-LT" w:eastAsia="lt-LT"/>
        </w:rPr>
        <w:t xml:space="preserve"> </w:t>
      </w:r>
      <w:r w:rsidRPr="0006604A">
        <w:rPr>
          <w:rStyle w:val="Strong"/>
          <w:b w:val="0"/>
          <w:lang w:val="lt-LT"/>
        </w:rPr>
        <w:t>ilgalaikių Lietuvos užsien</w:t>
      </w:r>
      <w:r w:rsidR="00C66711" w:rsidRPr="0006604A">
        <w:rPr>
          <w:rStyle w:val="Strong"/>
          <w:b w:val="0"/>
          <w:lang w:val="lt-LT"/>
        </w:rPr>
        <w:t>io politi</w:t>
      </w:r>
      <w:r w:rsidRPr="0006604A">
        <w:rPr>
          <w:rStyle w:val="Strong"/>
          <w:b w:val="0"/>
          <w:lang w:val="lt-LT"/>
        </w:rPr>
        <w:t>kos uždavinių: “aktyviai prisidėti</w:t>
      </w:r>
      <w:r w:rsidRPr="0006604A">
        <w:rPr>
          <w:rStyle w:val="Strong"/>
          <w:lang w:val="lt-LT"/>
        </w:rPr>
        <w:t xml:space="preserve"> </w:t>
      </w:r>
      <w:r w:rsidRPr="0006604A">
        <w:rPr>
          <w:lang w:val="lt-LT" w:eastAsia="lt-LT"/>
        </w:rPr>
        <w:t xml:space="preserve">prie tarptautinės bendrijos </w:t>
      </w:r>
      <w:r w:rsidRPr="0006604A">
        <w:rPr>
          <w:lang w:val="lt-LT" w:eastAsia="lt-LT"/>
        </w:rPr>
        <w:lastRenderedPageBreak/>
        <w:t>pastangų užkirsti kelią terorizmui, konfliktams, įvesti, atkurti ir palaikyti taiką krizių paveiktuose regionuose.</w:t>
      </w:r>
      <w:r w:rsidRPr="0006604A">
        <w:rPr>
          <w:rStyle w:val="FootnoteReference"/>
          <w:rFonts w:eastAsiaTheme="majorEastAsia"/>
          <w:lang w:val="lt-LT" w:eastAsia="lt-LT"/>
        </w:rPr>
        <w:footnoteReference w:id="142"/>
      </w:r>
    </w:p>
    <w:p w:rsidR="00F234E7" w:rsidRPr="0006604A" w:rsidRDefault="00F234E7" w:rsidP="00113D43">
      <w:pPr>
        <w:spacing w:before="100" w:beforeAutospacing="1" w:after="100" w:afterAutospacing="1"/>
        <w:ind w:firstLine="851"/>
        <w:contextualSpacing/>
        <w:rPr>
          <w:lang w:val="lt-LT"/>
        </w:rPr>
      </w:pPr>
      <w:r w:rsidRPr="0006604A">
        <w:rPr>
          <w:rStyle w:val="Strong"/>
          <w:b w:val="0"/>
          <w:lang w:val="lt-LT"/>
        </w:rPr>
        <w:t>Lietuvos Respublikos Seimas yra nustatęs: “Lietuvos Respublikos kariniai vienetai, sudaryti iš karių ir karinėms pajėgoms priskirtų civilių tarnautojų, gali būti siunčiami dalyvauti tarptautinėse operacijose Balkanų, Centrinės ir Pietų Azijos, Pietų Kaukazo, Persijos įlankos regionuose.</w:t>
      </w:r>
      <w:r w:rsidRPr="0006604A">
        <w:rPr>
          <w:rStyle w:val="FootnoteReference"/>
          <w:rFonts w:eastAsiaTheme="majorEastAsia"/>
          <w:lang w:val="lt-LT"/>
        </w:rPr>
        <w:footnoteReference w:id="143"/>
      </w:r>
      <w:r w:rsidRPr="0006604A">
        <w:rPr>
          <w:rStyle w:val="Strong"/>
          <w:b w:val="0"/>
          <w:lang w:val="lt-LT"/>
        </w:rPr>
        <w:t xml:space="preserve"> Šis Lietuvos Respublikos Seimo suteiktas mandatas, leidžiantis Lietuvos kariams dalyvauti tarptautinėse operacijose, galioja ik</w:t>
      </w:r>
      <w:r w:rsidRPr="0006604A">
        <w:rPr>
          <w:rStyle w:val="apple-style-span"/>
          <w:color w:val="000000"/>
          <w:lang w:val="lt-LT"/>
        </w:rPr>
        <w:t>i 2010 m</w:t>
      </w:r>
      <w:r w:rsidR="00A855DA" w:rsidRPr="0006604A">
        <w:rPr>
          <w:rStyle w:val="apple-style-span"/>
          <w:color w:val="000000"/>
          <w:lang w:val="lt-LT"/>
        </w:rPr>
        <w:t>etų</w:t>
      </w:r>
      <w:r w:rsidRPr="0006604A">
        <w:rPr>
          <w:rStyle w:val="apple-style-span"/>
          <w:color w:val="000000"/>
          <w:lang w:val="lt-LT"/>
        </w:rPr>
        <w:t xml:space="preserve"> gruodžio 31 d.</w:t>
      </w:r>
      <w:r w:rsidRPr="0006604A">
        <w:rPr>
          <w:lang w:val="lt-LT"/>
        </w:rPr>
        <w:t xml:space="preserve"> Todėl norint pratęsti Lietuvos karių dalyvavimą tarptautinėse </w:t>
      </w:r>
      <w:r w:rsidR="0006604A" w:rsidRPr="0006604A">
        <w:rPr>
          <w:lang w:val="lt-LT"/>
        </w:rPr>
        <w:t>operacijose</w:t>
      </w:r>
      <w:r w:rsidRPr="0006604A">
        <w:rPr>
          <w:lang w:val="lt-LT"/>
        </w:rPr>
        <w:t xml:space="preserve"> nuo 2011 metų turės būti suteiktas naujas Lietuvos Respublikos Seimo mandatas. </w:t>
      </w:r>
    </w:p>
    <w:p w:rsidR="00B551F6" w:rsidRPr="0006604A" w:rsidRDefault="00F234E7" w:rsidP="00113D43">
      <w:pPr>
        <w:spacing w:before="100" w:beforeAutospacing="1" w:after="100" w:afterAutospacing="1"/>
        <w:ind w:firstLine="851"/>
        <w:contextualSpacing/>
        <w:rPr>
          <w:color w:val="000000"/>
          <w:lang w:val="lt-LT" w:eastAsia="lt-LT"/>
        </w:rPr>
      </w:pPr>
      <w:r w:rsidRPr="0006604A">
        <w:rPr>
          <w:color w:val="000000"/>
          <w:lang w:val="lt-LT" w:eastAsia="lt-LT"/>
        </w:rPr>
        <w:t xml:space="preserve">Tarptautinių operacijų įstatyme įtvirtinta, kad Lietuvos Respublikos kariniai vienetai, kariai ir civiliai krašto apsaugos sistemos tarnautojai gali dalyvauti tarptautinėse operacijose, pratybose ir kituose renginiuose, kai dėl to priimamas </w:t>
      </w:r>
      <w:r w:rsidRPr="0006604A">
        <w:rPr>
          <w:lang w:val="lt-LT" w:eastAsia="lt-LT"/>
        </w:rPr>
        <w:t>kompetentingos</w:t>
      </w:r>
      <w:r w:rsidR="00B551F6" w:rsidRPr="0006604A">
        <w:rPr>
          <w:rStyle w:val="FootnoteReference"/>
          <w:lang w:val="lt-LT" w:eastAsia="lt-LT"/>
        </w:rPr>
        <w:footnoteReference w:id="144"/>
      </w:r>
      <w:r w:rsidRPr="0006604A">
        <w:rPr>
          <w:lang w:val="lt-LT" w:eastAsia="lt-LT"/>
        </w:rPr>
        <w:t xml:space="preserve"> Lietuvos valstybės institucijos</w:t>
      </w:r>
      <w:r w:rsidRPr="0006604A">
        <w:rPr>
          <w:color w:val="000000"/>
          <w:lang w:val="lt-LT" w:eastAsia="lt-LT"/>
        </w:rPr>
        <w:t xml:space="preserve"> ar kompetentingo pareigūno sprendimas, grindžiamas Lietuvos Respublikos Konstitucijos, tarptautinių sutarčių ar susitarimų bei Tarptautinių operacijų įstatymo nuostatomis.</w:t>
      </w:r>
      <w:r w:rsidRPr="0006604A">
        <w:rPr>
          <w:rStyle w:val="FootnoteReference"/>
          <w:rFonts w:eastAsiaTheme="majorEastAsia"/>
          <w:color w:val="000000"/>
          <w:lang w:val="lt-LT" w:eastAsia="lt-LT"/>
        </w:rPr>
        <w:footnoteReference w:id="145"/>
      </w:r>
      <w:r w:rsidRPr="0006604A">
        <w:rPr>
          <w:color w:val="000000"/>
          <w:lang w:val="lt-LT" w:eastAsia="lt-LT"/>
        </w:rPr>
        <w:t xml:space="preserve"> </w:t>
      </w:r>
    </w:p>
    <w:p w:rsidR="00F234E7" w:rsidRPr="0006604A" w:rsidRDefault="00F234E7" w:rsidP="00113D43">
      <w:pPr>
        <w:spacing w:before="100" w:beforeAutospacing="1" w:after="100" w:afterAutospacing="1"/>
        <w:ind w:firstLine="851"/>
        <w:contextualSpacing/>
        <w:rPr>
          <w:color w:val="000000"/>
          <w:lang w:val="lt-LT" w:eastAsia="lt-LT"/>
        </w:rPr>
      </w:pPr>
      <w:r w:rsidRPr="0006604A">
        <w:rPr>
          <w:color w:val="000000"/>
          <w:lang w:val="lt-LT" w:eastAsia="lt-LT"/>
        </w:rPr>
        <w:t>Matome, kad Lietuvos valstybės dalyvavimas tarpt</w:t>
      </w:r>
      <w:r w:rsidR="00B551F6" w:rsidRPr="0006604A">
        <w:rPr>
          <w:color w:val="000000"/>
          <w:lang w:val="lt-LT" w:eastAsia="lt-LT"/>
        </w:rPr>
        <w:t xml:space="preserve">autinėse operacijose, kylantis </w:t>
      </w:r>
      <w:r w:rsidRPr="0006604A">
        <w:rPr>
          <w:color w:val="000000"/>
          <w:lang w:val="lt-LT" w:eastAsia="lt-LT"/>
        </w:rPr>
        <w:t>iš Lietuvos</w:t>
      </w:r>
      <w:r w:rsidR="00B551F6" w:rsidRPr="0006604A">
        <w:rPr>
          <w:color w:val="000000"/>
          <w:lang w:val="lt-LT" w:eastAsia="lt-LT"/>
        </w:rPr>
        <w:t>,</w:t>
      </w:r>
      <w:r w:rsidRPr="0006604A">
        <w:rPr>
          <w:color w:val="000000"/>
          <w:lang w:val="lt-LT" w:eastAsia="lt-LT"/>
        </w:rPr>
        <w:t xml:space="preserve"> kaip tarptautinės bendrijos narės</w:t>
      </w:r>
      <w:r w:rsidR="00B551F6" w:rsidRPr="0006604A">
        <w:rPr>
          <w:color w:val="000000"/>
          <w:lang w:val="lt-LT" w:eastAsia="lt-LT"/>
        </w:rPr>
        <w:t xml:space="preserve">, </w:t>
      </w:r>
      <w:r w:rsidRPr="0006604A">
        <w:rPr>
          <w:color w:val="000000"/>
          <w:lang w:val="lt-LT" w:eastAsia="lt-LT"/>
        </w:rPr>
        <w:t xml:space="preserve"> </w:t>
      </w:r>
      <w:r w:rsidR="0006604A" w:rsidRPr="0006604A">
        <w:rPr>
          <w:color w:val="000000"/>
          <w:lang w:val="lt-LT" w:eastAsia="lt-LT"/>
        </w:rPr>
        <w:t>įsipareigoj</w:t>
      </w:r>
      <w:r w:rsidR="0006604A">
        <w:rPr>
          <w:color w:val="000000"/>
          <w:lang w:val="lt-LT" w:eastAsia="lt-LT"/>
        </w:rPr>
        <w:t>im</w:t>
      </w:r>
      <w:r w:rsidR="0006604A" w:rsidRPr="0006604A">
        <w:rPr>
          <w:color w:val="000000"/>
          <w:lang w:val="lt-LT" w:eastAsia="lt-LT"/>
        </w:rPr>
        <w:t>ų</w:t>
      </w:r>
      <w:r w:rsidR="00B551F6" w:rsidRPr="0006604A">
        <w:rPr>
          <w:color w:val="000000"/>
          <w:lang w:val="lt-LT" w:eastAsia="lt-LT"/>
        </w:rPr>
        <w:t xml:space="preserve"> </w:t>
      </w:r>
      <w:r w:rsidRPr="0006604A">
        <w:rPr>
          <w:color w:val="000000"/>
          <w:lang w:val="lt-LT" w:eastAsia="lt-LT"/>
        </w:rPr>
        <w:t xml:space="preserve"> pagal tarptautines sutartis, yra įtvirtinamas nacionaliniuose įstatymuose bei poįstatyminiuose aktuose.</w:t>
      </w:r>
    </w:p>
    <w:p w:rsidR="004166FF" w:rsidRPr="0006604A" w:rsidRDefault="004166FF" w:rsidP="00113D43">
      <w:pPr>
        <w:spacing w:before="100" w:beforeAutospacing="1" w:after="100" w:afterAutospacing="1"/>
        <w:ind w:firstLine="851"/>
        <w:contextualSpacing/>
        <w:rPr>
          <w:lang w:val="lt-LT" w:eastAsia="lt-LT"/>
        </w:rPr>
      </w:pPr>
      <w:r w:rsidRPr="0006604A">
        <w:rPr>
          <w:color w:val="000000"/>
          <w:lang w:val="lt-LT" w:eastAsia="lt-LT"/>
        </w:rPr>
        <w:t>Atskleidus Lietuvos valstybės įsipareigojimus tarptautinei bendrijai bei išanalizavus nacionalinius teisės aktus, įtvirtinančius jos dalyvavimą taikos misijose</w:t>
      </w:r>
      <w:r w:rsidR="008210AF" w:rsidRPr="0006604A">
        <w:rPr>
          <w:color w:val="000000"/>
          <w:lang w:val="lt-LT" w:eastAsia="lt-LT"/>
        </w:rPr>
        <w:t>,</w:t>
      </w:r>
      <w:r w:rsidRPr="0006604A">
        <w:rPr>
          <w:color w:val="000000"/>
          <w:lang w:val="lt-LT" w:eastAsia="lt-LT"/>
        </w:rPr>
        <w:t xml:space="preserve"> pereiname prie praktinės Lietuvos dalyvavimo taikos misijose analizės.</w:t>
      </w:r>
    </w:p>
    <w:p w:rsidR="00F234E7" w:rsidRPr="0006604A" w:rsidRDefault="00F234E7" w:rsidP="00113D43">
      <w:pPr>
        <w:spacing w:before="100" w:beforeAutospacing="1" w:after="100" w:afterAutospacing="1"/>
        <w:ind w:firstLine="851"/>
        <w:contextualSpacing/>
        <w:rPr>
          <w:rStyle w:val="Strong"/>
          <w:b w:val="0"/>
          <w:lang w:val="lt-LT"/>
        </w:rPr>
      </w:pPr>
      <w:r w:rsidRPr="0006604A">
        <w:rPr>
          <w:rStyle w:val="Strong"/>
          <w:b w:val="0"/>
          <w:lang w:val="lt-LT"/>
        </w:rPr>
        <w:lastRenderedPageBreak/>
        <w:t>1994 rugpjūčio 22 dieną į pirmąją tarptautinę taikos operaciją Kroatijoje išvyko 32 Lietuvos karių būrys. Operacijai vadovavo Jungtinių Tautų apsaugos pajėgos (angl. UNPROFOR). Kroatijoje Lietuvos kariai buvo iki 1996 metų: padėjo palaikyti viešąją tvarką, patruliavo jiems priskirtose teritorijose, kontrolės postuose.</w:t>
      </w:r>
      <w:r w:rsidRPr="0006604A">
        <w:rPr>
          <w:rStyle w:val="FootnoteReference"/>
          <w:rFonts w:eastAsiaTheme="majorEastAsia"/>
          <w:lang w:val="lt-LT"/>
        </w:rPr>
        <w:footnoteReference w:id="146"/>
      </w:r>
      <w:r w:rsidRPr="0006604A">
        <w:rPr>
          <w:rStyle w:val="Strong"/>
          <w:b w:val="0"/>
          <w:lang w:val="lt-LT"/>
        </w:rPr>
        <w:t xml:space="preserve"> Nuo pirmosios taikos operacijos praėjo šešiolika metų, per kuriuos Lietuvos kariai dalyvavo tarptautinėse operacijose Afganistane, Irake, Bosnijoje ir Hercegovinoje, Kosove, Albanijoje, Makedonijoje, Gruzijoje bei kitose šalyse. </w:t>
      </w:r>
    </w:p>
    <w:p w:rsidR="00F234E7" w:rsidRPr="0006604A" w:rsidRDefault="00F234E7" w:rsidP="00113D43">
      <w:pPr>
        <w:spacing w:before="100" w:beforeAutospacing="1" w:after="100" w:afterAutospacing="1"/>
        <w:ind w:firstLine="851"/>
        <w:contextualSpacing/>
        <w:rPr>
          <w:rStyle w:val="Strong"/>
          <w:b w:val="0"/>
          <w:lang w:val="lt-LT"/>
        </w:rPr>
      </w:pPr>
      <w:r w:rsidRPr="0006604A">
        <w:rPr>
          <w:rStyle w:val="Strong"/>
          <w:b w:val="0"/>
          <w:lang w:val="lt-LT"/>
        </w:rPr>
        <w:t xml:space="preserve">Atskirai analizuojame Lietuvos valstybės dalyvavimą Afganistano valstybės atkūrime. </w:t>
      </w:r>
      <w:r w:rsidR="00E2654C" w:rsidRPr="0006604A">
        <w:rPr>
          <w:rStyle w:val="Strong"/>
          <w:b w:val="0"/>
          <w:lang w:val="lt-LT"/>
        </w:rPr>
        <w:t>K</w:t>
      </w:r>
      <w:r w:rsidR="008E64CC" w:rsidRPr="0006604A">
        <w:rPr>
          <w:lang w:val="lt-LT"/>
        </w:rPr>
        <w:t>aip buvo minėta 2.3</w:t>
      </w:r>
      <w:r w:rsidR="005E7370">
        <w:rPr>
          <w:lang w:val="lt-LT"/>
        </w:rPr>
        <w:t>.</w:t>
      </w:r>
      <w:r w:rsidRPr="0006604A">
        <w:rPr>
          <w:lang w:val="lt-LT"/>
        </w:rPr>
        <w:t xml:space="preserve"> poskyryje, Afganistane veikia Jungtinių Tautų Saugumo Tarybos įgaliotos ir NATO vadovaujamos Tarptautinės Saugumo Paramos pajėgos, o Lietuva</w:t>
      </w:r>
      <w:r w:rsidR="00282765">
        <w:rPr>
          <w:lang w:val="lt-LT"/>
        </w:rPr>
        <w:t>,</w:t>
      </w:r>
      <w:r w:rsidRPr="0006604A">
        <w:rPr>
          <w:lang w:val="lt-LT"/>
        </w:rPr>
        <w:t xml:space="preserve"> būdama NATO nare</w:t>
      </w:r>
      <w:r w:rsidR="00282765">
        <w:rPr>
          <w:lang w:val="lt-LT"/>
        </w:rPr>
        <w:t>,</w:t>
      </w:r>
      <w:r w:rsidRPr="0006604A">
        <w:rPr>
          <w:lang w:val="lt-LT"/>
        </w:rPr>
        <w:t xml:space="preserve"> aktyviai prisideda prie tarptautinio saugumo palaikymo šioje šalyje. </w:t>
      </w:r>
    </w:p>
    <w:p w:rsidR="00F234E7" w:rsidRPr="0006604A" w:rsidRDefault="00F234E7" w:rsidP="00113D43">
      <w:pPr>
        <w:spacing w:before="100" w:beforeAutospacing="1" w:after="100" w:afterAutospacing="1"/>
        <w:ind w:firstLine="851"/>
        <w:contextualSpacing/>
        <w:rPr>
          <w:rStyle w:val="apple-style-span"/>
          <w:color w:val="000000"/>
          <w:lang w:val="lt-LT"/>
        </w:rPr>
      </w:pPr>
      <w:r w:rsidRPr="0006604A">
        <w:rPr>
          <w:rStyle w:val="apple-style-span"/>
          <w:color w:val="000000"/>
          <w:lang w:val="lt-LT"/>
        </w:rPr>
        <w:t>Paminėtina, kad Tarptautinėse operacijose Afganistane Lietuva dalyvauja nuo 2002 metų. Iki 2004 metų pabaigos Lietuvos kariai dalyvavo Jungtin</w:t>
      </w:r>
      <w:r w:rsidR="008E64CC" w:rsidRPr="0006604A">
        <w:rPr>
          <w:rStyle w:val="apple-style-span"/>
          <w:color w:val="000000"/>
          <w:lang w:val="lt-LT"/>
        </w:rPr>
        <w:t>i</w:t>
      </w:r>
      <w:r w:rsidRPr="0006604A">
        <w:rPr>
          <w:rStyle w:val="apple-style-span"/>
          <w:color w:val="000000"/>
          <w:lang w:val="lt-LT"/>
        </w:rPr>
        <w:t xml:space="preserve">ų Valstijų vadovaujamoje karinėje operacijoje „Tvirta taika“. </w:t>
      </w:r>
    </w:p>
    <w:p w:rsidR="00F234E7" w:rsidRPr="0006604A" w:rsidRDefault="00F234E7" w:rsidP="00113D43">
      <w:pPr>
        <w:spacing w:before="100" w:beforeAutospacing="1" w:after="100" w:afterAutospacing="1"/>
        <w:ind w:firstLine="851"/>
        <w:contextualSpacing/>
        <w:rPr>
          <w:color w:val="000000"/>
          <w:lang w:val="lt-LT"/>
        </w:rPr>
      </w:pPr>
      <w:r w:rsidRPr="0006604A">
        <w:rPr>
          <w:rStyle w:val="apple-style-span"/>
          <w:color w:val="000000"/>
          <w:lang w:val="lt-LT"/>
        </w:rPr>
        <w:t>Nuo 2005 metų Lietuva įsitraukia į aktyvų Afganistano valstybės atkūrimą. Siekdama aktyviai dalyvauti formuojant ir įgyvendinant Jungtinių Tautų ir NATO politinius siekius ir užtikrinant kolektyvi</w:t>
      </w:r>
      <w:r w:rsidR="00282765">
        <w:rPr>
          <w:rStyle w:val="apple-style-span"/>
          <w:color w:val="000000"/>
          <w:lang w:val="lt-LT"/>
        </w:rPr>
        <w:t>nį saugumą, taip pat įgyvendinant</w:t>
      </w:r>
      <w:r w:rsidRPr="0006604A">
        <w:rPr>
          <w:rStyle w:val="apple-style-span"/>
          <w:color w:val="000000"/>
          <w:lang w:val="lt-LT"/>
        </w:rPr>
        <w:t xml:space="preserve"> Jungtinių Tautų Saugumo Tarybos rezoliucijas, kuriose sveikinamos NATO valstybės, įsipareigojusios steigti provincijos atkūrimo grupes Afganistane</w:t>
      </w:r>
      <w:r w:rsidR="00D71727">
        <w:rPr>
          <w:rStyle w:val="apple-style-span"/>
          <w:color w:val="000000"/>
          <w:lang w:val="lt-LT"/>
        </w:rPr>
        <w:t>,</w:t>
      </w:r>
      <w:r w:rsidRPr="0006604A">
        <w:rPr>
          <w:rStyle w:val="FootnoteReference"/>
          <w:rFonts w:eastAsiaTheme="majorEastAsia"/>
          <w:color w:val="000000"/>
          <w:lang w:val="lt-LT"/>
        </w:rPr>
        <w:footnoteReference w:id="147"/>
      </w:r>
      <w:r w:rsidRPr="0006604A">
        <w:rPr>
          <w:rStyle w:val="apple-style-span"/>
          <w:color w:val="000000"/>
          <w:lang w:val="lt-LT"/>
        </w:rPr>
        <w:t xml:space="preserve"> Lietuva </w:t>
      </w:r>
      <w:r w:rsidR="00282765">
        <w:rPr>
          <w:rStyle w:val="apple-style-span"/>
          <w:color w:val="000000"/>
          <w:lang w:val="lt-LT"/>
        </w:rPr>
        <w:t xml:space="preserve"> </w:t>
      </w:r>
      <w:r w:rsidRPr="0006604A">
        <w:rPr>
          <w:rStyle w:val="apple-style-span"/>
          <w:color w:val="000000"/>
          <w:lang w:val="lt-LT"/>
        </w:rPr>
        <w:t>2005 metais pradeda svarstyti apie dalyvavimą vienoje iš provincijų atkūrimo grupių. Po mėnesio Lietuvos Respublikos Vyriausybė savo nutarimu pritaria Lietuvos Respublikos specialiosios misijos dalyvavimui Goro provincijos atkūrimo grupės veikloje.</w:t>
      </w:r>
      <w:r w:rsidRPr="0006604A">
        <w:rPr>
          <w:rStyle w:val="FootnoteReference"/>
          <w:rFonts w:eastAsiaTheme="majorEastAsia"/>
          <w:color w:val="000000"/>
          <w:lang w:val="lt-LT"/>
        </w:rPr>
        <w:footnoteReference w:id="148"/>
      </w:r>
      <w:r w:rsidRPr="0006604A">
        <w:rPr>
          <w:rStyle w:val="apple-style-span"/>
          <w:color w:val="000000"/>
          <w:lang w:val="lt-LT"/>
        </w:rPr>
        <w:t xml:space="preserve"> </w:t>
      </w:r>
      <w:r w:rsidRPr="0006604A">
        <w:rPr>
          <w:lang w:val="lt-LT"/>
        </w:rPr>
        <w:t>Lietuva buvo pirmoji tarp naujųjų NATO narių</w:t>
      </w:r>
      <w:r w:rsidR="00282765">
        <w:rPr>
          <w:lang w:val="lt-LT"/>
        </w:rPr>
        <w:t>,</w:t>
      </w:r>
      <w:r w:rsidRPr="0006604A">
        <w:rPr>
          <w:lang w:val="lt-LT"/>
        </w:rPr>
        <w:t xml:space="preserve"> prisiėmusių vadovauti vienai iš šių grupių.</w:t>
      </w:r>
      <w:r w:rsidRPr="0006604A">
        <w:rPr>
          <w:rStyle w:val="FootnoteReference"/>
          <w:rFonts w:eastAsiaTheme="majorEastAsia"/>
          <w:lang w:val="lt-LT"/>
        </w:rPr>
        <w:footnoteReference w:id="149"/>
      </w:r>
      <w:r w:rsidRPr="0006604A">
        <w:rPr>
          <w:lang w:val="lt-LT"/>
        </w:rPr>
        <w:t xml:space="preserve"> </w:t>
      </w:r>
    </w:p>
    <w:p w:rsidR="00F234E7" w:rsidRPr="0006604A" w:rsidRDefault="00F234E7" w:rsidP="00113D43">
      <w:pPr>
        <w:spacing w:before="100" w:beforeAutospacing="1" w:after="100" w:afterAutospacing="1"/>
        <w:ind w:firstLine="851"/>
        <w:contextualSpacing/>
        <w:rPr>
          <w:lang w:val="lt-LT"/>
        </w:rPr>
      </w:pPr>
      <w:r w:rsidRPr="0006604A">
        <w:rPr>
          <w:rStyle w:val="Strong"/>
          <w:b w:val="0"/>
          <w:lang w:val="lt-LT"/>
        </w:rPr>
        <w:t xml:space="preserve">Pagal Lietuvos karių dalyvavimo tarptautinėse operacijose 2009-2010 metų </w:t>
      </w:r>
      <w:r w:rsidR="0006604A" w:rsidRPr="0006604A">
        <w:rPr>
          <w:rStyle w:val="Strong"/>
          <w:b w:val="0"/>
          <w:lang w:val="lt-LT"/>
        </w:rPr>
        <w:t>perspektyvas</w:t>
      </w:r>
      <w:r w:rsidR="002641F0">
        <w:rPr>
          <w:rStyle w:val="Strong"/>
          <w:b w:val="0"/>
          <w:lang w:val="lt-LT"/>
        </w:rPr>
        <w:t>,</w:t>
      </w:r>
      <w:r w:rsidRPr="0006604A">
        <w:rPr>
          <w:rStyle w:val="Strong"/>
          <w:b w:val="0"/>
          <w:lang w:val="lt-LT"/>
        </w:rPr>
        <w:t xml:space="preserve"> išskiriamas Lietuvos valstybės ypatingas dėmesys NATO vadovaujamai</w:t>
      </w:r>
      <w:r w:rsidRPr="0006604A">
        <w:rPr>
          <w:rStyle w:val="Strong"/>
          <w:lang w:val="lt-LT"/>
        </w:rPr>
        <w:t xml:space="preserve"> </w:t>
      </w:r>
      <w:r w:rsidRPr="0006604A">
        <w:rPr>
          <w:lang w:val="lt-LT"/>
        </w:rPr>
        <w:t>Tarptautinių saugumo paramos pajėgų operacijai Afganistane.</w:t>
      </w:r>
      <w:r w:rsidRPr="0006604A">
        <w:rPr>
          <w:rStyle w:val="FootnoteReference"/>
          <w:rFonts w:eastAsiaTheme="majorEastAsia"/>
          <w:lang w:val="lt-LT"/>
        </w:rPr>
        <w:footnoteReference w:id="150"/>
      </w:r>
      <w:r w:rsidRPr="0006604A">
        <w:rPr>
          <w:lang w:val="lt-LT"/>
        </w:rPr>
        <w:t>Aktyvų Lietuvos įsitraukimą</w:t>
      </w:r>
      <w:r w:rsidR="002641F0">
        <w:rPr>
          <w:lang w:val="lt-LT"/>
        </w:rPr>
        <w:t>,</w:t>
      </w:r>
      <w:r w:rsidRPr="0006604A">
        <w:rPr>
          <w:lang w:val="lt-LT"/>
        </w:rPr>
        <w:t xml:space="preserve"> palaikant tarptautinį saugumą</w:t>
      </w:r>
      <w:r w:rsidR="002641F0">
        <w:rPr>
          <w:lang w:val="lt-LT"/>
        </w:rPr>
        <w:t xml:space="preserve">, </w:t>
      </w:r>
      <w:r w:rsidRPr="0006604A">
        <w:rPr>
          <w:lang w:val="lt-LT"/>
        </w:rPr>
        <w:t xml:space="preserve"> parodo šiuo metu Afganistano valstybėje esantis Lietuvos karių skaičius. Pag</w:t>
      </w:r>
      <w:r w:rsidR="000F296A" w:rsidRPr="0006604A">
        <w:rPr>
          <w:lang w:val="lt-LT"/>
        </w:rPr>
        <w:t>al NATO</w:t>
      </w:r>
      <w:r w:rsidRPr="0006604A">
        <w:rPr>
          <w:lang w:val="lt-LT"/>
        </w:rPr>
        <w:t xml:space="preserve"> </w:t>
      </w:r>
      <w:r w:rsidRPr="0006604A">
        <w:rPr>
          <w:lang w:val="lt-LT"/>
        </w:rPr>
        <w:lastRenderedPageBreak/>
        <w:t>2010 metų lapkričio 15 dienos duomenis</w:t>
      </w:r>
      <w:r w:rsidR="002641F0">
        <w:rPr>
          <w:lang w:val="lt-LT"/>
        </w:rPr>
        <w:t>,</w:t>
      </w:r>
      <w:r w:rsidRPr="0006604A">
        <w:rPr>
          <w:lang w:val="lt-LT"/>
        </w:rPr>
        <w:t xml:space="preserve"> prie Afganistano valstybės saugumo palaikymo prisideda 219 Lietuvos karių.</w:t>
      </w:r>
      <w:r w:rsidRPr="0006604A">
        <w:rPr>
          <w:rStyle w:val="FootnoteReference"/>
          <w:rFonts w:eastAsiaTheme="majorEastAsia"/>
          <w:lang w:val="lt-LT"/>
        </w:rPr>
        <w:footnoteReference w:id="151"/>
      </w:r>
    </w:p>
    <w:p w:rsidR="00F234E7" w:rsidRPr="0006604A" w:rsidRDefault="00F234E7" w:rsidP="00113D43">
      <w:pPr>
        <w:ind w:firstLine="851"/>
        <w:contextualSpacing/>
        <w:rPr>
          <w:lang w:val="lt-LT"/>
        </w:rPr>
      </w:pPr>
      <w:r w:rsidRPr="0006604A">
        <w:rPr>
          <w:lang w:val="lt-LT"/>
        </w:rPr>
        <w:t>Paminėtina, kad viena iš sv</w:t>
      </w:r>
      <w:r w:rsidR="00511509" w:rsidRPr="0006604A">
        <w:rPr>
          <w:lang w:val="lt-LT"/>
        </w:rPr>
        <w:t>arbiausių tarptautinės bendruome</w:t>
      </w:r>
      <w:r w:rsidRPr="0006604A">
        <w:rPr>
          <w:lang w:val="lt-LT"/>
        </w:rPr>
        <w:t>nės užduočių Afganistane yra nacionalinių saugumo pajėgų parengimas. Todėl Lietuva taip pat dalyvauja šių pajėgų mokymo ir rengimo procese, pagal galimybes skiria techninę paramą ir ekspertus, stiprina Goro provincijos saugumo pajėgų institucijas, didina jų veiklos efektyvumą.</w:t>
      </w:r>
      <w:r w:rsidRPr="0006604A">
        <w:rPr>
          <w:rStyle w:val="FootnoteReference"/>
          <w:rFonts w:eastAsiaTheme="majorEastAsia"/>
          <w:lang w:val="lt-LT"/>
        </w:rPr>
        <w:footnoteReference w:id="152"/>
      </w:r>
    </w:p>
    <w:p w:rsidR="00F234E7" w:rsidRPr="0006604A" w:rsidRDefault="00F234E7" w:rsidP="00113D43">
      <w:pPr>
        <w:spacing w:before="100" w:beforeAutospacing="1" w:after="100" w:afterAutospacing="1"/>
        <w:ind w:firstLine="851"/>
        <w:contextualSpacing/>
        <w:rPr>
          <w:lang w:val="lt-LT"/>
        </w:rPr>
      </w:pPr>
      <w:r w:rsidRPr="0006604A">
        <w:rPr>
          <w:lang w:val="lt-LT"/>
        </w:rPr>
        <w:t>Lietuva apsiėmė vadovauti provincijos atkūrimo grupei su sąlyga, kad sąjungininkai savo ištekliais prisidės prie provincijos atkūrimo grupės tikslų, ypač civilinių, įgyvendinimo. Lietuvos vadovaujamoje provincijos atkūrimo grupėje tarnauja Lietuvos, Kroatijos, Danijos, Gruzijos, JAV ir Ukrainos kariai, dirba Lietuvos, JAV ir Japonijos civiliai, Europos Sąjungos vadovaujamos policijos misijos atstovai.</w:t>
      </w:r>
      <w:r w:rsidRPr="0006604A">
        <w:rPr>
          <w:rStyle w:val="FootnoteReference"/>
          <w:rFonts w:eastAsiaTheme="majorEastAsia"/>
          <w:lang w:val="lt-LT"/>
        </w:rPr>
        <w:footnoteReference w:id="153"/>
      </w:r>
      <w:r w:rsidRPr="0006604A">
        <w:rPr>
          <w:lang w:val="lt-LT"/>
        </w:rPr>
        <w:t xml:space="preserve"> Taigi</w:t>
      </w:r>
      <w:r w:rsidR="00146BA7">
        <w:rPr>
          <w:lang w:val="lt-LT"/>
        </w:rPr>
        <w:t>,</w:t>
      </w:r>
      <w:r w:rsidRPr="0006604A">
        <w:rPr>
          <w:lang w:val="lt-LT"/>
        </w:rPr>
        <w:t xml:space="preserve"> Lietuvos vadovavimas Goro provincijoje apima ne </w:t>
      </w:r>
      <w:r w:rsidR="004B4642" w:rsidRPr="0006604A">
        <w:rPr>
          <w:lang w:val="lt-LT"/>
        </w:rPr>
        <w:t xml:space="preserve">tik karinius, bet ir civilinius veiksmus. </w:t>
      </w:r>
      <w:r w:rsidRPr="0006604A">
        <w:rPr>
          <w:lang w:val="lt-LT"/>
        </w:rPr>
        <w:t>Civilinė veikla Afganistane apima diplomatinio, politinio, vystomojo bendradarbiavimo priemones.</w:t>
      </w:r>
    </w:p>
    <w:p w:rsidR="00F234E7" w:rsidRPr="0006604A" w:rsidRDefault="00F234E7" w:rsidP="00113D43">
      <w:pPr>
        <w:spacing w:before="100" w:beforeAutospacing="1" w:after="100" w:afterAutospacing="1"/>
        <w:ind w:firstLine="851"/>
        <w:contextualSpacing/>
        <w:rPr>
          <w:rStyle w:val="Strong"/>
          <w:b w:val="0"/>
          <w:lang w:val="lt-LT"/>
        </w:rPr>
      </w:pPr>
      <w:r w:rsidRPr="0006604A">
        <w:rPr>
          <w:rStyle w:val="Strong"/>
          <w:b w:val="0"/>
          <w:lang w:val="lt-LT"/>
        </w:rPr>
        <w:t xml:space="preserve">Paminėtina, kad Goro provincijoje Lietuvos vystomojo bendradarbiavimo programa įgyvendina Afganistano susitarime įtvirtintas tris pagrindines sritis: </w:t>
      </w:r>
    </w:p>
    <w:p w:rsidR="00F234E7" w:rsidRPr="0006604A" w:rsidRDefault="00F75C3D" w:rsidP="00113D43">
      <w:pPr>
        <w:pStyle w:val="ListParagraph"/>
        <w:numPr>
          <w:ilvl w:val="0"/>
          <w:numId w:val="13"/>
        </w:numPr>
        <w:spacing w:before="100" w:beforeAutospacing="1" w:after="100" w:afterAutospacing="1"/>
        <w:ind w:left="1560" w:hanging="426"/>
        <w:contextualSpacing/>
        <w:rPr>
          <w:rStyle w:val="Strong"/>
          <w:b w:val="0"/>
          <w:lang w:val="lt-LT"/>
        </w:rPr>
      </w:pPr>
      <w:r>
        <w:rPr>
          <w:rStyle w:val="Strong"/>
          <w:b w:val="0"/>
          <w:lang w:val="lt-LT"/>
        </w:rPr>
        <w:t>saugumą</w:t>
      </w:r>
      <w:r w:rsidR="00F234E7" w:rsidRPr="0006604A">
        <w:rPr>
          <w:rStyle w:val="Strong"/>
          <w:b w:val="0"/>
          <w:lang w:val="lt-LT"/>
        </w:rPr>
        <w:t>;</w:t>
      </w:r>
    </w:p>
    <w:p w:rsidR="00F234E7" w:rsidRPr="0006604A" w:rsidRDefault="00BB6745" w:rsidP="00113D43">
      <w:pPr>
        <w:pStyle w:val="ListParagraph"/>
        <w:numPr>
          <w:ilvl w:val="0"/>
          <w:numId w:val="13"/>
        </w:numPr>
        <w:spacing w:before="100" w:beforeAutospacing="1" w:after="100" w:afterAutospacing="1"/>
        <w:ind w:left="1560" w:hanging="426"/>
        <w:contextualSpacing/>
        <w:rPr>
          <w:rStyle w:val="Strong"/>
          <w:b w:val="0"/>
          <w:lang w:val="lt-LT"/>
        </w:rPr>
      </w:pPr>
      <w:r>
        <w:rPr>
          <w:rStyle w:val="Strong"/>
          <w:b w:val="0"/>
          <w:lang w:val="lt-LT"/>
        </w:rPr>
        <w:t>valstybės valdymą, teisėtumą ir žmogaus teise</w:t>
      </w:r>
      <w:r w:rsidR="00F234E7" w:rsidRPr="0006604A">
        <w:rPr>
          <w:rStyle w:val="Strong"/>
          <w:b w:val="0"/>
          <w:lang w:val="lt-LT"/>
        </w:rPr>
        <w:t>s;</w:t>
      </w:r>
    </w:p>
    <w:p w:rsidR="00F234E7" w:rsidRPr="0006604A" w:rsidRDefault="00BB6745" w:rsidP="00113D43">
      <w:pPr>
        <w:pStyle w:val="ListParagraph"/>
        <w:numPr>
          <w:ilvl w:val="0"/>
          <w:numId w:val="13"/>
        </w:numPr>
        <w:spacing w:before="100" w:beforeAutospacing="1" w:after="100" w:afterAutospacing="1"/>
        <w:ind w:left="1560" w:hanging="426"/>
        <w:contextualSpacing/>
        <w:rPr>
          <w:rStyle w:val="Strong"/>
          <w:b w:val="0"/>
          <w:lang w:val="lt-LT"/>
        </w:rPr>
      </w:pPr>
      <w:r>
        <w:rPr>
          <w:rStyle w:val="Strong"/>
          <w:b w:val="0"/>
          <w:lang w:val="lt-LT"/>
        </w:rPr>
        <w:t>ekonominį ir socialinį vystymąsi.</w:t>
      </w:r>
    </w:p>
    <w:p w:rsidR="00F234E7" w:rsidRDefault="00F234E7" w:rsidP="00113D43">
      <w:pPr>
        <w:spacing w:before="100" w:beforeAutospacing="1" w:after="100" w:afterAutospacing="1"/>
        <w:ind w:firstLine="851"/>
        <w:contextualSpacing/>
        <w:rPr>
          <w:rStyle w:val="Strong"/>
          <w:b w:val="0"/>
          <w:lang w:val="lt-LT"/>
        </w:rPr>
      </w:pPr>
      <w:r w:rsidRPr="0006604A">
        <w:rPr>
          <w:rStyle w:val="Strong"/>
          <w:b w:val="0"/>
          <w:lang w:val="lt-LT"/>
        </w:rPr>
        <w:t xml:space="preserve"> Įsipareigojimų pagal Afgan</w:t>
      </w:r>
      <w:r w:rsidR="00D842B7">
        <w:rPr>
          <w:rStyle w:val="Strong"/>
          <w:b w:val="0"/>
          <w:lang w:val="lt-LT"/>
        </w:rPr>
        <w:t>istano susitarimą įgyvendinimui</w:t>
      </w:r>
      <w:r w:rsidRPr="0006604A">
        <w:rPr>
          <w:rStyle w:val="Strong"/>
          <w:b w:val="0"/>
          <w:lang w:val="lt-LT"/>
        </w:rPr>
        <w:t xml:space="preserve"> buvo sukurta Afganistano Nacionalinio </w:t>
      </w:r>
      <w:r w:rsidR="0006604A" w:rsidRPr="0006604A">
        <w:rPr>
          <w:rStyle w:val="Strong"/>
          <w:b w:val="0"/>
          <w:lang w:val="lt-LT"/>
        </w:rPr>
        <w:t>Vystymosi</w:t>
      </w:r>
      <w:r w:rsidRPr="0006604A">
        <w:rPr>
          <w:rStyle w:val="Strong"/>
          <w:b w:val="0"/>
          <w:lang w:val="lt-LT"/>
        </w:rPr>
        <w:t xml:space="preserve"> Strategija, kurioje apibūdinama reali šalies situacija, iškeliami tikslai, pateikiamos programos ir projektai, reikalingi tų tikslų pasiekimui.</w:t>
      </w:r>
      <w:r w:rsidRPr="0006604A">
        <w:rPr>
          <w:rStyle w:val="FootnoteReference"/>
          <w:rFonts w:eastAsiaTheme="majorEastAsia"/>
          <w:lang w:val="lt-LT"/>
        </w:rPr>
        <w:footnoteReference w:id="154"/>
      </w:r>
      <w:r w:rsidRPr="0006604A">
        <w:rPr>
          <w:rStyle w:val="Strong"/>
          <w:b w:val="0"/>
          <w:lang w:val="lt-LT"/>
        </w:rPr>
        <w:t xml:space="preserve"> Todėl tiek Afganistano Susitarimas, tiek Afganistano Nacionalinio </w:t>
      </w:r>
      <w:r w:rsidR="0006604A" w:rsidRPr="0006604A">
        <w:rPr>
          <w:rStyle w:val="Strong"/>
          <w:b w:val="0"/>
          <w:lang w:val="lt-LT"/>
        </w:rPr>
        <w:t>Vystymosi</w:t>
      </w:r>
      <w:r w:rsidRPr="0006604A">
        <w:rPr>
          <w:rStyle w:val="Strong"/>
          <w:b w:val="0"/>
          <w:lang w:val="lt-LT"/>
        </w:rPr>
        <w:t xml:space="preserve"> Strategija tampa svarbiais Afganistano valstybės atkūrimo ir bendradarbiavimo mechanizmais, naudojamais Lietuvos ir kitų tarptautinės bendruomenės narių.</w:t>
      </w:r>
    </w:p>
    <w:p w:rsidR="00647319" w:rsidRPr="006D5F99" w:rsidRDefault="00647319" w:rsidP="00647319">
      <w:pPr>
        <w:spacing w:before="100" w:beforeAutospacing="1" w:after="100" w:afterAutospacing="1"/>
        <w:ind w:right="-99" w:firstLine="851"/>
        <w:contextualSpacing/>
        <w:rPr>
          <w:rStyle w:val="Strong"/>
          <w:b w:val="0"/>
          <w:lang w:val="lt-LT"/>
        </w:rPr>
      </w:pPr>
      <w:r w:rsidRPr="006D5F99">
        <w:rPr>
          <w:rStyle w:val="Strong"/>
          <w:b w:val="0"/>
          <w:lang w:val="lt-LT"/>
        </w:rPr>
        <w:t>Aptarus Lietuvos aktyvų  įsitraukimą į taikos įtvirtinimo misiją Afganistane, analizuotinos praktinės misijos įgyvendinimo problemos.</w:t>
      </w:r>
    </w:p>
    <w:p w:rsidR="00647319" w:rsidRPr="00647319" w:rsidRDefault="00647319" w:rsidP="00647319">
      <w:pPr>
        <w:spacing w:before="100" w:beforeAutospacing="1" w:after="100" w:afterAutospacing="1"/>
        <w:ind w:right="-99" w:firstLine="851"/>
        <w:contextualSpacing/>
        <w:rPr>
          <w:rStyle w:val="Strong"/>
          <w:bCs w:val="0"/>
        </w:rPr>
      </w:pPr>
      <w:proofErr w:type="gramStart"/>
      <w:r>
        <w:rPr>
          <w:rStyle w:val="Strong"/>
          <w:b w:val="0"/>
        </w:rPr>
        <w:lastRenderedPageBreak/>
        <w:t xml:space="preserve">Visų pirma, </w:t>
      </w:r>
      <w:r w:rsidRPr="00647319">
        <w:rPr>
          <w:rStyle w:val="Strong"/>
          <w:b w:val="0"/>
        </w:rPr>
        <w:t xml:space="preserve">minime vieną iš aktualiausių problemų </w:t>
      </w:r>
      <w:r w:rsidRPr="00647319">
        <w:t>– gynybos srities nepakankamą finansavimą.</w:t>
      </w:r>
      <w:proofErr w:type="gramEnd"/>
    </w:p>
    <w:p w:rsidR="00B04CBB" w:rsidRPr="0006604A" w:rsidRDefault="00B04CBB" w:rsidP="00113D43">
      <w:pPr>
        <w:spacing w:before="100" w:beforeAutospacing="1" w:after="100" w:afterAutospacing="1"/>
        <w:ind w:firstLine="851"/>
        <w:contextualSpacing/>
        <w:rPr>
          <w:lang w:val="lt-LT"/>
        </w:rPr>
      </w:pPr>
      <w:r w:rsidRPr="0006604A">
        <w:rPr>
          <w:lang w:val="lt-LT"/>
        </w:rPr>
        <w:t xml:space="preserve">Paminėtina, kad Krašto apsaugos ministerija savo veiklą vykdo įgyvendinant tam tikras programas, kaip pavyzdžiui, “Specialiųjų operacijų pajėgos”, kurios tikslas parengti profesionalias, modernias, gerai ginkluotas, gebančias operatyviai ir adekvačiai reaguoti į teroristines grėsmes karines pajėgas. Pažymėtina, kad </w:t>
      </w:r>
      <w:r w:rsidRPr="0006604A">
        <w:rPr>
          <w:bCs/>
          <w:lang w:val="lt-LT"/>
        </w:rPr>
        <w:t>dėl nepakankamo finansavimo 2009 metais buvo dalyvauta ne visuose planuotuose tarptautiniuose mokymuose ir praktiškai nebuvo vykdomi naujos įrangos įsigijimai.</w:t>
      </w:r>
      <w:r w:rsidRPr="0006604A">
        <w:rPr>
          <w:rStyle w:val="FootnoteReference"/>
          <w:rFonts w:eastAsiaTheme="majorEastAsia"/>
          <w:bCs/>
          <w:lang w:val="lt-LT"/>
        </w:rPr>
        <w:footnoteReference w:id="155"/>
      </w:r>
      <w:r w:rsidRPr="0006604A">
        <w:rPr>
          <w:bCs/>
          <w:lang w:val="lt-LT"/>
        </w:rPr>
        <w:t xml:space="preserve"> Mokymų ir įrangos trūkumas susilpnina specialiųjų operacijų pajėgų efektyvumą ir taip pilnai neįgyvendinamas Kra</w:t>
      </w:r>
      <w:r w:rsidR="00DA0F12" w:rsidRPr="0006604A">
        <w:rPr>
          <w:bCs/>
          <w:lang w:val="lt-LT"/>
        </w:rPr>
        <w:t>što apsaugos ministerijos tiksla</w:t>
      </w:r>
      <w:r w:rsidR="00A351AF">
        <w:rPr>
          <w:bCs/>
          <w:lang w:val="lt-LT"/>
        </w:rPr>
        <w:t>s</w:t>
      </w:r>
      <w:r w:rsidR="00541100">
        <w:rPr>
          <w:bCs/>
          <w:lang w:val="lt-LT"/>
        </w:rPr>
        <w:t xml:space="preserve"> </w:t>
      </w:r>
      <w:r w:rsidR="00A351AF">
        <w:rPr>
          <w:bCs/>
          <w:lang w:val="lt-LT"/>
        </w:rPr>
        <w:t xml:space="preserve"> ‒ </w:t>
      </w:r>
      <w:r w:rsidRPr="0006604A">
        <w:rPr>
          <w:bCs/>
          <w:lang w:val="lt-LT"/>
        </w:rPr>
        <w:t>parengti profesionalias pajėgas, įeinančias į NATO pajėgų sudėtį.</w:t>
      </w:r>
    </w:p>
    <w:p w:rsidR="00F234E7" w:rsidRPr="0006604A" w:rsidRDefault="00F234E7" w:rsidP="00113D43">
      <w:pPr>
        <w:spacing w:before="100" w:beforeAutospacing="1" w:after="100" w:afterAutospacing="1"/>
        <w:ind w:firstLine="851"/>
        <w:contextualSpacing/>
        <w:rPr>
          <w:bCs/>
          <w:lang w:val="lt-LT"/>
        </w:rPr>
      </w:pPr>
      <w:r w:rsidRPr="0006604A">
        <w:rPr>
          <w:lang w:val="lt-LT"/>
        </w:rPr>
        <w:t>Paminėtina, kad kas dvejus metus iš NATO gaunamas Lietuvos Respublikos politinis, karinis, pasirengimo dalyvauti bei dalyvavimo tarptautinėse operacijose bei kitų įs</w:t>
      </w:r>
      <w:r w:rsidR="00F17337">
        <w:rPr>
          <w:lang w:val="lt-LT"/>
        </w:rPr>
        <w:t>ipareigojimų vertinimas. 2009 metais</w:t>
      </w:r>
      <w:r w:rsidRPr="0006604A">
        <w:rPr>
          <w:lang w:val="lt-LT"/>
        </w:rPr>
        <w:t xml:space="preserve"> gautas oficialus įsipareigojimų įvykdymo vertinimas prilyginamas „vidutiniškai“, taip pat</w:t>
      </w:r>
      <w:r w:rsidRPr="0006604A">
        <w:rPr>
          <w:bCs/>
          <w:lang w:val="lt-LT"/>
        </w:rPr>
        <w:t xml:space="preserve"> buvo atkreipiamas dėmesys į nepakankamą Krašto apsaugos sistemos finansavimą ir būtinybę jį didinti, taip pat būtinybę sparčiau modernizuoti Lietuvos kariuomenę, ypatingą dėmesį skiriant pajėgumų perdislokavimo, išsilaikymo, taip pat išgyvenimo galimybėms ir sąveikai su kitų šalių kariniais vienetais.</w:t>
      </w:r>
      <w:r w:rsidRPr="0006604A">
        <w:rPr>
          <w:rStyle w:val="FootnoteReference"/>
          <w:rFonts w:eastAsiaTheme="majorEastAsia"/>
          <w:lang w:val="lt-LT"/>
        </w:rPr>
        <w:footnoteReference w:id="156"/>
      </w:r>
      <w:r w:rsidRPr="0006604A">
        <w:rPr>
          <w:lang w:val="lt-LT"/>
        </w:rPr>
        <w:t xml:space="preserve"> </w:t>
      </w:r>
    </w:p>
    <w:p w:rsidR="00F234E7" w:rsidRPr="0006604A" w:rsidRDefault="00F234E7" w:rsidP="00113D43">
      <w:pPr>
        <w:spacing w:before="100" w:beforeAutospacing="1" w:after="100" w:afterAutospacing="1"/>
        <w:ind w:firstLine="851"/>
        <w:contextualSpacing/>
        <w:rPr>
          <w:lang w:val="lt-LT"/>
        </w:rPr>
      </w:pPr>
      <w:r w:rsidRPr="0006604A">
        <w:rPr>
          <w:lang w:val="lt-LT"/>
        </w:rPr>
        <w:t>Paminėtina, kad Lietuvos parlamentinės partijos, pasirašydamos sus</w:t>
      </w:r>
      <w:r w:rsidR="00FD2337" w:rsidRPr="0006604A">
        <w:rPr>
          <w:lang w:val="lt-LT"/>
        </w:rPr>
        <w:t>itarimą dėl 2005-2008 metų gynybos politikos</w:t>
      </w:r>
      <w:r w:rsidRPr="0006604A">
        <w:rPr>
          <w:lang w:val="lt-LT"/>
        </w:rPr>
        <w:t>, patvirtino savo si</w:t>
      </w:r>
      <w:r w:rsidR="0064684D" w:rsidRPr="0006604A">
        <w:rPr>
          <w:lang w:val="lt-LT"/>
        </w:rPr>
        <w:t>ekį užtikrinti užsienio ir saugumo politikos</w:t>
      </w:r>
      <w:r w:rsidR="003C427D" w:rsidRPr="0006604A">
        <w:rPr>
          <w:lang w:val="lt-LT"/>
        </w:rPr>
        <w:t xml:space="preserve"> </w:t>
      </w:r>
      <w:r w:rsidRPr="0006604A">
        <w:rPr>
          <w:lang w:val="lt-LT"/>
        </w:rPr>
        <w:t>tęstinumą, vykdyti įsipareigojimus Šiaurės Atlanto aljansui ir palaipsniui pasiekti, kad išlaidos krašto apsaugai sudarytų ne mažiau kaip 2 procentus šalies BVP.</w:t>
      </w:r>
      <w:r w:rsidRPr="0006604A">
        <w:rPr>
          <w:rStyle w:val="FootnoteReference"/>
          <w:rFonts w:eastAsiaTheme="majorEastAsia"/>
          <w:lang w:val="lt-LT"/>
        </w:rPr>
        <w:footnoteReference w:id="157"/>
      </w:r>
      <w:r w:rsidRPr="0006604A">
        <w:rPr>
          <w:lang w:val="lt-LT"/>
        </w:rPr>
        <w:t xml:space="preserve"> Tačiau praktikoje rezultatai ženkliai skiriasi. Jeigu lygintume 2009 metų NATO valstybių gynybos išlaidas, tai Lietuvos valstybės asignavimai šiai sričiai buvo vieni mažiausių: 2009 me</w:t>
      </w:r>
      <w:r w:rsidR="003C427D" w:rsidRPr="0006604A">
        <w:rPr>
          <w:lang w:val="lt-LT"/>
        </w:rPr>
        <w:t>tams buvo skirta 1,08 proc</w:t>
      </w:r>
      <w:r w:rsidR="00653FE4" w:rsidRPr="0006604A">
        <w:rPr>
          <w:lang w:val="lt-LT"/>
        </w:rPr>
        <w:t>ento</w:t>
      </w:r>
      <w:r w:rsidR="003C427D" w:rsidRPr="0006604A">
        <w:rPr>
          <w:lang w:val="lt-LT"/>
        </w:rPr>
        <w:t xml:space="preserve"> BVP,</w:t>
      </w:r>
      <w:r w:rsidRPr="0006604A">
        <w:rPr>
          <w:lang w:val="lt-LT"/>
        </w:rPr>
        <w:t xml:space="preserve"> tuo tarpu kitose B</w:t>
      </w:r>
      <w:r w:rsidR="00F17337">
        <w:rPr>
          <w:lang w:val="lt-LT"/>
        </w:rPr>
        <w:t xml:space="preserve">altijos valstybėse: Latvijoje ‒ </w:t>
      </w:r>
      <w:r w:rsidRPr="0006604A">
        <w:rPr>
          <w:lang w:val="lt-LT"/>
        </w:rPr>
        <w:t>1,2 proc</w:t>
      </w:r>
      <w:r w:rsidR="00653FE4" w:rsidRPr="0006604A">
        <w:rPr>
          <w:lang w:val="lt-LT"/>
        </w:rPr>
        <w:t>.</w:t>
      </w:r>
      <w:r w:rsidR="003E3FFB" w:rsidRPr="0006604A">
        <w:rPr>
          <w:lang w:val="lt-LT"/>
        </w:rPr>
        <w:t>,</w:t>
      </w:r>
      <w:r w:rsidR="00F17337">
        <w:rPr>
          <w:lang w:val="lt-LT"/>
        </w:rPr>
        <w:t xml:space="preserve"> Estijoje ‒ </w:t>
      </w:r>
      <w:r w:rsidR="00653FE4" w:rsidRPr="0006604A">
        <w:rPr>
          <w:lang w:val="lt-LT"/>
        </w:rPr>
        <w:t>1,9 proc</w:t>
      </w:r>
      <w:r w:rsidRPr="0006604A">
        <w:rPr>
          <w:lang w:val="lt-LT"/>
        </w:rPr>
        <w:t>.</w:t>
      </w:r>
      <w:r w:rsidRPr="0006604A">
        <w:rPr>
          <w:rStyle w:val="FootnoteReference"/>
          <w:rFonts w:eastAsiaTheme="majorEastAsia"/>
          <w:lang w:val="lt-LT"/>
        </w:rPr>
        <w:footnoteReference w:id="158"/>
      </w:r>
      <w:r w:rsidRPr="0006604A">
        <w:rPr>
          <w:lang w:val="lt-LT"/>
        </w:rPr>
        <w:t xml:space="preserve"> Turint omenyje, jog Lietuva</w:t>
      </w:r>
      <w:r w:rsidR="00087D51">
        <w:rPr>
          <w:lang w:val="lt-LT"/>
        </w:rPr>
        <w:t>,</w:t>
      </w:r>
      <w:r w:rsidRPr="0006604A">
        <w:rPr>
          <w:lang w:val="lt-LT"/>
        </w:rPr>
        <w:t xml:space="preserve"> skirtingai nei Latvija ir Estija, vadov</w:t>
      </w:r>
      <w:r w:rsidR="003C427D" w:rsidRPr="0006604A">
        <w:rPr>
          <w:lang w:val="lt-LT"/>
        </w:rPr>
        <w:t>auja vienai iš provincijų grupių,</w:t>
      </w:r>
      <w:r w:rsidRPr="0006604A">
        <w:rPr>
          <w:lang w:val="lt-LT"/>
        </w:rPr>
        <w:t xml:space="preserve"> jos įsipareigojimai reikalauja didesnio skiriamų lėšų dydžio. Krašto apsaugos ministerijai 2010 m</w:t>
      </w:r>
      <w:r w:rsidR="00FB3B37" w:rsidRPr="0006604A">
        <w:rPr>
          <w:lang w:val="lt-LT"/>
        </w:rPr>
        <w:t xml:space="preserve">etais </w:t>
      </w:r>
      <w:r w:rsidR="001C4414">
        <w:rPr>
          <w:lang w:val="lt-LT"/>
        </w:rPr>
        <w:t xml:space="preserve"> patvirtinti asignavimai,</w:t>
      </w:r>
      <w:r w:rsidRPr="0006604A">
        <w:rPr>
          <w:lang w:val="lt-LT"/>
        </w:rPr>
        <w:t xml:space="preserve"> palygi</w:t>
      </w:r>
      <w:r w:rsidR="00FB3B37" w:rsidRPr="0006604A">
        <w:rPr>
          <w:lang w:val="lt-LT"/>
        </w:rPr>
        <w:t>nti su 2009 metais</w:t>
      </w:r>
      <w:r w:rsidR="0081759D" w:rsidRPr="0006604A">
        <w:rPr>
          <w:lang w:val="lt-LT"/>
        </w:rPr>
        <w:t>, sumažėjo 143,7 mln. litų</w:t>
      </w:r>
      <w:r w:rsidRPr="0006604A">
        <w:rPr>
          <w:lang w:val="lt-LT"/>
        </w:rPr>
        <w:t xml:space="preserve"> arba 14,5 procentais.</w:t>
      </w:r>
      <w:r w:rsidRPr="0006604A">
        <w:rPr>
          <w:rStyle w:val="FootnoteReference"/>
          <w:rFonts w:eastAsiaTheme="majorEastAsia"/>
          <w:lang w:val="lt-LT"/>
        </w:rPr>
        <w:footnoteReference w:id="159"/>
      </w:r>
      <w:r w:rsidRPr="0006604A">
        <w:rPr>
          <w:lang w:val="lt-LT"/>
        </w:rPr>
        <w:t xml:space="preserve"> 2010 metais skiriamos lėšos nesiekia net 1 procento BVP ir sudaro 0,89 procento.  Tarp sričių, kuriose daugiausia buvo </w:t>
      </w:r>
      <w:r w:rsidRPr="0006604A">
        <w:rPr>
          <w:lang w:val="lt-LT"/>
        </w:rPr>
        <w:lastRenderedPageBreak/>
        <w:t>sumažinta asignavimų</w:t>
      </w:r>
      <w:r w:rsidR="00355E96">
        <w:rPr>
          <w:lang w:val="lt-LT"/>
        </w:rPr>
        <w:t xml:space="preserve">, </w:t>
      </w:r>
      <w:r w:rsidRPr="0006604A">
        <w:rPr>
          <w:lang w:val="lt-LT"/>
        </w:rPr>
        <w:t xml:space="preserve"> įeina kovinis krašto apsaugos sistemos rengimas, kuris yra būtinas norint išlaikyti efektyvų Lietuvos valstybės įsipareigojimų vykdymą taikos operacijose. </w:t>
      </w:r>
    </w:p>
    <w:p w:rsidR="00F234E7" w:rsidRDefault="00F234E7" w:rsidP="00113D43">
      <w:pPr>
        <w:spacing w:before="100" w:beforeAutospacing="1" w:after="100" w:afterAutospacing="1"/>
        <w:ind w:firstLine="851"/>
        <w:contextualSpacing/>
        <w:rPr>
          <w:lang w:val="lt-LT"/>
        </w:rPr>
      </w:pPr>
      <w:r w:rsidRPr="0006604A">
        <w:rPr>
          <w:lang w:val="lt-LT"/>
        </w:rPr>
        <w:t>Pagal Lietuvos Respublikos 2011 metų valstybės biudžeto ir savivaldybių biudžetų finansinių rodikli</w:t>
      </w:r>
      <w:r w:rsidR="009758B6">
        <w:rPr>
          <w:lang w:val="lt-LT"/>
        </w:rPr>
        <w:t>ų patvirtinimo įstatymą</w:t>
      </w:r>
      <w:r w:rsidR="00355E96">
        <w:rPr>
          <w:lang w:val="lt-LT"/>
        </w:rPr>
        <w:t>,</w:t>
      </w:r>
      <w:r w:rsidR="009758B6">
        <w:rPr>
          <w:lang w:val="lt-LT"/>
        </w:rPr>
        <w:t xml:space="preserve"> </w:t>
      </w:r>
      <w:r w:rsidRPr="0006604A">
        <w:rPr>
          <w:lang w:val="lt-LT"/>
        </w:rPr>
        <w:t xml:space="preserve"> Krašto apsaugos ministerijai priskirta 871 mln. litų, t.y. 20 mln. litų daugiau nei 2010 metais. Tačiau, jeigu lygintume su 2009 met</w:t>
      </w:r>
      <w:r w:rsidR="00C96EE6" w:rsidRPr="0006604A">
        <w:rPr>
          <w:lang w:val="lt-LT"/>
        </w:rPr>
        <w:t>ais, Krašto apsaugos ministerijos</w:t>
      </w:r>
      <w:r w:rsidR="00987ADB" w:rsidRPr="0006604A">
        <w:rPr>
          <w:lang w:val="lt-LT"/>
        </w:rPr>
        <w:t xml:space="preserve"> asignavimai bus 123 mln. </w:t>
      </w:r>
      <w:r w:rsidR="00FB691D" w:rsidRPr="0006604A">
        <w:rPr>
          <w:lang w:val="lt-LT"/>
        </w:rPr>
        <w:t>litų</w:t>
      </w:r>
      <w:r w:rsidRPr="0006604A">
        <w:rPr>
          <w:lang w:val="lt-LT"/>
        </w:rPr>
        <w:t xml:space="preserve"> mažesni. Matome,</w:t>
      </w:r>
      <w:r w:rsidR="00C21C1D" w:rsidRPr="0006604A">
        <w:rPr>
          <w:lang w:val="lt-LT"/>
        </w:rPr>
        <w:t xml:space="preserve"> </w:t>
      </w:r>
      <w:r w:rsidR="00987ADB" w:rsidRPr="0006604A">
        <w:rPr>
          <w:lang w:val="lt-LT"/>
        </w:rPr>
        <w:t>kad šalia intensyvaus Lietuvos valstybės įsitraukim</w:t>
      </w:r>
      <w:r w:rsidR="00AB03E0" w:rsidRPr="0006604A">
        <w:rPr>
          <w:lang w:val="lt-LT"/>
        </w:rPr>
        <w:t>o Afganistano valstybės atstatyme</w:t>
      </w:r>
      <w:r w:rsidR="00987ADB" w:rsidRPr="0006604A">
        <w:rPr>
          <w:lang w:val="lt-LT"/>
        </w:rPr>
        <w:t xml:space="preserve">, </w:t>
      </w:r>
      <w:r w:rsidRPr="0006604A">
        <w:rPr>
          <w:lang w:val="lt-LT"/>
        </w:rPr>
        <w:t>esminių pa</w:t>
      </w:r>
      <w:r w:rsidR="00C21C1D" w:rsidRPr="0006604A">
        <w:rPr>
          <w:lang w:val="lt-LT"/>
        </w:rPr>
        <w:t>si</w:t>
      </w:r>
      <w:r w:rsidRPr="0006604A">
        <w:rPr>
          <w:lang w:val="lt-LT"/>
        </w:rPr>
        <w:t>keitimų gynybos srities finansavime nėra.</w:t>
      </w:r>
    </w:p>
    <w:p w:rsidR="009035A6" w:rsidRPr="006D5F99" w:rsidRDefault="009035A6" w:rsidP="009035A6">
      <w:pPr>
        <w:spacing w:before="100" w:beforeAutospacing="1" w:after="100" w:afterAutospacing="1"/>
        <w:ind w:firstLine="851"/>
        <w:contextualSpacing/>
        <w:rPr>
          <w:lang w:val="lt-LT"/>
        </w:rPr>
      </w:pPr>
      <w:r w:rsidRPr="006D5F99">
        <w:rPr>
          <w:lang w:val="lt-LT"/>
        </w:rPr>
        <w:t xml:space="preserve">Pagal Vienos konvencijos dėl </w:t>
      </w:r>
      <w:r w:rsidR="00647319" w:rsidRPr="006D5F99">
        <w:rPr>
          <w:lang w:val="lt-LT"/>
        </w:rPr>
        <w:t xml:space="preserve">Tarptautinių </w:t>
      </w:r>
      <w:r w:rsidRPr="006D5F99">
        <w:rPr>
          <w:lang w:val="lt-LT"/>
        </w:rPr>
        <w:t xml:space="preserve">sutarčių teisės 27 straipsnį, šalis negali pasitelkti savo vidaus teisės nuostatų, kad pasiteisintų </w:t>
      </w:r>
      <w:r w:rsidR="00D66BAC" w:rsidRPr="006D5F99">
        <w:rPr>
          <w:lang w:val="lt-LT"/>
        </w:rPr>
        <w:t xml:space="preserve"> </w:t>
      </w:r>
      <w:r w:rsidRPr="006D5F99">
        <w:rPr>
          <w:lang w:val="lt-LT"/>
        </w:rPr>
        <w:t>dėl sutarties nesilaikymo.</w:t>
      </w:r>
      <w:r w:rsidR="00647319">
        <w:rPr>
          <w:rStyle w:val="FootnoteReference"/>
        </w:rPr>
        <w:footnoteReference w:id="160"/>
      </w:r>
      <w:r w:rsidRPr="006D5F99">
        <w:rPr>
          <w:lang w:val="lt-LT"/>
        </w:rPr>
        <w:t xml:space="preserve"> Todėl Lietuvos valstybės įsipareigojimai tie</w:t>
      </w:r>
      <w:r w:rsidR="008F0C17" w:rsidRPr="006D5F99">
        <w:rPr>
          <w:lang w:val="lt-LT"/>
        </w:rPr>
        <w:t>k Jungtinėms Tautoms, tiek regi</w:t>
      </w:r>
      <w:r w:rsidRPr="006D5F99">
        <w:rPr>
          <w:lang w:val="lt-LT"/>
        </w:rPr>
        <w:t>o</w:t>
      </w:r>
      <w:r w:rsidR="008F0C17" w:rsidRPr="006D5F99">
        <w:rPr>
          <w:lang w:val="lt-LT"/>
        </w:rPr>
        <w:t>ni</w:t>
      </w:r>
      <w:r w:rsidRPr="006D5F99">
        <w:rPr>
          <w:lang w:val="lt-LT"/>
        </w:rPr>
        <w:t xml:space="preserve">nėms organizacijoms turi būti tinkamai vykdomi ir jiems neturi trukdyti nepakankamas </w:t>
      </w:r>
      <w:r w:rsidR="00D66BAC" w:rsidRPr="006D5F99">
        <w:rPr>
          <w:lang w:val="lt-LT"/>
        </w:rPr>
        <w:t>asignavimų dydis. K</w:t>
      </w:r>
      <w:r w:rsidRPr="006D5F99">
        <w:rPr>
          <w:lang w:val="lt-LT"/>
        </w:rPr>
        <w:t>arių paruošimui dalyvauti taikos misijo</w:t>
      </w:r>
      <w:r w:rsidR="00D66BAC" w:rsidRPr="006D5F99">
        <w:rPr>
          <w:lang w:val="lt-LT"/>
        </w:rPr>
        <w:t>se, taip pat misijų veiklai</w:t>
      </w:r>
      <w:r w:rsidRPr="006D5F99">
        <w:rPr>
          <w:lang w:val="lt-LT"/>
        </w:rPr>
        <w:t xml:space="preserve"> skiriamos lėšos tiesiogiai priklauso nuo</w:t>
      </w:r>
      <w:r w:rsidR="00D66BAC" w:rsidRPr="006D5F99">
        <w:rPr>
          <w:lang w:val="lt-LT"/>
        </w:rPr>
        <w:t xml:space="preserve"> gynybos srities finansavimo. M</w:t>
      </w:r>
      <w:r w:rsidRPr="006D5F99">
        <w:rPr>
          <w:lang w:val="lt-LT"/>
        </w:rPr>
        <w:t>ažinant Krašto apsaugos ministerijai skiriamas lėšas</w:t>
      </w:r>
      <w:r w:rsidR="00F71783">
        <w:rPr>
          <w:lang w:val="lt-LT"/>
        </w:rPr>
        <w:t>,</w:t>
      </w:r>
      <w:r w:rsidRPr="006D5F99">
        <w:rPr>
          <w:lang w:val="lt-LT"/>
        </w:rPr>
        <w:t xml:space="preserve"> atitinkamai mažė</w:t>
      </w:r>
      <w:r w:rsidR="00D66BAC" w:rsidRPr="006D5F99">
        <w:rPr>
          <w:lang w:val="lt-LT"/>
        </w:rPr>
        <w:t xml:space="preserve">ja ir </w:t>
      </w:r>
      <w:r w:rsidRPr="006D5F99">
        <w:rPr>
          <w:lang w:val="lt-LT"/>
        </w:rPr>
        <w:t>tarptautiniams įsipareigojimams vykdyti reikalingas finansavimas. Autorės nuomone, išspręsti šią problemą padėtų atskiras taikos misijoms skirtas biudžetas, nepriklausantis nuo Krašto apsaugos ministerija</w:t>
      </w:r>
      <w:r w:rsidR="008F0C17" w:rsidRPr="006D5F99">
        <w:rPr>
          <w:lang w:val="lt-LT"/>
        </w:rPr>
        <w:t>i</w:t>
      </w:r>
      <w:r w:rsidRPr="006D5F99">
        <w:rPr>
          <w:lang w:val="lt-LT"/>
        </w:rPr>
        <w:t xml:space="preserve"> skiriamų lėšų.</w:t>
      </w:r>
    </w:p>
    <w:p w:rsidR="002744FA" w:rsidRPr="007A5F81" w:rsidRDefault="002744FA" w:rsidP="001157E6">
      <w:pPr>
        <w:spacing w:before="100" w:beforeAutospacing="1"/>
        <w:ind w:firstLine="851"/>
        <w:rPr>
          <w:bCs/>
        </w:rPr>
      </w:pPr>
      <w:r w:rsidRPr="006D5F99">
        <w:rPr>
          <w:bCs/>
          <w:lang w:val="lt-LT"/>
        </w:rPr>
        <w:t>Paminėt</w:t>
      </w:r>
      <w:r w:rsidR="00F604C7" w:rsidRPr="006D5F99">
        <w:rPr>
          <w:bCs/>
          <w:lang w:val="lt-LT"/>
        </w:rPr>
        <w:t>in</w:t>
      </w:r>
      <w:r w:rsidRPr="006D5F99">
        <w:rPr>
          <w:bCs/>
          <w:lang w:val="lt-LT"/>
        </w:rPr>
        <w:t>a ir antroji Lietuvos dalyvavimo Afganistano atkūrimo procese silpnybė</w:t>
      </w:r>
      <w:r w:rsidR="007A5F81" w:rsidRPr="006D5F99">
        <w:rPr>
          <w:bCs/>
          <w:lang w:val="lt-LT"/>
        </w:rPr>
        <w:t>,</w:t>
      </w:r>
      <w:r w:rsidRPr="006D5F99">
        <w:rPr>
          <w:bCs/>
          <w:lang w:val="lt-LT"/>
        </w:rPr>
        <w:t xml:space="preserve"> susijusi su Lietuvos valstybės nacionalinėmis institucijomis. Lietuvos Respublikos dalyvavimo tarptautinės bendruomenės veikloje Afganistano Islamo Respublikoje 2009-2013 metų strategijoje minima, kad į Lietuvos įsipareigojimų Afganistane vykdymą aktyviai įsitraukusios tik Krašto apsaugos ministerija, Užsienio reikalų ministeri</w:t>
      </w:r>
      <w:r w:rsidR="008077A0">
        <w:rPr>
          <w:bCs/>
          <w:lang w:val="lt-LT"/>
        </w:rPr>
        <w:t>ja ir Vidaus reikalų ministerija</w:t>
      </w:r>
      <w:r w:rsidR="00E26304" w:rsidRPr="006D5F99">
        <w:rPr>
          <w:bCs/>
          <w:lang w:val="lt-LT"/>
        </w:rPr>
        <w:t xml:space="preserve"> ir naudojami ne visi nacionaliniai ištekliai.</w:t>
      </w:r>
      <w:r w:rsidR="00E26304">
        <w:rPr>
          <w:rStyle w:val="FootnoteReference"/>
          <w:bCs/>
        </w:rPr>
        <w:footnoteReference w:id="161"/>
      </w:r>
      <w:r w:rsidRPr="006D5F99">
        <w:rPr>
          <w:b/>
          <w:bCs/>
          <w:lang w:val="lt-LT"/>
        </w:rPr>
        <w:t> </w:t>
      </w:r>
      <w:r w:rsidR="007A5F81" w:rsidRPr="006D5F99">
        <w:rPr>
          <w:bCs/>
          <w:lang w:val="lt-LT"/>
        </w:rPr>
        <w:t xml:space="preserve">Tačiau, autorės nuomone, didesnis Lietuvos valstybės institucijų įsitraukimas remiant ir stiprinant Lietuvos sėkmingą įsipareigojimų vykdymą sukeltų daugiau </w:t>
      </w:r>
      <w:r w:rsidR="00541A0E" w:rsidRPr="006D5F99">
        <w:rPr>
          <w:bCs/>
          <w:lang w:val="lt-LT"/>
        </w:rPr>
        <w:t>tarpinstitucinių koordinavimo problemų</w:t>
      </w:r>
      <w:r w:rsidR="00C14935" w:rsidRPr="006D5F99">
        <w:rPr>
          <w:bCs/>
          <w:lang w:val="lt-LT"/>
        </w:rPr>
        <w:t xml:space="preserve">. </w:t>
      </w:r>
      <w:r w:rsidR="007E5B44" w:rsidRPr="006D5F99">
        <w:rPr>
          <w:bCs/>
          <w:lang w:val="lt-LT"/>
        </w:rPr>
        <w:t xml:space="preserve"> </w:t>
      </w:r>
      <w:r w:rsidR="00CE3B19">
        <w:rPr>
          <w:bCs/>
        </w:rPr>
        <w:t>Be to, įsitraukus daugiau institucijų</w:t>
      </w:r>
      <w:r w:rsidR="001157E6">
        <w:rPr>
          <w:bCs/>
        </w:rPr>
        <w:t>,</w:t>
      </w:r>
      <w:r w:rsidR="00CE3B19">
        <w:rPr>
          <w:bCs/>
        </w:rPr>
        <w:t xml:space="preserve"> iškiltų prieš </w:t>
      </w:r>
      <w:proofErr w:type="gramStart"/>
      <w:r w:rsidR="00CE3B19">
        <w:rPr>
          <w:bCs/>
        </w:rPr>
        <w:t>tai</w:t>
      </w:r>
      <w:proofErr w:type="gramEnd"/>
      <w:r w:rsidR="00CE3B19">
        <w:rPr>
          <w:bCs/>
        </w:rPr>
        <w:t xml:space="preserve"> minėta problema – finansavimo trūkumas.</w:t>
      </w:r>
      <w:r w:rsidR="007E5B44">
        <w:rPr>
          <w:bCs/>
        </w:rPr>
        <w:t xml:space="preserve"> </w:t>
      </w:r>
    </w:p>
    <w:p w:rsidR="00F234E7" w:rsidRPr="0006604A" w:rsidRDefault="00F3623A" w:rsidP="00113D43">
      <w:pPr>
        <w:spacing w:before="100" w:beforeAutospacing="1" w:after="100" w:afterAutospacing="1"/>
        <w:ind w:firstLine="851"/>
        <w:contextualSpacing/>
        <w:rPr>
          <w:lang w:val="lt-LT"/>
        </w:rPr>
      </w:pPr>
      <w:r w:rsidRPr="0006604A">
        <w:rPr>
          <w:lang w:val="lt-LT"/>
        </w:rPr>
        <w:t xml:space="preserve">Apibendrinant ši poskyrį galime teigti, kad </w:t>
      </w:r>
      <w:r w:rsidR="00F234E7" w:rsidRPr="0006604A">
        <w:rPr>
          <w:lang w:val="lt-LT"/>
        </w:rPr>
        <w:t>Lietuva</w:t>
      </w:r>
      <w:r w:rsidR="009A689C">
        <w:rPr>
          <w:lang w:val="lt-LT"/>
        </w:rPr>
        <w:t>,</w:t>
      </w:r>
      <w:r w:rsidR="00F234E7" w:rsidRPr="0006604A">
        <w:rPr>
          <w:lang w:val="lt-LT"/>
        </w:rPr>
        <w:t xml:space="preserve"> būdama ne vienos tarptautinės organizacijos nare ir įgyvendindama saugumo </w:t>
      </w:r>
      <w:r w:rsidR="0006604A" w:rsidRPr="0006604A">
        <w:rPr>
          <w:lang w:val="lt-LT"/>
        </w:rPr>
        <w:t>nedalumo</w:t>
      </w:r>
      <w:r w:rsidR="00F234E7" w:rsidRPr="0006604A">
        <w:rPr>
          <w:lang w:val="lt-LT"/>
        </w:rPr>
        <w:t xml:space="preserve"> ir kolektyvinės savigynos principą, aktyviai prisideda prie tarptautinės taikos ir saugumo </w:t>
      </w:r>
      <w:r w:rsidRPr="0006604A">
        <w:rPr>
          <w:lang w:val="lt-LT"/>
        </w:rPr>
        <w:t>palaikymo.</w:t>
      </w:r>
      <w:r w:rsidR="00F234E7" w:rsidRPr="0006604A">
        <w:rPr>
          <w:lang w:val="lt-LT"/>
        </w:rPr>
        <w:t xml:space="preserve">  </w:t>
      </w:r>
      <w:r w:rsidR="00152A42" w:rsidRPr="0006604A">
        <w:rPr>
          <w:lang w:val="lt-LT"/>
        </w:rPr>
        <w:t>Tačiau pažymėtina, kad skiriant m</w:t>
      </w:r>
      <w:r w:rsidR="00152A42">
        <w:rPr>
          <w:lang w:val="lt-LT"/>
        </w:rPr>
        <w:t>ažesnį finansavimą, Lietuva nebeįstengs vykdyti</w:t>
      </w:r>
      <w:r w:rsidR="00152A42" w:rsidRPr="0006604A">
        <w:rPr>
          <w:lang w:val="lt-LT"/>
        </w:rPr>
        <w:t xml:space="preserve"> įsipareigojimų </w:t>
      </w:r>
      <w:r w:rsidR="00152A42">
        <w:rPr>
          <w:lang w:val="lt-LT"/>
        </w:rPr>
        <w:t>tarptautinei bendrijai.</w:t>
      </w:r>
      <w:r w:rsidR="00152A42" w:rsidRPr="0006604A">
        <w:rPr>
          <w:lang w:val="lt-LT"/>
        </w:rPr>
        <w:t xml:space="preserve"> Aktyvus</w:t>
      </w:r>
      <w:r w:rsidR="00CE5EA9" w:rsidRPr="0006604A">
        <w:rPr>
          <w:lang w:val="lt-LT"/>
        </w:rPr>
        <w:t xml:space="preserve"> </w:t>
      </w:r>
      <w:r w:rsidR="00CE5EA9" w:rsidRPr="0006604A">
        <w:rPr>
          <w:lang w:val="lt-LT"/>
        </w:rPr>
        <w:lastRenderedPageBreak/>
        <w:t>Lietuvos įsitraukimas</w:t>
      </w:r>
      <w:r w:rsidR="00B24694" w:rsidRPr="0006604A">
        <w:rPr>
          <w:lang w:val="lt-LT"/>
        </w:rPr>
        <w:t xml:space="preserve"> į Afganistano valstybės at</w:t>
      </w:r>
      <w:r w:rsidR="00CE5EA9" w:rsidRPr="0006604A">
        <w:rPr>
          <w:lang w:val="lt-LT"/>
        </w:rPr>
        <w:t xml:space="preserve">kūrimą Goro provincijoje </w:t>
      </w:r>
      <w:r w:rsidR="00B24694" w:rsidRPr="0006604A">
        <w:rPr>
          <w:lang w:val="lt-LT"/>
        </w:rPr>
        <w:t>apima platų atliekamų funkcijų ratą nuo saugumo užtikrinimo iki ek</w:t>
      </w:r>
      <w:r w:rsidR="00CE5EA9" w:rsidRPr="0006604A">
        <w:rPr>
          <w:lang w:val="lt-LT"/>
        </w:rPr>
        <w:t xml:space="preserve">onominio ir socialinio </w:t>
      </w:r>
      <w:r w:rsidR="00152A42" w:rsidRPr="0006604A">
        <w:rPr>
          <w:lang w:val="lt-LT"/>
        </w:rPr>
        <w:t>vystymo</w:t>
      </w:r>
      <w:r w:rsidR="00CE5EA9" w:rsidRPr="0006604A">
        <w:rPr>
          <w:lang w:val="lt-LT"/>
        </w:rPr>
        <w:t>, todėl</w:t>
      </w:r>
      <w:r w:rsidR="001157E6">
        <w:rPr>
          <w:lang w:val="lt-LT"/>
        </w:rPr>
        <w:t xml:space="preserve"> </w:t>
      </w:r>
      <w:r w:rsidR="00B24694" w:rsidRPr="0006604A">
        <w:rPr>
          <w:lang w:val="lt-LT"/>
        </w:rPr>
        <w:t>tiek kariniai, tiek civiliniai elementai galės efektyviai prisidėti prie tarptautinės bendruomenės pastangų, jeigu bus tinkamai finansuojami. Be to, t</w:t>
      </w:r>
      <w:r w:rsidR="00F234E7" w:rsidRPr="0006604A">
        <w:rPr>
          <w:lang w:val="lt-LT"/>
        </w:rPr>
        <w:t xml:space="preserve">urint mažesnes lėšas, tinkamai neaprūpinant ir neapmokant karių, gali tapti sunku užtikrinti tiek nacionalinį, tiek sąjungininkų saugumą, kurį lemia tik efektyvus tarptautinės taikos ir saugumo užtikrinimas, o tam reikia stiprios kariuomenės. </w:t>
      </w:r>
    </w:p>
    <w:p w:rsidR="00DF19E8" w:rsidRPr="0006604A" w:rsidRDefault="00DF19E8" w:rsidP="00113D43">
      <w:pPr>
        <w:spacing w:after="200" w:line="276" w:lineRule="auto"/>
        <w:jc w:val="left"/>
        <w:rPr>
          <w:rStyle w:val="apple-style-span"/>
          <w:color w:val="000000"/>
          <w:lang w:val="lt-LT"/>
        </w:rPr>
      </w:pPr>
      <w:r w:rsidRPr="0006604A">
        <w:rPr>
          <w:rStyle w:val="apple-style-span"/>
          <w:color w:val="000000"/>
          <w:lang w:val="lt-LT"/>
        </w:rPr>
        <w:br w:type="page"/>
      </w:r>
    </w:p>
    <w:p w:rsidR="00F234E7" w:rsidRDefault="00DF19E8" w:rsidP="00113D43">
      <w:pPr>
        <w:pStyle w:val="Heading1"/>
        <w:rPr>
          <w:rStyle w:val="apple-style-span"/>
          <w:sz w:val="24"/>
          <w:szCs w:val="24"/>
          <w:lang w:val="lt-LT"/>
        </w:rPr>
      </w:pPr>
      <w:bookmarkStart w:id="29" w:name="_Toc280556723"/>
      <w:bookmarkStart w:id="30" w:name="_Toc280807842"/>
      <w:r w:rsidRPr="0006604A">
        <w:rPr>
          <w:rStyle w:val="apple-style-span"/>
          <w:sz w:val="24"/>
          <w:szCs w:val="24"/>
          <w:lang w:val="lt-LT"/>
        </w:rPr>
        <w:lastRenderedPageBreak/>
        <w:t>IŠVADOS</w:t>
      </w:r>
      <w:bookmarkEnd w:id="29"/>
      <w:bookmarkEnd w:id="30"/>
    </w:p>
    <w:p w:rsidR="00450078" w:rsidRDefault="00450078" w:rsidP="00450078">
      <w:pPr>
        <w:pStyle w:val="ListParagraph"/>
        <w:numPr>
          <w:ilvl w:val="0"/>
          <w:numId w:val="14"/>
        </w:numPr>
        <w:spacing w:before="100" w:beforeAutospacing="1" w:after="100" w:afterAutospacing="1"/>
        <w:contextualSpacing/>
        <w:rPr>
          <w:lang w:val="lt-LT"/>
        </w:rPr>
      </w:pPr>
      <w:r>
        <w:rPr>
          <w:lang w:val="lt-LT"/>
        </w:rPr>
        <w:t>Besikeičiantis konfliktų  pobūdis nuo tarpvalstybinių iki civilinių karų įtakojo trijų taikos misijų kartų atsiradimą: p</w:t>
      </w:r>
      <w:r w:rsidRPr="0006604A">
        <w:rPr>
          <w:lang w:val="lt-LT"/>
        </w:rPr>
        <w:t xml:space="preserve">irmosios </w:t>
      </w:r>
      <w:r w:rsidRPr="00BA7243">
        <w:rPr>
          <w:lang w:val="lt-LT"/>
        </w:rPr>
        <w:t>kart</w:t>
      </w:r>
      <w:r>
        <w:rPr>
          <w:lang w:val="lt-LT"/>
        </w:rPr>
        <w:t>os taikos misijų, kurių metu</w:t>
      </w:r>
      <w:r w:rsidRPr="0006604A">
        <w:rPr>
          <w:lang w:val="lt-LT"/>
        </w:rPr>
        <w:t xml:space="preserve"> lengvai ginkluoti taikos misijos dalyviai</w:t>
      </w:r>
      <w:r>
        <w:rPr>
          <w:lang w:val="lt-LT"/>
        </w:rPr>
        <w:t xml:space="preserve"> atlieka stebėjimo ir kontrolės funkcijas; antrosios kartos misijų, kuriose</w:t>
      </w:r>
      <w:r w:rsidRPr="0006604A">
        <w:rPr>
          <w:lang w:val="lt-LT"/>
        </w:rPr>
        <w:t xml:space="preserve"> greta karinių atsiranda</w:t>
      </w:r>
      <w:r>
        <w:rPr>
          <w:lang w:val="lt-LT"/>
        </w:rPr>
        <w:t xml:space="preserve"> policijos ir civilinės pajėgos bei</w:t>
      </w:r>
      <w:r w:rsidRPr="0006604A">
        <w:rPr>
          <w:lang w:val="lt-LT"/>
        </w:rPr>
        <w:t xml:space="preserve"> ženkliai padidėja atliekamų  </w:t>
      </w:r>
      <w:r>
        <w:rPr>
          <w:lang w:val="lt-LT"/>
        </w:rPr>
        <w:t>funkcijų ratas ir</w:t>
      </w:r>
      <w:r w:rsidRPr="0006604A">
        <w:rPr>
          <w:lang w:val="lt-LT"/>
        </w:rPr>
        <w:t xml:space="preserve"> trečio</w:t>
      </w:r>
      <w:r>
        <w:rPr>
          <w:lang w:val="lt-LT"/>
        </w:rPr>
        <w:t>sios</w:t>
      </w:r>
      <w:r w:rsidRPr="0006604A">
        <w:rPr>
          <w:lang w:val="lt-LT"/>
        </w:rPr>
        <w:t xml:space="preserve"> kart</w:t>
      </w:r>
      <w:r>
        <w:rPr>
          <w:lang w:val="lt-LT"/>
        </w:rPr>
        <w:t>os misijų,</w:t>
      </w:r>
      <w:r w:rsidRPr="0006604A">
        <w:rPr>
          <w:lang w:val="lt-LT"/>
        </w:rPr>
        <w:t xml:space="preserve"> apima</w:t>
      </w:r>
      <w:r>
        <w:rPr>
          <w:lang w:val="lt-LT"/>
        </w:rPr>
        <w:t xml:space="preserve">nčių ginkluotos jėgos panaudojimą, kaip priemonę pasiekti taiką. </w:t>
      </w:r>
    </w:p>
    <w:p w:rsidR="00450078" w:rsidRDefault="00450078" w:rsidP="00450078">
      <w:pPr>
        <w:pStyle w:val="ListParagraph"/>
        <w:spacing w:before="100" w:beforeAutospacing="1" w:after="100" w:afterAutospacing="1"/>
        <w:ind w:left="720"/>
        <w:contextualSpacing/>
        <w:rPr>
          <w:lang w:val="lt-LT"/>
        </w:rPr>
      </w:pPr>
    </w:p>
    <w:p w:rsidR="00450078" w:rsidRDefault="00450078" w:rsidP="00450078">
      <w:pPr>
        <w:pStyle w:val="ListParagraph"/>
        <w:numPr>
          <w:ilvl w:val="0"/>
          <w:numId w:val="14"/>
        </w:numPr>
        <w:spacing w:before="100" w:beforeAutospacing="1" w:after="100" w:afterAutospacing="1"/>
        <w:contextualSpacing/>
        <w:rPr>
          <w:lang w:val="lt-LT"/>
        </w:rPr>
      </w:pPr>
      <w:r>
        <w:rPr>
          <w:lang w:val="lt-LT"/>
        </w:rPr>
        <w:t>P</w:t>
      </w:r>
      <w:r w:rsidRPr="0006604A">
        <w:rPr>
          <w:lang w:val="lt-LT"/>
        </w:rPr>
        <w:t>riklauso</w:t>
      </w:r>
      <w:r>
        <w:rPr>
          <w:lang w:val="lt-LT"/>
        </w:rPr>
        <w:t>mai</w:t>
      </w:r>
      <w:r w:rsidRPr="0006604A">
        <w:rPr>
          <w:lang w:val="lt-LT"/>
        </w:rPr>
        <w:t xml:space="preserve"> nuo grėsmės tarptau</w:t>
      </w:r>
      <w:r w:rsidR="00991C17">
        <w:rPr>
          <w:lang w:val="lt-LT"/>
        </w:rPr>
        <w:t>tinei taikai ir saugumui dydžio</w:t>
      </w:r>
      <w:r w:rsidR="00EE73FF">
        <w:rPr>
          <w:lang w:val="lt-LT"/>
        </w:rPr>
        <w:t>,</w:t>
      </w:r>
      <w:r w:rsidRPr="0006604A">
        <w:rPr>
          <w:lang w:val="lt-LT"/>
        </w:rPr>
        <w:t xml:space="preserve"> </w:t>
      </w:r>
      <w:r>
        <w:rPr>
          <w:lang w:val="lt-LT"/>
        </w:rPr>
        <w:t>išskiriamos trys taikos misijų rūšys, kurių teisiniai pagrindai</w:t>
      </w:r>
      <w:r w:rsidRPr="0006604A">
        <w:rPr>
          <w:lang w:val="lt-LT"/>
        </w:rPr>
        <w:t xml:space="preserve"> įtvirti</w:t>
      </w:r>
      <w:r>
        <w:rPr>
          <w:lang w:val="lt-LT"/>
        </w:rPr>
        <w:t>nti Chartijos VI ir</w:t>
      </w:r>
      <w:r w:rsidRPr="0006604A">
        <w:rPr>
          <w:lang w:val="lt-LT"/>
        </w:rPr>
        <w:t xml:space="preserve"> VII </w:t>
      </w:r>
      <w:r>
        <w:rPr>
          <w:lang w:val="lt-LT"/>
        </w:rPr>
        <w:t xml:space="preserve"> skyriuose.</w:t>
      </w:r>
      <w:r w:rsidRPr="0006604A">
        <w:rPr>
          <w:lang w:val="lt-LT"/>
        </w:rPr>
        <w:t xml:space="preserve"> </w:t>
      </w:r>
      <w:r>
        <w:rPr>
          <w:lang w:val="lt-LT"/>
        </w:rPr>
        <w:t>A</w:t>
      </w:r>
      <w:r w:rsidRPr="0006604A">
        <w:rPr>
          <w:lang w:val="lt-LT"/>
        </w:rPr>
        <w:t xml:space="preserve">titinkamai Chartijos VI skyriui priskiriama </w:t>
      </w:r>
      <w:r w:rsidRPr="007A6A8B">
        <w:rPr>
          <w:i/>
          <w:lang w:val="lt-LT"/>
        </w:rPr>
        <w:t>prevencinė diplomatija</w:t>
      </w:r>
      <w:r w:rsidRPr="0006604A">
        <w:rPr>
          <w:lang w:val="lt-LT"/>
        </w:rPr>
        <w:t xml:space="preserve">, o VII skyrius apima </w:t>
      </w:r>
      <w:r w:rsidRPr="007A6A8B">
        <w:rPr>
          <w:i/>
          <w:lang w:val="lt-LT"/>
        </w:rPr>
        <w:t>platesnio masto</w:t>
      </w:r>
      <w:r w:rsidRPr="0006604A">
        <w:rPr>
          <w:lang w:val="lt-LT"/>
        </w:rPr>
        <w:t xml:space="preserve"> bei </w:t>
      </w:r>
      <w:r w:rsidRPr="007A6A8B">
        <w:rPr>
          <w:i/>
          <w:lang w:val="lt-LT"/>
        </w:rPr>
        <w:t>priverstinio taikos vykdymo</w:t>
      </w:r>
      <w:r>
        <w:rPr>
          <w:lang w:val="lt-LT"/>
        </w:rPr>
        <w:t xml:space="preserve"> </w:t>
      </w:r>
      <w:r w:rsidRPr="00E7315E">
        <w:rPr>
          <w:lang w:val="lt-LT"/>
        </w:rPr>
        <w:t xml:space="preserve">misiją. </w:t>
      </w:r>
      <w:r>
        <w:rPr>
          <w:lang w:val="lt-LT"/>
        </w:rPr>
        <w:t xml:space="preserve">Ketvirtoji ‒ </w:t>
      </w:r>
      <w:r>
        <w:rPr>
          <w:i/>
          <w:lang w:val="lt-LT"/>
        </w:rPr>
        <w:t>t</w:t>
      </w:r>
      <w:r w:rsidRPr="00E7315E">
        <w:rPr>
          <w:i/>
          <w:lang w:val="lt-LT"/>
        </w:rPr>
        <w:t>radicinė taikos</w:t>
      </w:r>
      <w:r w:rsidRPr="007A6A8B">
        <w:rPr>
          <w:i/>
          <w:lang w:val="lt-LT"/>
        </w:rPr>
        <w:t xml:space="preserve"> misijos rūši</w:t>
      </w:r>
      <w:r>
        <w:rPr>
          <w:i/>
          <w:lang w:val="lt-LT"/>
        </w:rPr>
        <w:t xml:space="preserve">s ‒ </w:t>
      </w:r>
      <w:r w:rsidRPr="007A6A8B">
        <w:rPr>
          <w:i/>
          <w:lang w:val="lt-LT"/>
        </w:rPr>
        <w:t xml:space="preserve"> </w:t>
      </w:r>
      <w:r w:rsidRPr="00E95FBA">
        <w:rPr>
          <w:lang w:val="lt-LT"/>
        </w:rPr>
        <w:t xml:space="preserve">neatitiko Chartijos VI ir VII skyriaus teisinio režimo, </w:t>
      </w:r>
      <w:r>
        <w:rPr>
          <w:lang w:val="lt-LT"/>
        </w:rPr>
        <w:t xml:space="preserve">bet </w:t>
      </w:r>
      <w:r w:rsidRPr="00E95FBA">
        <w:rPr>
          <w:lang w:val="lt-LT"/>
        </w:rPr>
        <w:t>buvo teisėta, nes buvo sukurta įgyvendinant Jungtinių Tautų Chartijoje minimus tikslus ir neišeinant iš Jungtinių Tautų organų kompetencijos ribų.</w:t>
      </w:r>
    </w:p>
    <w:p w:rsidR="00450078" w:rsidRPr="00450078" w:rsidRDefault="00450078" w:rsidP="00450078">
      <w:pPr>
        <w:pStyle w:val="ListParagraph"/>
        <w:rPr>
          <w:lang w:val="lt-LT"/>
        </w:rPr>
      </w:pPr>
    </w:p>
    <w:p w:rsidR="00450078" w:rsidRDefault="00450078" w:rsidP="00450078">
      <w:pPr>
        <w:pStyle w:val="ListParagraph"/>
        <w:numPr>
          <w:ilvl w:val="0"/>
          <w:numId w:val="14"/>
        </w:numPr>
        <w:spacing w:before="100" w:beforeAutospacing="1" w:after="100" w:afterAutospacing="1"/>
        <w:contextualSpacing/>
        <w:rPr>
          <w:lang w:val="lt-LT"/>
        </w:rPr>
      </w:pPr>
      <w:r w:rsidRPr="0006604A">
        <w:rPr>
          <w:lang w:val="lt-LT"/>
        </w:rPr>
        <w:t>Saugumo Tarybos kompetencija tarptautinės taikos ir saugumo palaikymo kontekste yra pagrindinė, tačiau ne išskirtinė:  Tarptautinio Teisingumo Teismo praktikoje įtvirtinta, kad tik Saugumo Taryba gali reikalauti priverstinio vykdymo veiksmų pagal Chartijos VII skyrių, tačiau atvejais, kai kyla grėsmė tarptautiniam saugumui, o Saugumo Tarybos darbas yra blokuojamas nuolatinių narių veto teisės panaudojimu, Generalinė Asamblėja, remiantis Vienybės taikos labui rezoliucija, gali teikti rekomendacijas, įtraukiančias ir karinės jėgos panaudojimą.</w:t>
      </w:r>
    </w:p>
    <w:p w:rsidR="00450078" w:rsidRPr="00450078" w:rsidRDefault="00450078" w:rsidP="00450078">
      <w:pPr>
        <w:pStyle w:val="ListParagraph"/>
        <w:rPr>
          <w:lang w:val="lt-LT"/>
        </w:rPr>
      </w:pPr>
    </w:p>
    <w:p w:rsidR="00450078" w:rsidRDefault="00450078" w:rsidP="00450078">
      <w:pPr>
        <w:pStyle w:val="ListParagraph"/>
        <w:numPr>
          <w:ilvl w:val="0"/>
          <w:numId w:val="14"/>
        </w:numPr>
        <w:spacing w:before="100" w:beforeAutospacing="1" w:after="100" w:afterAutospacing="1"/>
        <w:contextualSpacing/>
        <w:rPr>
          <w:rStyle w:val="apple-style-span"/>
          <w:rFonts w:eastAsiaTheme="majorEastAsia"/>
          <w:lang w:val="lt-LT"/>
        </w:rPr>
      </w:pPr>
      <w:r>
        <w:rPr>
          <w:rStyle w:val="apple-style-span"/>
          <w:rFonts w:eastAsiaTheme="majorEastAsia"/>
          <w:lang w:val="lt-LT"/>
        </w:rPr>
        <w:t xml:space="preserve">Pamatiniai taikos misijų principai (šalies sutikimas, neutralumas ir jėgos panaudojimas savigynai) yra būtini tradicinių ir platesnio masto taikos misijų elementai. Nors vieno iš jų pažeidimas (šalies sutikimo neturėjimas, jėgos panaudojimo savigynai viršijimas ar šališkumas konflikto metu) sąlygoja priverstinio taikos vykdymo atsiradimą, t.y. pažeidus nors vieną principą, taikos misijos dalyviai iš objektyvaus trečiojo asmens tampa kariaujančia šalimi. </w:t>
      </w:r>
    </w:p>
    <w:p w:rsidR="00450078" w:rsidRPr="00450078" w:rsidRDefault="00450078" w:rsidP="00450078">
      <w:pPr>
        <w:pStyle w:val="ListParagraph"/>
        <w:rPr>
          <w:rStyle w:val="apple-style-span"/>
          <w:rFonts w:eastAsiaTheme="majorEastAsia"/>
          <w:lang w:val="lt-LT"/>
        </w:rPr>
      </w:pPr>
    </w:p>
    <w:p w:rsidR="00450078" w:rsidRPr="00450078" w:rsidRDefault="00450078" w:rsidP="00450078">
      <w:pPr>
        <w:pStyle w:val="ListParagraph"/>
        <w:numPr>
          <w:ilvl w:val="0"/>
          <w:numId w:val="14"/>
        </w:numPr>
        <w:autoSpaceDE w:val="0"/>
        <w:autoSpaceDN w:val="0"/>
        <w:adjustRightInd w:val="0"/>
        <w:spacing w:before="100" w:beforeAutospacing="1" w:after="100" w:afterAutospacing="1"/>
        <w:contextualSpacing/>
        <w:rPr>
          <w:color w:val="000000"/>
          <w:lang w:val="lt-LT"/>
        </w:rPr>
      </w:pPr>
      <w:r>
        <w:rPr>
          <w:lang w:val="lt-LT"/>
        </w:rPr>
        <w:lastRenderedPageBreak/>
        <w:t>Jungtinių Tautų operacijos</w:t>
      </w:r>
      <w:r w:rsidRPr="00C907D6">
        <w:rPr>
          <w:lang w:val="lt-LT"/>
        </w:rPr>
        <w:t xml:space="preserve"> </w:t>
      </w:r>
      <w:r>
        <w:rPr>
          <w:lang w:val="lt-LT"/>
        </w:rPr>
        <w:t xml:space="preserve"> </w:t>
      </w:r>
      <w:r w:rsidRPr="00C907D6">
        <w:rPr>
          <w:lang w:val="lt-LT"/>
        </w:rPr>
        <w:t>Konge metu taikos misijų dalyviams</w:t>
      </w:r>
      <w:r>
        <w:rPr>
          <w:lang w:val="lt-LT"/>
        </w:rPr>
        <w:t xml:space="preserve"> buvo priskirtos tradicinei taikos misijai nebūdingos funkcijos, kurios padidino naudojamos jėgos mastą. Atsirado </w:t>
      </w:r>
      <w:r w:rsidRPr="00C907D6">
        <w:rPr>
          <w:lang w:val="lt-LT"/>
        </w:rPr>
        <w:t xml:space="preserve"> neaiški rib</w:t>
      </w:r>
      <w:r>
        <w:rPr>
          <w:lang w:val="lt-LT"/>
        </w:rPr>
        <w:t>a</w:t>
      </w:r>
      <w:r w:rsidRPr="00C907D6">
        <w:rPr>
          <w:lang w:val="lt-LT"/>
        </w:rPr>
        <w:t xml:space="preserve">, kada jėga naudojama tik </w:t>
      </w:r>
      <w:r w:rsidRPr="0067764C">
        <w:rPr>
          <w:lang w:val="lt-LT"/>
        </w:rPr>
        <w:t xml:space="preserve">kaip </w:t>
      </w:r>
      <w:r w:rsidRPr="0067764C">
        <w:rPr>
          <w:i/>
          <w:lang w:val="lt-LT"/>
        </w:rPr>
        <w:t>ultima ratio</w:t>
      </w:r>
      <w:r w:rsidRPr="00C907D6">
        <w:rPr>
          <w:lang w:val="lt-LT"/>
        </w:rPr>
        <w:t xml:space="preserve">, o kada </w:t>
      </w:r>
      <w:r>
        <w:rPr>
          <w:lang w:val="lt-LT"/>
        </w:rPr>
        <w:t>jėgos panaudojimas viršija leistinas ribas, ypač, kai rezoliucijoje minimos būtinos ginkluotos jėgos panaudojimo priemonės, neturint Saugumo Tarybos įgaliojimų vykdyti priverstinį taikos vykdymą.</w:t>
      </w:r>
    </w:p>
    <w:p w:rsidR="00450078" w:rsidRPr="00450078" w:rsidRDefault="00450078" w:rsidP="00450078">
      <w:pPr>
        <w:pStyle w:val="ListParagraph"/>
        <w:rPr>
          <w:color w:val="000000"/>
          <w:lang w:val="lt-LT"/>
        </w:rPr>
      </w:pPr>
    </w:p>
    <w:p w:rsidR="00450078" w:rsidRPr="00450078" w:rsidRDefault="00450078" w:rsidP="00450078">
      <w:pPr>
        <w:pStyle w:val="ListParagraph"/>
        <w:numPr>
          <w:ilvl w:val="0"/>
          <w:numId w:val="14"/>
        </w:numPr>
        <w:autoSpaceDE w:val="0"/>
        <w:autoSpaceDN w:val="0"/>
        <w:adjustRightInd w:val="0"/>
        <w:spacing w:before="100" w:beforeAutospacing="1" w:after="100" w:afterAutospacing="1"/>
        <w:contextualSpacing/>
        <w:rPr>
          <w:rFonts w:eastAsiaTheme="majorEastAsia"/>
          <w:lang w:val="lt-LT"/>
        </w:rPr>
      </w:pPr>
      <w:r>
        <w:rPr>
          <w:lang w:val="lt-LT"/>
        </w:rPr>
        <w:t>Taikos misijos Bosnijoje metu buvo vykdoma platesnio masto taikos misija, tvirtai laikantis pamatinių taikos misijų principų. Nors reali situacija reikalavo priverstinio vykdymo veiksmų, taikos misijos dalyviai negalėjo viršyti jėgos panaudojimo savigynai ir toliau išliko neutralia šalimi, nes Saugumo Taryba nesuteikė įgaliojimų naudoti priverstinio vykdymo veiksmus.</w:t>
      </w:r>
    </w:p>
    <w:p w:rsidR="00450078" w:rsidRPr="00450078" w:rsidRDefault="00450078" w:rsidP="00450078">
      <w:pPr>
        <w:pStyle w:val="ListParagraph"/>
        <w:rPr>
          <w:rStyle w:val="apple-style-span"/>
          <w:rFonts w:eastAsiaTheme="majorEastAsia"/>
          <w:lang w:val="lt-LT"/>
        </w:rPr>
      </w:pPr>
    </w:p>
    <w:p w:rsidR="00450078" w:rsidRDefault="00450078" w:rsidP="00450078">
      <w:pPr>
        <w:pStyle w:val="ListParagraph"/>
        <w:numPr>
          <w:ilvl w:val="0"/>
          <w:numId w:val="14"/>
        </w:numPr>
        <w:spacing w:before="100" w:beforeAutospacing="1" w:after="100" w:afterAutospacing="1"/>
        <w:contextualSpacing/>
        <w:rPr>
          <w:rStyle w:val="Strong"/>
          <w:rFonts w:eastAsiaTheme="majorEastAsia"/>
          <w:b w:val="0"/>
          <w:lang w:val="lt-LT"/>
        </w:rPr>
      </w:pPr>
      <w:r w:rsidRPr="0006604A">
        <w:rPr>
          <w:rStyle w:val="Strong"/>
          <w:rFonts w:eastAsiaTheme="majorEastAsia"/>
          <w:b w:val="0"/>
          <w:lang w:val="lt-LT"/>
        </w:rPr>
        <w:t>Afganistano saugumas negali būti pasiekiamas tik karinėmis priemonėmis: Tarptautinėm</w:t>
      </w:r>
      <w:r>
        <w:rPr>
          <w:rStyle w:val="Strong"/>
          <w:rFonts w:eastAsiaTheme="majorEastAsia"/>
          <w:b w:val="0"/>
          <w:lang w:val="lt-LT"/>
        </w:rPr>
        <w:t>s Saugumo Paramos</w:t>
      </w:r>
      <w:r w:rsidR="00205453">
        <w:rPr>
          <w:rStyle w:val="Strong"/>
          <w:rFonts w:eastAsiaTheme="majorEastAsia"/>
          <w:b w:val="0"/>
          <w:lang w:val="lt-LT"/>
        </w:rPr>
        <w:t xml:space="preserve"> pajėgoms panaudojus karinius </w:t>
      </w:r>
      <w:r>
        <w:rPr>
          <w:rStyle w:val="Strong"/>
          <w:rFonts w:eastAsiaTheme="majorEastAsia"/>
          <w:b w:val="0"/>
          <w:lang w:val="lt-LT"/>
        </w:rPr>
        <w:t xml:space="preserve">veiksmus, neturint Saugumo Tarybos įgaliojimų pagal Chartijos VII skyrių naudoti prievartos priemones, buvo  nukrypta </w:t>
      </w:r>
      <w:r w:rsidRPr="0006604A">
        <w:rPr>
          <w:rStyle w:val="Strong"/>
          <w:rFonts w:eastAsiaTheme="majorEastAsia"/>
          <w:b w:val="0"/>
          <w:lang w:val="lt-LT"/>
        </w:rPr>
        <w:t xml:space="preserve"> nuo taikos įtvirt</w:t>
      </w:r>
      <w:r>
        <w:rPr>
          <w:rStyle w:val="Strong"/>
          <w:rFonts w:eastAsiaTheme="majorEastAsia"/>
          <w:b w:val="0"/>
          <w:lang w:val="lt-LT"/>
        </w:rPr>
        <w:t>inimo tikslų ir pažeistas ne tik taikos misijos neutralumo ir jėgos panaudojimo savigynai principas</w:t>
      </w:r>
      <w:r w:rsidRPr="0006604A">
        <w:rPr>
          <w:rStyle w:val="Strong"/>
          <w:rFonts w:eastAsiaTheme="majorEastAsia"/>
          <w:b w:val="0"/>
          <w:lang w:val="lt-LT"/>
        </w:rPr>
        <w:t>, tačiau susilpnintas ir Afganistano valstybės atstatymo procesas.</w:t>
      </w:r>
    </w:p>
    <w:p w:rsidR="00450078" w:rsidRPr="00450078" w:rsidRDefault="00450078" w:rsidP="00450078">
      <w:pPr>
        <w:pStyle w:val="ListParagraph"/>
        <w:rPr>
          <w:rStyle w:val="Strong"/>
          <w:rFonts w:eastAsiaTheme="majorEastAsia"/>
          <w:b w:val="0"/>
          <w:lang w:val="lt-LT"/>
        </w:rPr>
      </w:pPr>
    </w:p>
    <w:p w:rsidR="00450078" w:rsidRPr="0006604A" w:rsidRDefault="00450078" w:rsidP="00450078">
      <w:pPr>
        <w:pStyle w:val="ListParagraph"/>
        <w:numPr>
          <w:ilvl w:val="0"/>
          <w:numId w:val="14"/>
        </w:numPr>
        <w:spacing w:before="100" w:beforeAutospacing="1" w:after="100" w:afterAutospacing="1"/>
        <w:contextualSpacing/>
        <w:rPr>
          <w:rStyle w:val="apple-style-span"/>
          <w:rFonts w:eastAsiaTheme="majorEastAsia"/>
          <w:color w:val="000000"/>
          <w:lang w:val="lt-LT"/>
        </w:rPr>
      </w:pPr>
      <w:r>
        <w:rPr>
          <w:rStyle w:val="Strong"/>
          <w:rFonts w:eastAsiaTheme="majorEastAsia"/>
          <w:b w:val="0"/>
          <w:lang w:val="lt-LT"/>
        </w:rPr>
        <w:t>Gynybos sričiai skiriamas finansavimas nesuderinamas su Lietuvos valstybės aktyviu įsitraukimu į Afganistano Goro provincijos atstatymą. Išspręsti šia problemą padėtų atskiras taikos misijoms skiriamas biudžetas, nepriklausantis nuo gynybos sričiai skiriamų lėšų.</w:t>
      </w:r>
      <w:r w:rsidRPr="005D4158">
        <w:rPr>
          <w:lang w:val="lt-LT"/>
        </w:rPr>
        <w:t xml:space="preserve"> </w:t>
      </w:r>
    </w:p>
    <w:p w:rsidR="00B23079" w:rsidRPr="00450078" w:rsidRDefault="00B23079" w:rsidP="00450078">
      <w:pPr>
        <w:pStyle w:val="ListParagraph"/>
        <w:spacing w:before="100" w:beforeAutospacing="1" w:after="100" w:afterAutospacing="1"/>
        <w:ind w:left="720"/>
        <w:contextualSpacing/>
        <w:rPr>
          <w:lang w:val="lt-LT"/>
        </w:rPr>
      </w:pPr>
    </w:p>
    <w:p w:rsidR="00E1617D" w:rsidRPr="00E1617D" w:rsidRDefault="00E1617D" w:rsidP="00E1617D">
      <w:pPr>
        <w:pStyle w:val="ListParagraph"/>
        <w:rPr>
          <w:rStyle w:val="Strong"/>
          <w:b w:val="0"/>
          <w:lang w:val="lt-LT"/>
        </w:rPr>
      </w:pPr>
    </w:p>
    <w:p w:rsidR="00DF19E8" w:rsidRPr="0006604A" w:rsidRDefault="00DF19E8" w:rsidP="00113D43">
      <w:pPr>
        <w:spacing w:after="200" w:line="276" w:lineRule="auto"/>
        <w:ind w:left="284" w:hanging="284"/>
        <w:jc w:val="left"/>
        <w:rPr>
          <w:b/>
          <w:color w:val="000000"/>
          <w:lang w:val="lt-LT"/>
        </w:rPr>
      </w:pPr>
      <w:r w:rsidRPr="0006604A">
        <w:rPr>
          <w:b/>
          <w:color w:val="000000"/>
          <w:lang w:val="lt-LT"/>
        </w:rPr>
        <w:br w:type="page"/>
      </w:r>
    </w:p>
    <w:p w:rsidR="00F234E7" w:rsidRPr="0006604A" w:rsidRDefault="00F234E7" w:rsidP="00113D43">
      <w:pPr>
        <w:pStyle w:val="Heading1"/>
        <w:rPr>
          <w:sz w:val="24"/>
          <w:szCs w:val="24"/>
          <w:lang w:val="lt-LT"/>
        </w:rPr>
      </w:pPr>
      <w:bookmarkStart w:id="31" w:name="_Toc280556724"/>
      <w:bookmarkStart w:id="32" w:name="_Toc280807843"/>
      <w:r w:rsidRPr="0006604A">
        <w:rPr>
          <w:sz w:val="24"/>
          <w:szCs w:val="24"/>
          <w:lang w:val="lt-LT"/>
        </w:rPr>
        <w:lastRenderedPageBreak/>
        <w:t>LITERATŪROS SĄRAŠAS</w:t>
      </w:r>
      <w:bookmarkEnd w:id="31"/>
      <w:bookmarkEnd w:id="32"/>
    </w:p>
    <w:p w:rsidR="00F234E7" w:rsidRPr="0006604A" w:rsidRDefault="00F234E7" w:rsidP="00113D43">
      <w:pPr>
        <w:spacing w:after="120"/>
        <w:jc w:val="center"/>
        <w:rPr>
          <w:b/>
          <w:color w:val="000000"/>
          <w:lang w:val="lt-LT"/>
        </w:rPr>
      </w:pPr>
      <w:r w:rsidRPr="0006604A">
        <w:rPr>
          <w:b/>
          <w:color w:val="000000"/>
          <w:lang w:val="lt-LT"/>
        </w:rPr>
        <w:t>I. NORMINĖ LITERATŪRA</w:t>
      </w:r>
    </w:p>
    <w:p w:rsidR="00F234E7" w:rsidRDefault="00F234E7" w:rsidP="00113D43">
      <w:pPr>
        <w:spacing w:after="120"/>
        <w:rPr>
          <w:b/>
          <w:color w:val="000000"/>
          <w:lang w:val="lt-LT"/>
        </w:rPr>
      </w:pPr>
      <w:r w:rsidRPr="0006604A">
        <w:rPr>
          <w:b/>
          <w:color w:val="000000"/>
          <w:lang w:val="lt-LT"/>
        </w:rPr>
        <w:t>Tarptautinės teisės aktai</w:t>
      </w:r>
    </w:p>
    <w:p w:rsidR="003E3F52" w:rsidRPr="0006604A" w:rsidRDefault="003E3F52" w:rsidP="00113D43">
      <w:pPr>
        <w:spacing w:after="120"/>
        <w:rPr>
          <w:b/>
          <w:color w:val="000000"/>
          <w:lang w:val="lt-LT"/>
        </w:rPr>
      </w:pPr>
    </w:p>
    <w:p w:rsidR="00F63CC2" w:rsidRPr="00FF2CBE" w:rsidRDefault="00092D25" w:rsidP="00FF2CBE">
      <w:pPr>
        <w:pStyle w:val="ListParagraph"/>
        <w:numPr>
          <w:ilvl w:val="0"/>
          <w:numId w:val="5"/>
        </w:numPr>
        <w:spacing w:after="120"/>
        <w:ind w:left="851" w:hanging="491"/>
        <w:jc w:val="left"/>
        <w:rPr>
          <w:lang w:val="lt-LT"/>
        </w:rPr>
      </w:pPr>
      <w:r w:rsidRPr="0006604A">
        <w:rPr>
          <w:lang w:val="lt-LT"/>
        </w:rPr>
        <w:t>Jungtinių Tautų Chartija</w:t>
      </w:r>
      <w:r w:rsidR="003C018A">
        <w:rPr>
          <w:lang w:val="lt-LT"/>
        </w:rPr>
        <w:t>, 1945.</w:t>
      </w:r>
      <w:r w:rsidRPr="0006604A">
        <w:rPr>
          <w:lang w:val="lt-LT"/>
        </w:rPr>
        <w:t xml:space="preserve"> // </w:t>
      </w:r>
      <w:r w:rsidR="00FF2CBE">
        <w:rPr>
          <w:lang w:val="lt-LT"/>
        </w:rPr>
        <w:t>Valstybės žinios. 2002, Nr. 15-557.</w:t>
      </w:r>
    </w:p>
    <w:p w:rsidR="0038398D" w:rsidRPr="0038398D" w:rsidRDefault="0038398D" w:rsidP="0038398D">
      <w:pPr>
        <w:pStyle w:val="ListParagraph"/>
        <w:spacing w:after="120" w:line="240" w:lineRule="auto"/>
        <w:ind w:left="851"/>
        <w:jc w:val="left"/>
        <w:rPr>
          <w:lang w:val="lt-LT"/>
        </w:rPr>
      </w:pPr>
    </w:p>
    <w:p w:rsidR="00CE4547" w:rsidRPr="0006604A" w:rsidRDefault="00152A42" w:rsidP="0038398D">
      <w:pPr>
        <w:pStyle w:val="ListParagraph"/>
        <w:numPr>
          <w:ilvl w:val="0"/>
          <w:numId w:val="5"/>
        </w:numPr>
        <w:spacing w:after="120"/>
        <w:ind w:left="851" w:hanging="491"/>
        <w:jc w:val="left"/>
        <w:rPr>
          <w:lang w:val="lt-LT" w:eastAsia="lt-LT"/>
        </w:rPr>
      </w:pPr>
      <w:r w:rsidRPr="00152A42">
        <w:rPr>
          <w:lang w:val="en-AU" w:eastAsia="lt-LT"/>
        </w:rPr>
        <w:t>Vienna</w:t>
      </w:r>
      <w:r w:rsidR="00852D4B" w:rsidRPr="0006604A">
        <w:rPr>
          <w:lang w:val="lt-LT" w:eastAsia="lt-LT"/>
        </w:rPr>
        <w:t xml:space="preserve"> Convention on the</w:t>
      </w:r>
      <w:r w:rsidR="00852D4B" w:rsidRPr="00152A42">
        <w:rPr>
          <w:lang w:val="en-AU" w:eastAsia="lt-LT"/>
        </w:rPr>
        <w:t xml:space="preserve"> Law</w:t>
      </w:r>
      <w:r w:rsidR="00852D4B" w:rsidRPr="0006604A">
        <w:rPr>
          <w:lang w:val="lt-LT" w:eastAsia="lt-LT"/>
        </w:rPr>
        <w:t xml:space="preserve"> of</w:t>
      </w:r>
      <w:r w:rsidR="00852D4B" w:rsidRPr="00152A42">
        <w:rPr>
          <w:lang w:val="en-AU" w:eastAsia="lt-LT"/>
        </w:rPr>
        <w:t xml:space="preserve"> Treaties between</w:t>
      </w:r>
      <w:r w:rsidR="00852D4B" w:rsidRPr="0006604A">
        <w:rPr>
          <w:lang w:val="lt-LT" w:eastAsia="lt-LT"/>
        </w:rPr>
        <w:t xml:space="preserve"> </w:t>
      </w:r>
      <w:r w:rsidR="00852D4B" w:rsidRPr="00152A42">
        <w:rPr>
          <w:lang w:eastAsia="lt-LT"/>
        </w:rPr>
        <w:t>States and International Organizations or between International Organizations</w:t>
      </w:r>
      <w:r w:rsidR="00E90CC1" w:rsidRPr="00152A42">
        <w:rPr>
          <w:lang w:eastAsia="lt-LT"/>
        </w:rPr>
        <w:t>,</w:t>
      </w:r>
      <w:r w:rsidR="00852D4B" w:rsidRPr="0006604A">
        <w:rPr>
          <w:lang w:val="lt-LT" w:eastAsia="lt-LT"/>
        </w:rPr>
        <w:t xml:space="preserve"> 1986.  // </w:t>
      </w:r>
    </w:p>
    <w:p w:rsidR="00F63CC2" w:rsidRDefault="00275463" w:rsidP="0038398D">
      <w:pPr>
        <w:pStyle w:val="ListParagraph"/>
        <w:spacing w:after="120"/>
        <w:ind w:left="851"/>
        <w:jc w:val="left"/>
        <w:rPr>
          <w:lang w:val="lt-LT"/>
        </w:rPr>
      </w:pPr>
      <w:hyperlink r:id="rId28" w:history="1">
        <w:r w:rsidR="00852D4B" w:rsidRPr="0006604A">
          <w:rPr>
            <w:rStyle w:val="Hyperlink"/>
            <w:rFonts w:eastAsiaTheme="majorEastAsia"/>
            <w:lang w:val="lt-LT"/>
          </w:rPr>
          <w:t>http://untreaty.un.org/ilc/texts/instruments/english/conventions/1_2_1986.pdf</w:t>
        </w:r>
      </w:hyperlink>
      <w:r w:rsidR="00852D4B" w:rsidRPr="0006604A">
        <w:rPr>
          <w:lang w:val="lt-LT"/>
        </w:rPr>
        <w:t>.</w:t>
      </w:r>
    </w:p>
    <w:p w:rsidR="0038398D" w:rsidRPr="00F63CC2" w:rsidRDefault="0038398D" w:rsidP="0038398D">
      <w:pPr>
        <w:pStyle w:val="ListParagraph"/>
        <w:spacing w:after="120" w:line="240" w:lineRule="auto"/>
        <w:ind w:left="851"/>
        <w:jc w:val="left"/>
        <w:rPr>
          <w:lang w:val="lt-LT"/>
        </w:rPr>
      </w:pPr>
    </w:p>
    <w:p w:rsidR="003F5C52" w:rsidRPr="0038398D" w:rsidRDefault="00022948" w:rsidP="0038398D">
      <w:pPr>
        <w:pStyle w:val="ListParagraph"/>
        <w:numPr>
          <w:ilvl w:val="0"/>
          <w:numId w:val="5"/>
        </w:numPr>
        <w:spacing w:after="120"/>
        <w:ind w:left="850" w:hanging="493"/>
        <w:jc w:val="left"/>
        <w:rPr>
          <w:lang w:val="lt-LT"/>
        </w:rPr>
      </w:pPr>
      <w:r>
        <w:rPr>
          <w:lang w:val="lt-LT"/>
        </w:rPr>
        <w:t xml:space="preserve">Convention on the Privileges and Immunities of The United Nations, 1946. // </w:t>
      </w:r>
      <w:hyperlink r:id="rId29" w:history="1">
        <w:r>
          <w:rPr>
            <w:rStyle w:val="Hyperlink"/>
            <w:rFonts w:eastAsiaTheme="majorEastAsia"/>
          </w:rPr>
          <w:t>http://www1.umn.edu/humanrts/instree/p&amp;i-convention.htm</w:t>
        </w:r>
      </w:hyperlink>
      <w:r>
        <w:t>.</w:t>
      </w:r>
    </w:p>
    <w:p w:rsidR="0038398D" w:rsidRPr="003F5C52" w:rsidRDefault="0038398D" w:rsidP="0038398D">
      <w:pPr>
        <w:pStyle w:val="ListParagraph"/>
        <w:spacing w:after="120" w:line="240" w:lineRule="auto"/>
        <w:ind w:left="850"/>
        <w:jc w:val="left"/>
        <w:rPr>
          <w:lang w:val="lt-LT"/>
        </w:rPr>
      </w:pPr>
    </w:p>
    <w:p w:rsidR="003F5C52" w:rsidRPr="000C33E7" w:rsidRDefault="00120946" w:rsidP="0038398D">
      <w:pPr>
        <w:pStyle w:val="FootnoteText"/>
        <w:numPr>
          <w:ilvl w:val="0"/>
          <w:numId w:val="5"/>
        </w:numPr>
        <w:ind w:left="850" w:hanging="493"/>
        <w:jc w:val="left"/>
        <w:rPr>
          <w:sz w:val="24"/>
          <w:szCs w:val="24"/>
          <w:lang w:val="lt-LT"/>
        </w:rPr>
      </w:pPr>
      <w:r w:rsidRPr="0006604A">
        <w:rPr>
          <w:sz w:val="24"/>
          <w:szCs w:val="24"/>
          <w:lang w:val="lt-LT"/>
        </w:rPr>
        <w:t xml:space="preserve">Convention on the Safety of United Nations and Associated Personnel, 1994. // </w:t>
      </w:r>
      <w:hyperlink r:id="rId30" w:history="1">
        <w:r w:rsidRPr="0006604A">
          <w:rPr>
            <w:rStyle w:val="Hyperlink"/>
            <w:rFonts w:eastAsiaTheme="majorEastAsia"/>
            <w:sz w:val="24"/>
            <w:szCs w:val="24"/>
            <w:lang w:val="lt-LT"/>
          </w:rPr>
          <w:t>http://www.un.org/law/cod/safety.htm</w:t>
        </w:r>
      </w:hyperlink>
    </w:p>
    <w:p w:rsidR="0038398D" w:rsidRPr="000C33E7" w:rsidRDefault="0038398D" w:rsidP="0038398D">
      <w:pPr>
        <w:pStyle w:val="FootnoteText"/>
        <w:spacing w:line="240" w:lineRule="auto"/>
        <w:jc w:val="left"/>
        <w:rPr>
          <w:sz w:val="24"/>
          <w:szCs w:val="24"/>
          <w:lang w:val="lt-LT"/>
        </w:rPr>
      </w:pPr>
    </w:p>
    <w:p w:rsidR="0038398D" w:rsidRPr="00D1624A" w:rsidRDefault="00647319" w:rsidP="0038398D">
      <w:pPr>
        <w:pStyle w:val="FootnoteText"/>
        <w:numPr>
          <w:ilvl w:val="0"/>
          <w:numId w:val="5"/>
        </w:numPr>
        <w:ind w:left="851" w:hanging="491"/>
        <w:jc w:val="left"/>
        <w:rPr>
          <w:sz w:val="24"/>
          <w:szCs w:val="24"/>
          <w:lang w:val="lt-LT"/>
        </w:rPr>
      </w:pPr>
      <w:r w:rsidRPr="000C33E7">
        <w:rPr>
          <w:sz w:val="24"/>
          <w:szCs w:val="24"/>
          <w:lang w:val="lt-LT"/>
        </w:rPr>
        <w:t xml:space="preserve">Vienos Konvencija dėl tarptautinių sutarčių teisės, 1969. // </w:t>
      </w:r>
      <w:r w:rsidR="000C33E7" w:rsidRPr="000C33E7">
        <w:rPr>
          <w:sz w:val="24"/>
          <w:szCs w:val="24"/>
        </w:rPr>
        <w:t>Valstybės žinios. 2002, Nr. 13-480.</w:t>
      </w:r>
    </w:p>
    <w:p w:rsidR="00D1624A" w:rsidRPr="000C33E7" w:rsidRDefault="00D1624A" w:rsidP="00D1624A">
      <w:pPr>
        <w:pStyle w:val="FootnoteText"/>
        <w:jc w:val="left"/>
        <w:rPr>
          <w:sz w:val="24"/>
          <w:szCs w:val="24"/>
          <w:lang w:val="lt-LT"/>
        </w:rPr>
      </w:pPr>
    </w:p>
    <w:p w:rsidR="0038398D" w:rsidRPr="005B69A8" w:rsidRDefault="00AA2859" w:rsidP="0038398D">
      <w:pPr>
        <w:pStyle w:val="FootnoteText"/>
        <w:numPr>
          <w:ilvl w:val="0"/>
          <w:numId w:val="5"/>
        </w:numPr>
        <w:ind w:left="851" w:hanging="491"/>
        <w:jc w:val="left"/>
        <w:rPr>
          <w:sz w:val="24"/>
          <w:szCs w:val="24"/>
          <w:lang w:val="lt-LT"/>
        </w:rPr>
      </w:pPr>
      <w:r w:rsidRPr="000C33E7">
        <w:rPr>
          <w:sz w:val="24"/>
          <w:szCs w:val="24"/>
          <w:lang w:val="lt-LT"/>
        </w:rPr>
        <w:t xml:space="preserve">Šiaurės Atlanto Sutartis, 1949 // </w:t>
      </w:r>
      <w:r w:rsidR="000C33E7" w:rsidRPr="000C33E7">
        <w:rPr>
          <w:sz w:val="24"/>
          <w:szCs w:val="24"/>
        </w:rPr>
        <w:t>Valstybės žinios. 2004, Nr. 40-1299.</w:t>
      </w:r>
    </w:p>
    <w:p w:rsidR="005B69A8" w:rsidRPr="00D1624A" w:rsidRDefault="005B69A8" w:rsidP="005B69A8">
      <w:pPr>
        <w:pStyle w:val="FootnoteText"/>
        <w:jc w:val="left"/>
        <w:rPr>
          <w:sz w:val="24"/>
          <w:szCs w:val="24"/>
          <w:lang w:val="lt-LT"/>
        </w:rPr>
      </w:pPr>
    </w:p>
    <w:p w:rsidR="007E4C9B" w:rsidRDefault="0055203D" w:rsidP="003F5C52">
      <w:pPr>
        <w:pStyle w:val="FootnoteText"/>
        <w:numPr>
          <w:ilvl w:val="0"/>
          <w:numId w:val="5"/>
        </w:numPr>
        <w:ind w:left="851" w:hanging="491"/>
        <w:jc w:val="left"/>
        <w:rPr>
          <w:sz w:val="24"/>
          <w:szCs w:val="24"/>
        </w:rPr>
      </w:pPr>
      <w:r w:rsidRPr="00152A42">
        <w:rPr>
          <w:sz w:val="24"/>
          <w:szCs w:val="24"/>
        </w:rPr>
        <w:t>General Assembly Resolution 377(V), 3 November 1950</w:t>
      </w:r>
      <w:r w:rsidR="00101D31">
        <w:rPr>
          <w:sz w:val="24"/>
          <w:szCs w:val="24"/>
        </w:rPr>
        <w:t>.</w:t>
      </w:r>
    </w:p>
    <w:p w:rsidR="0038398D" w:rsidRPr="003F5C52" w:rsidRDefault="0038398D" w:rsidP="0038398D">
      <w:pPr>
        <w:pStyle w:val="FootnoteText"/>
        <w:ind w:left="851"/>
        <w:jc w:val="left"/>
        <w:rPr>
          <w:sz w:val="24"/>
          <w:szCs w:val="24"/>
        </w:rPr>
      </w:pPr>
    </w:p>
    <w:p w:rsidR="00FC11B5" w:rsidRPr="00152A42" w:rsidRDefault="00FC11B5" w:rsidP="00700241">
      <w:pPr>
        <w:pStyle w:val="FootnoteText"/>
        <w:numPr>
          <w:ilvl w:val="0"/>
          <w:numId w:val="5"/>
        </w:numPr>
        <w:ind w:left="851" w:hanging="491"/>
        <w:jc w:val="left"/>
        <w:rPr>
          <w:sz w:val="24"/>
          <w:szCs w:val="24"/>
        </w:rPr>
      </w:pPr>
      <w:r w:rsidRPr="00152A42">
        <w:rPr>
          <w:sz w:val="24"/>
          <w:szCs w:val="24"/>
        </w:rPr>
        <w:t>Security Council Resolution 143. 14 July 1960. UN Doc. S/</w:t>
      </w:r>
      <w:r w:rsidR="000A1C01">
        <w:rPr>
          <w:sz w:val="24"/>
          <w:szCs w:val="24"/>
        </w:rPr>
        <w:t>RES/</w:t>
      </w:r>
      <w:r w:rsidRPr="00152A42">
        <w:rPr>
          <w:sz w:val="24"/>
          <w:szCs w:val="24"/>
        </w:rPr>
        <w:t xml:space="preserve">4387. </w:t>
      </w:r>
    </w:p>
    <w:p w:rsidR="00FC11B5" w:rsidRPr="00152A42" w:rsidRDefault="00FC11B5" w:rsidP="00700241">
      <w:pPr>
        <w:pStyle w:val="FootnoteText"/>
        <w:ind w:left="851" w:hanging="491"/>
        <w:jc w:val="left"/>
        <w:rPr>
          <w:sz w:val="24"/>
          <w:szCs w:val="24"/>
        </w:rPr>
      </w:pPr>
    </w:p>
    <w:p w:rsidR="00FC11B5" w:rsidRPr="00152A42" w:rsidRDefault="00FC11B5" w:rsidP="00700241">
      <w:pPr>
        <w:pStyle w:val="FootnoteText"/>
        <w:numPr>
          <w:ilvl w:val="0"/>
          <w:numId w:val="5"/>
        </w:numPr>
        <w:ind w:left="851" w:hanging="491"/>
        <w:jc w:val="left"/>
        <w:rPr>
          <w:sz w:val="24"/>
          <w:szCs w:val="24"/>
        </w:rPr>
      </w:pPr>
      <w:r w:rsidRPr="00152A42">
        <w:rPr>
          <w:sz w:val="24"/>
          <w:szCs w:val="24"/>
        </w:rPr>
        <w:t>Security Council Resolution. 161. 21 February 1961. UN Doc. S/</w:t>
      </w:r>
      <w:r w:rsidR="000A1C01">
        <w:rPr>
          <w:sz w:val="24"/>
          <w:szCs w:val="24"/>
        </w:rPr>
        <w:t>RES/</w:t>
      </w:r>
      <w:r w:rsidRPr="00152A42">
        <w:rPr>
          <w:sz w:val="24"/>
          <w:szCs w:val="24"/>
        </w:rPr>
        <w:t xml:space="preserve">4741. </w:t>
      </w:r>
    </w:p>
    <w:p w:rsidR="00FC11B5" w:rsidRPr="00152A42" w:rsidRDefault="00FC11B5" w:rsidP="00700241">
      <w:pPr>
        <w:pStyle w:val="FootnoteText"/>
        <w:ind w:left="851" w:hanging="491"/>
        <w:jc w:val="left"/>
        <w:rPr>
          <w:sz w:val="24"/>
          <w:szCs w:val="24"/>
        </w:rPr>
      </w:pPr>
    </w:p>
    <w:p w:rsidR="00FC11B5" w:rsidRDefault="00FC11B5" w:rsidP="00700241">
      <w:pPr>
        <w:pStyle w:val="FootnoteText"/>
        <w:numPr>
          <w:ilvl w:val="0"/>
          <w:numId w:val="5"/>
        </w:numPr>
        <w:ind w:left="851" w:hanging="491"/>
        <w:jc w:val="left"/>
        <w:rPr>
          <w:sz w:val="24"/>
          <w:szCs w:val="24"/>
        </w:rPr>
      </w:pPr>
      <w:r w:rsidRPr="00101D31">
        <w:rPr>
          <w:sz w:val="24"/>
          <w:szCs w:val="24"/>
        </w:rPr>
        <w:t xml:space="preserve">Security Council Resolution. </w:t>
      </w:r>
      <w:r w:rsidR="00152A42" w:rsidRPr="00101D31">
        <w:rPr>
          <w:sz w:val="24"/>
          <w:szCs w:val="24"/>
        </w:rPr>
        <w:t>169.</w:t>
      </w:r>
      <w:r w:rsidRPr="00101D31">
        <w:rPr>
          <w:sz w:val="24"/>
          <w:szCs w:val="24"/>
        </w:rPr>
        <w:t xml:space="preserve">  24 November 1961</w:t>
      </w:r>
      <w:r w:rsidR="00BC4355" w:rsidRPr="00101D31">
        <w:rPr>
          <w:sz w:val="24"/>
          <w:szCs w:val="24"/>
        </w:rPr>
        <w:t>. UN Doc. S/</w:t>
      </w:r>
      <w:r w:rsidR="000A1C01">
        <w:rPr>
          <w:sz w:val="24"/>
          <w:szCs w:val="24"/>
        </w:rPr>
        <w:t>RES/</w:t>
      </w:r>
      <w:r w:rsidR="00BC4355" w:rsidRPr="00101D31">
        <w:rPr>
          <w:sz w:val="24"/>
          <w:szCs w:val="24"/>
        </w:rPr>
        <w:t>5002.</w:t>
      </w:r>
      <w:r w:rsidRPr="00101D31">
        <w:rPr>
          <w:sz w:val="24"/>
          <w:szCs w:val="24"/>
        </w:rPr>
        <w:t xml:space="preserve"> </w:t>
      </w:r>
    </w:p>
    <w:p w:rsidR="00101D31" w:rsidRPr="00101D31" w:rsidRDefault="00101D31" w:rsidP="00101D31">
      <w:pPr>
        <w:pStyle w:val="FootnoteText"/>
        <w:jc w:val="left"/>
        <w:rPr>
          <w:sz w:val="24"/>
          <w:szCs w:val="24"/>
        </w:rPr>
      </w:pPr>
    </w:p>
    <w:p w:rsidR="00564A7D" w:rsidRPr="00152A42" w:rsidRDefault="00564A7D" w:rsidP="00700241">
      <w:pPr>
        <w:pStyle w:val="FootnoteText"/>
        <w:numPr>
          <w:ilvl w:val="0"/>
          <w:numId w:val="5"/>
        </w:numPr>
        <w:ind w:left="851" w:hanging="491"/>
        <w:jc w:val="left"/>
        <w:rPr>
          <w:sz w:val="24"/>
          <w:szCs w:val="24"/>
        </w:rPr>
      </w:pPr>
      <w:r w:rsidRPr="00152A42">
        <w:rPr>
          <w:sz w:val="24"/>
          <w:szCs w:val="24"/>
        </w:rPr>
        <w:t>Security Council Resolution</w:t>
      </w:r>
      <w:r w:rsidR="002840B0" w:rsidRPr="00152A42">
        <w:rPr>
          <w:sz w:val="24"/>
          <w:szCs w:val="24"/>
        </w:rPr>
        <w:t xml:space="preserve"> 749. </w:t>
      </w:r>
      <w:r w:rsidR="0004150D" w:rsidRPr="00152A42">
        <w:rPr>
          <w:sz w:val="24"/>
          <w:szCs w:val="24"/>
        </w:rPr>
        <w:t>7 April 1992.</w:t>
      </w:r>
      <w:r w:rsidRPr="00152A42">
        <w:rPr>
          <w:sz w:val="24"/>
          <w:szCs w:val="24"/>
        </w:rPr>
        <w:t xml:space="preserve"> </w:t>
      </w:r>
      <w:r w:rsidR="004029BF">
        <w:rPr>
          <w:sz w:val="24"/>
          <w:szCs w:val="24"/>
        </w:rPr>
        <w:t>UN Doc. S/RES/749.</w:t>
      </w:r>
    </w:p>
    <w:p w:rsidR="00564A7D" w:rsidRPr="00152A42" w:rsidRDefault="00564A7D" w:rsidP="00700241">
      <w:pPr>
        <w:pStyle w:val="FootnoteText"/>
        <w:ind w:left="851" w:hanging="491"/>
        <w:jc w:val="left"/>
        <w:rPr>
          <w:sz w:val="24"/>
          <w:szCs w:val="24"/>
        </w:rPr>
      </w:pPr>
    </w:p>
    <w:p w:rsidR="00564A7D" w:rsidRPr="00152A42" w:rsidRDefault="00564A7D" w:rsidP="00700241">
      <w:pPr>
        <w:pStyle w:val="FootnoteText"/>
        <w:numPr>
          <w:ilvl w:val="0"/>
          <w:numId w:val="5"/>
        </w:numPr>
        <w:ind w:left="851" w:hanging="491"/>
        <w:jc w:val="left"/>
        <w:rPr>
          <w:sz w:val="24"/>
          <w:szCs w:val="24"/>
        </w:rPr>
      </w:pPr>
      <w:r w:rsidRPr="00152A42">
        <w:rPr>
          <w:sz w:val="24"/>
          <w:szCs w:val="24"/>
        </w:rPr>
        <w:t>Security Council Resolution</w:t>
      </w:r>
      <w:r w:rsidR="0004150D" w:rsidRPr="00152A42">
        <w:rPr>
          <w:sz w:val="24"/>
          <w:szCs w:val="24"/>
        </w:rPr>
        <w:t xml:space="preserve"> 776. 14 September 1992. UN Doc. </w:t>
      </w:r>
      <w:r w:rsidRPr="00152A42">
        <w:rPr>
          <w:sz w:val="24"/>
          <w:szCs w:val="24"/>
        </w:rPr>
        <w:t xml:space="preserve">S/RES/776. </w:t>
      </w:r>
    </w:p>
    <w:p w:rsidR="00564A7D" w:rsidRPr="00152A42" w:rsidRDefault="00564A7D" w:rsidP="00700241">
      <w:pPr>
        <w:pStyle w:val="FootnoteText"/>
        <w:ind w:left="851" w:hanging="491"/>
        <w:jc w:val="left"/>
        <w:rPr>
          <w:rFonts w:eastAsiaTheme="majorEastAsia"/>
          <w:sz w:val="24"/>
          <w:szCs w:val="24"/>
        </w:rPr>
      </w:pPr>
    </w:p>
    <w:p w:rsidR="00564A7D" w:rsidRPr="00152A42" w:rsidRDefault="00564A7D" w:rsidP="00700241">
      <w:pPr>
        <w:pStyle w:val="FootnoteText"/>
        <w:numPr>
          <w:ilvl w:val="0"/>
          <w:numId w:val="5"/>
        </w:numPr>
        <w:ind w:left="851" w:hanging="491"/>
        <w:jc w:val="left"/>
        <w:rPr>
          <w:sz w:val="24"/>
          <w:szCs w:val="24"/>
        </w:rPr>
      </w:pPr>
      <w:r w:rsidRPr="00152A42">
        <w:rPr>
          <w:sz w:val="24"/>
          <w:szCs w:val="24"/>
        </w:rPr>
        <w:t>Security Council Resolution</w:t>
      </w:r>
      <w:r w:rsidR="008C63FD" w:rsidRPr="00152A42">
        <w:rPr>
          <w:sz w:val="24"/>
          <w:szCs w:val="24"/>
        </w:rPr>
        <w:t xml:space="preserve"> 819.</w:t>
      </w:r>
      <w:r w:rsidRPr="00152A42">
        <w:rPr>
          <w:sz w:val="24"/>
          <w:szCs w:val="24"/>
        </w:rPr>
        <w:t xml:space="preserve"> </w:t>
      </w:r>
      <w:r w:rsidR="008C63FD" w:rsidRPr="00152A42">
        <w:rPr>
          <w:sz w:val="24"/>
          <w:szCs w:val="24"/>
        </w:rPr>
        <w:t xml:space="preserve">16 April 1993. UN. Doc. </w:t>
      </w:r>
      <w:r w:rsidRPr="00152A42">
        <w:rPr>
          <w:sz w:val="24"/>
          <w:szCs w:val="24"/>
        </w:rPr>
        <w:t xml:space="preserve">S/RES/819. </w:t>
      </w:r>
    </w:p>
    <w:p w:rsidR="00564A7D" w:rsidRPr="00152A42" w:rsidRDefault="00564A7D" w:rsidP="00700241">
      <w:pPr>
        <w:pStyle w:val="FootnoteText"/>
        <w:ind w:left="851" w:hanging="491"/>
        <w:jc w:val="left"/>
        <w:rPr>
          <w:sz w:val="24"/>
          <w:szCs w:val="24"/>
        </w:rPr>
      </w:pPr>
    </w:p>
    <w:p w:rsidR="0055203D" w:rsidRPr="00152A42" w:rsidRDefault="00564A7D" w:rsidP="00700241">
      <w:pPr>
        <w:pStyle w:val="FootnoteText"/>
        <w:numPr>
          <w:ilvl w:val="0"/>
          <w:numId w:val="5"/>
        </w:numPr>
        <w:ind w:left="851" w:hanging="491"/>
        <w:jc w:val="left"/>
        <w:rPr>
          <w:sz w:val="24"/>
          <w:szCs w:val="24"/>
        </w:rPr>
      </w:pPr>
      <w:r w:rsidRPr="00152A42">
        <w:rPr>
          <w:sz w:val="24"/>
          <w:szCs w:val="24"/>
        </w:rPr>
        <w:t>Security Council Resolution</w:t>
      </w:r>
      <w:r w:rsidR="00F266DA" w:rsidRPr="00152A42">
        <w:rPr>
          <w:sz w:val="24"/>
          <w:szCs w:val="24"/>
        </w:rPr>
        <w:t xml:space="preserve"> 824. 6 May 1993. UN. Doc. S/RES/824.</w:t>
      </w:r>
      <w:r w:rsidRPr="00152A42">
        <w:rPr>
          <w:sz w:val="24"/>
          <w:szCs w:val="24"/>
        </w:rPr>
        <w:t xml:space="preserve"> </w:t>
      </w:r>
    </w:p>
    <w:p w:rsidR="002D65EB" w:rsidRPr="00152A42" w:rsidRDefault="002D65EB" w:rsidP="003F5C52">
      <w:pPr>
        <w:pStyle w:val="FootnoteText"/>
        <w:jc w:val="left"/>
        <w:rPr>
          <w:sz w:val="24"/>
          <w:szCs w:val="24"/>
        </w:rPr>
      </w:pPr>
    </w:p>
    <w:p w:rsidR="002D65EB" w:rsidRPr="00152A42" w:rsidRDefault="002D65EB" w:rsidP="00700241">
      <w:pPr>
        <w:pStyle w:val="FootnoteText"/>
        <w:numPr>
          <w:ilvl w:val="0"/>
          <w:numId w:val="5"/>
        </w:numPr>
        <w:ind w:left="851" w:hanging="491"/>
        <w:jc w:val="left"/>
        <w:rPr>
          <w:sz w:val="24"/>
          <w:szCs w:val="24"/>
        </w:rPr>
      </w:pPr>
      <w:r w:rsidRPr="00152A42">
        <w:rPr>
          <w:sz w:val="24"/>
          <w:szCs w:val="24"/>
        </w:rPr>
        <w:t xml:space="preserve">Security Council Resolution 770. 13 August 1992. UN Doc. S/RES/770. </w:t>
      </w:r>
    </w:p>
    <w:p w:rsidR="002D65EB" w:rsidRPr="00152A42" w:rsidRDefault="002D65EB" w:rsidP="00700241">
      <w:pPr>
        <w:pStyle w:val="FootnoteText"/>
        <w:ind w:left="851" w:hanging="491"/>
        <w:jc w:val="left"/>
        <w:rPr>
          <w:sz w:val="24"/>
          <w:szCs w:val="24"/>
        </w:rPr>
      </w:pPr>
    </w:p>
    <w:p w:rsidR="002D65EB" w:rsidRPr="00152A42" w:rsidRDefault="002D65EB" w:rsidP="00700241">
      <w:pPr>
        <w:pStyle w:val="FootnoteText"/>
        <w:numPr>
          <w:ilvl w:val="0"/>
          <w:numId w:val="5"/>
        </w:numPr>
        <w:ind w:left="851" w:hanging="491"/>
        <w:jc w:val="left"/>
        <w:rPr>
          <w:sz w:val="24"/>
          <w:szCs w:val="24"/>
        </w:rPr>
      </w:pPr>
      <w:r w:rsidRPr="00152A42">
        <w:rPr>
          <w:sz w:val="24"/>
          <w:szCs w:val="24"/>
        </w:rPr>
        <w:t xml:space="preserve">Security Council Resolution 771. 13 August 1992. UN Doc. S/RES/771. </w:t>
      </w:r>
    </w:p>
    <w:p w:rsidR="006E3DCC" w:rsidRPr="00152A42" w:rsidRDefault="006E3DCC" w:rsidP="00700241">
      <w:pPr>
        <w:pStyle w:val="FootnoteText"/>
        <w:ind w:left="851" w:hanging="491"/>
        <w:jc w:val="left"/>
        <w:rPr>
          <w:sz w:val="24"/>
          <w:szCs w:val="24"/>
        </w:rPr>
      </w:pPr>
    </w:p>
    <w:p w:rsidR="002D65EB" w:rsidRPr="00152A42" w:rsidRDefault="002D65EB" w:rsidP="00700241">
      <w:pPr>
        <w:pStyle w:val="FootnoteText"/>
        <w:numPr>
          <w:ilvl w:val="0"/>
          <w:numId w:val="5"/>
        </w:numPr>
        <w:ind w:left="851" w:hanging="491"/>
        <w:jc w:val="left"/>
        <w:rPr>
          <w:sz w:val="24"/>
          <w:szCs w:val="24"/>
        </w:rPr>
      </w:pPr>
      <w:r w:rsidRPr="00152A42">
        <w:rPr>
          <w:sz w:val="24"/>
          <w:szCs w:val="24"/>
        </w:rPr>
        <w:t xml:space="preserve">Security Council Resolution 836. 4 June 1993. UN Doc. S/RES/836. </w:t>
      </w:r>
    </w:p>
    <w:p w:rsidR="000A1B63" w:rsidRPr="00152A42" w:rsidRDefault="000A1B63" w:rsidP="00F63CC2">
      <w:pPr>
        <w:pStyle w:val="FootnoteText"/>
        <w:jc w:val="left"/>
        <w:rPr>
          <w:sz w:val="24"/>
          <w:szCs w:val="24"/>
        </w:rPr>
      </w:pPr>
    </w:p>
    <w:p w:rsidR="004356C7" w:rsidRPr="00152A42" w:rsidRDefault="004356C7" w:rsidP="00700241">
      <w:pPr>
        <w:pStyle w:val="FootnoteText"/>
        <w:numPr>
          <w:ilvl w:val="0"/>
          <w:numId w:val="5"/>
        </w:numPr>
        <w:ind w:left="851" w:hanging="491"/>
        <w:jc w:val="left"/>
        <w:rPr>
          <w:sz w:val="24"/>
          <w:szCs w:val="24"/>
        </w:rPr>
      </w:pPr>
      <w:r w:rsidRPr="00152A42">
        <w:rPr>
          <w:sz w:val="24"/>
          <w:szCs w:val="24"/>
        </w:rPr>
        <w:t xml:space="preserve">Security Council Resolution 1368. 12 September 2001. UN Doc. S/RES/1368. </w:t>
      </w:r>
    </w:p>
    <w:p w:rsidR="004356C7" w:rsidRPr="00152A42" w:rsidRDefault="004356C7" w:rsidP="00700241">
      <w:pPr>
        <w:pStyle w:val="FootnoteText"/>
        <w:ind w:left="851" w:hanging="491"/>
        <w:jc w:val="left"/>
        <w:rPr>
          <w:sz w:val="24"/>
          <w:szCs w:val="24"/>
        </w:rPr>
      </w:pPr>
    </w:p>
    <w:p w:rsidR="004356C7" w:rsidRPr="00152A42" w:rsidRDefault="004356C7" w:rsidP="00700241">
      <w:pPr>
        <w:pStyle w:val="FootnoteText"/>
        <w:numPr>
          <w:ilvl w:val="0"/>
          <w:numId w:val="5"/>
        </w:numPr>
        <w:ind w:left="851" w:hanging="491"/>
        <w:jc w:val="left"/>
        <w:rPr>
          <w:sz w:val="24"/>
          <w:szCs w:val="24"/>
        </w:rPr>
      </w:pPr>
      <w:r w:rsidRPr="00152A42">
        <w:rPr>
          <w:sz w:val="24"/>
          <w:szCs w:val="24"/>
        </w:rPr>
        <w:t xml:space="preserve">Security Council Resolution 1373. 28 September 2001. UN Doc. S/RES/1368. </w:t>
      </w:r>
    </w:p>
    <w:p w:rsidR="006A01BA" w:rsidRPr="00152A42" w:rsidRDefault="006A01BA" w:rsidP="00700241">
      <w:pPr>
        <w:pStyle w:val="FootnoteText"/>
        <w:jc w:val="left"/>
        <w:rPr>
          <w:sz w:val="24"/>
          <w:szCs w:val="24"/>
        </w:rPr>
      </w:pPr>
    </w:p>
    <w:p w:rsidR="006A01BA" w:rsidRPr="00152A42" w:rsidRDefault="006A01BA" w:rsidP="00700241">
      <w:pPr>
        <w:pStyle w:val="FootnoteText"/>
        <w:numPr>
          <w:ilvl w:val="0"/>
          <w:numId w:val="5"/>
        </w:numPr>
        <w:ind w:left="851" w:hanging="491"/>
        <w:jc w:val="left"/>
        <w:rPr>
          <w:sz w:val="24"/>
          <w:szCs w:val="24"/>
        </w:rPr>
      </w:pPr>
      <w:r w:rsidRPr="00152A42">
        <w:rPr>
          <w:sz w:val="24"/>
          <w:szCs w:val="24"/>
        </w:rPr>
        <w:t xml:space="preserve">Security Council Resolution 1386. 20 December 2001. UN Doc. S/RES/1386. </w:t>
      </w:r>
    </w:p>
    <w:p w:rsidR="006A01BA" w:rsidRPr="00152A42" w:rsidRDefault="006A01BA" w:rsidP="00700241">
      <w:pPr>
        <w:pStyle w:val="FootnoteText"/>
        <w:ind w:left="851" w:hanging="491"/>
        <w:jc w:val="left"/>
        <w:rPr>
          <w:sz w:val="24"/>
          <w:szCs w:val="24"/>
        </w:rPr>
      </w:pPr>
    </w:p>
    <w:p w:rsidR="006A01BA" w:rsidRPr="00152A42" w:rsidRDefault="006A01BA" w:rsidP="00700241">
      <w:pPr>
        <w:pStyle w:val="FootnoteText"/>
        <w:numPr>
          <w:ilvl w:val="0"/>
          <w:numId w:val="5"/>
        </w:numPr>
        <w:ind w:left="851" w:hanging="491"/>
        <w:jc w:val="left"/>
        <w:rPr>
          <w:sz w:val="24"/>
          <w:szCs w:val="24"/>
        </w:rPr>
      </w:pPr>
      <w:r w:rsidRPr="00152A42">
        <w:rPr>
          <w:sz w:val="24"/>
          <w:szCs w:val="24"/>
        </w:rPr>
        <w:t xml:space="preserve">Security Council Resolution 1401. 28 March 2002. UN Doc. S/RES/1401. </w:t>
      </w:r>
    </w:p>
    <w:p w:rsidR="006A01BA" w:rsidRPr="00152A42" w:rsidRDefault="006A01BA" w:rsidP="00700241">
      <w:pPr>
        <w:pStyle w:val="FootnoteText"/>
        <w:ind w:left="851" w:hanging="491"/>
        <w:jc w:val="left"/>
        <w:rPr>
          <w:sz w:val="24"/>
          <w:szCs w:val="24"/>
        </w:rPr>
      </w:pPr>
    </w:p>
    <w:p w:rsidR="00456F2E" w:rsidRDefault="00BC7EB8" w:rsidP="003F5C52">
      <w:pPr>
        <w:pStyle w:val="FootnoteText"/>
        <w:numPr>
          <w:ilvl w:val="0"/>
          <w:numId w:val="5"/>
        </w:numPr>
        <w:spacing w:after="240"/>
        <w:ind w:left="851" w:hanging="491"/>
        <w:jc w:val="left"/>
        <w:rPr>
          <w:sz w:val="24"/>
          <w:szCs w:val="24"/>
        </w:rPr>
      </w:pPr>
      <w:r w:rsidRPr="00152A42">
        <w:rPr>
          <w:sz w:val="24"/>
          <w:szCs w:val="24"/>
        </w:rPr>
        <w:t xml:space="preserve">Security Council Resolution 1510. 13 October 2003. UN Doc. </w:t>
      </w:r>
      <w:r w:rsidR="00A7374B">
        <w:rPr>
          <w:sz w:val="24"/>
          <w:szCs w:val="24"/>
        </w:rPr>
        <w:t>S/RES/</w:t>
      </w:r>
      <w:r w:rsidRPr="00152A42">
        <w:rPr>
          <w:sz w:val="24"/>
          <w:szCs w:val="24"/>
        </w:rPr>
        <w:t xml:space="preserve">1510. </w:t>
      </w:r>
    </w:p>
    <w:p w:rsidR="003F5C52" w:rsidRDefault="003F5C52" w:rsidP="003F5C52">
      <w:pPr>
        <w:pStyle w:val="ListParagraph"/>
      </w:pPr>
    </w:p>
    <w:p w:rsidR="0038398D" w:rsidRDefault="00F234E7" w:rsidP="00700241">
      <w:pPr>
        <w:spacing w:before="240" w:after="120"/>
        <w:rPr>
          <w:b/>
          <w:color w:val="000000"/>
          <w:lang w:val="lt-LT"/>
        </w:rPr>
      </w:pPr>
      <w:r w:rsidRPr="0006604A">
        <w:rPr>
          <w:b/>
          <w:color w:val="000000"/>
          <w:lang w:val="lt-LT"/>
        </w:rPr>
        <w:t>Nacionaliniai norminiai teisės aktai:</w:t>
      </w:r>
    </w:p>
    <w:p w:rsidR="003E3F52" w:rsidRPr="0006604A" w:rsidRDefault="003E3F52" w:rsidP="00700241">
      <w:pPr>
        <w:spacing w:before="240" w:after="120"/>
        <w:rPr>
          <w:b/>
          <w:color w:val="000000"/>
          <w:lang w:val="lt-LT"/>
        </w:rPr>
      </w:pPr>
    </w:p>
    <w:p w:rsidR="0046115F" w:rsidRPr="00030C8D" w:rsidRDefault="00F234E7" w:rsidP="00030C8D">
      <w:pPr>
        <w:pStyle w:val="FootnoteText"/>
        <w:numPr>
          <w:ilvl w:val="0"/>
          <w:numId w:val="5"/>
        </w:numPr>
        <w:ind w:left="851" w:hanging="491"/>
        <w:rPr>
          <w:sz w:val="24"/>
          <w:szCs w:val="24"/>
          <w:lang w:val="lt-LT"/>
        </w:rPr>
      </w:pPr>
      <w:r w:rsidRPr="0006604A">
        <w:rPr>
          <w:sz w:val="24"/>
          <w:szCs w:val="24"/>
          <w:lang w:val="lt-LT"/>
        </w:rPr>
        <w:t>Lietuvos Respublikos Konstitucija, 1992.</w:t>
      </w:r>
      <w:r w:rsidR="00C0126E">
        <w:rPr>
          <w:sz w:val="24"/>
          <w:szCs w:val="24"/>
          <w:lang w:val="lt-LT"/>
        </w:rPr>
        <w:t xml:space="preserve"> </w:t>
      </w:r>
      <w:r w:rsidR="000C3032">
        <w:rPr>
          <w:sz w:val="24"/>
          <w:szCs w:val="24"/>
          <w:lang w:val="lt-LT"/>
        </w:rPr>
        <w:t>// Valstybės žinios. 1992, Nr. 33-1014.</w:t>
      </w:r>
    </w:p>
    <w:p w:rsidR="003F5C52" w:rsidRDefault="003F5C52" w:rsidP="0046115F">
      <w:pPr>
        <w:pStyle w:val="FootnoteText"/>
        <w:ind w:left="851"/>
        <w:rPr>
          <w:sz w:val="24"/>
          <w:szCs w:val="24"/>
          <w:lang w:val="lt-LT"/>
        </w:rPr>
      </w:pPr>
    </w:p>
    <w:p w:rsidR="003F5C52" w:rsidRPr="003F5C52" w:rsidRDefault="00F234E7" w:rsidP="003F5C52">
      <w:pPr>
        <w:pStyle w:val="FootnoteText"/>
        <w:numPr>
          <w:ilvl w:val="0"/>
          <w:numId w:val="5"/>
        </w:numPr>
        <w:spacing w:after="240"/>
        <w:ind w:left="851" w:hanging="491"/>
        <w:rPr>
          <w:sz w:val="24"/>
          <w:szCs w:val="24"/>
          <w:lang w:val="lt-LT"/>
        </w:rPr>
      </w:pPr>
      <w:r w:rsidRPr="0006604A">
        <w:rPr>
          <w:sz w:val="24"/>
          <w:szCs w:val="24"/>
          <w:lang w:val="lt-LT"/>
        </w:rPr>
        <w:t>Lietuvos Respublikos Nacionalinio S</w:t>
      </w:r>
      <w:r w:rsidR="00AA2859" w:rsidRPr="0006604A">
        <w:rPr>
          <w:sz w:val="24"/>
          <w:szCs w:val="24"/>
          <w:lang w:val="lt-LT"/>
        </w:rPr>
        <w:t xml:space="preserve">augumo pagrindų įstatymas, 1996. </w:t>
      </w:r>
      <w:r w:rsidRPr="0006604A">
        <w:rPr>
          <w:sz w:val="24"/>
          <w:szCs w:val="24"/>
          <w:lang w:val="lt-LT"/>
        </w:rPr>
        <w:t xml:space="preserve">// </w:t>
      </w:r>
      <w:r w:rsidR="00030C8D">
        <w:rPr>
          <w:sz w:val="24"/>
          <w:szCs w:val="24"/>
          <w:lang w:val="lt-LT"/>
        </w:rPr>
        <w:t>Valstybės žinios. 1997, Nr. 2-16</w:t>
      </w:r>
      <w:r w:rsidR="00030C8D" w:rsidRPr="0006604A">
        <w:rPr>
          <w:sz w:val="24"/>
          <w:szCs w:val="24"/>
          <w:lang w:val="lt-LT"/>
        </w:rPr>
        <w:t>.</w:t>
      </w:r>
    </w:p>
    <w:p w:rsidR="00844003" w:rsidRPr="0046115F" w:rsidRDefault="00844003" w:rsidP="00844003">
      <w:pPr>
        <w:pStyle w:val="FootnoteText"/>
        <w:numPr>
          <w:ilvl w:val="0"/>
          <w:numId w:val="5"/>
        </w:numPr>
        <w:spacing w:after="240"/>
        <w:ind w:left="851" w:hanging="491"/>
        <w:jc w:val="left"/>
        <w:rPr>
          <w:sz w:val="24"/>
          <w:szCs w:val="24"/>
          <w:lang w:val="lt-LT"/>
        </w:rPr>
      </w:pPr>
      <w:r w:rsidRPr="001D6E17">
        <w:rPr>
          <w:rStyle w:val="dpav"/>
          <w:rFonts w:eastAsiaTheme="majorEastAsia"/>
          <w:sz w:val="24"/>
          <w:szCs w:val="24"/>
          <w:lang w:val="lt-LT"/>
        </w:rPr>
        <w:t xml:space="preserve">Lietuvos Respublikos 2011 metų valstybės biudžeto ir savivaldybių biudžetų finansinių rodiklių patvirtinimo įstatymas, 2010 // </w:t>
      </w:r>
      <w:r w:rsidR="001054C6">
        <w:rPr>
          <w:rFonts w:eastAsiaTheme="majorEastAsia"/>
          <w:sz w:val="24"/>
          <w:szCs w:val="24"/>
          <w:lang w:val="lt-LT"/>
        </w:rPr>
        <w:t xml:space="preserve">Valstybės žinios. 2010, Nr. </w:t>
      </w:r>
      <w:r w:rsidR="001054C6" w:rsidRPr="001054C6">
        <w:rPr>
          <w:rFonts w:eastAsiaTheme="majorEastAsia"/>
          <w:sz w:val="24"/>
          <w:szCs w:val="24"/>
          <w:lang w:val="lt-LT"/>
        </w:rPr>
        <w:t>151-7712</w:t>
      </w:r>
      <w:r w:rsidR="001054C6">
        <w:rPr>
          <w:rFonts w:eastAsiaTheme="majorEastAsia"/>
          <w:sz w:val="24"/>
          <w:szCs w:val="24"/>
          <w:lang w:val="lt-LT"/>
        </w:rPr>
        <w:t>.</w:t>
      </w:r>
    </w:p>
    <w:p w:rsidR="0046115F" w:rsidRPr="0046115F" w:rsidRDefault="0046115F" w:rsidP="0046115F">
      <w:pPr>
        <w:pStyle w:val="FootnoteText"/>
        <w:numPr>
          <w:ilvl w:val="0"/>
          <w:numId w:val="5"/>
        </w:numPr>
        <w:spacing w:after="240"/>
        <w:ind w:left="851" w:hanging="491"/>
        <w:jc w:val="left"/>
        <w:rPr>
          <w:sz w:val="24"/>
          <w:szCs w:val="24"/>
          <w:lang w:val="lt-LT"/>
        </w:rPr>
      </w:pPr>
      <w:r w:rsidRPr="0006604A">
        <w:rPr>
          <w:sz w:val="24"/>
          <w:szCs w:val="24"/>
          <w:lang w:val="lt-LT"/>
        </w:rPr>
        <w:lastRenderedPageBreak/>
        <w:t>Lietuvos Respublikos Tarptautinių operacijų, pratybų ir kitų karinio bendradarbiavimo renginių įstatymas, 1994</w:t>
      </w:r>
      <w:r w:rsidR="00100E48">
        <w:rPr>
          <w:sz w:val="24"/>
          <w:szCs w:val="24"/>
          <w:lang w:val="lt-LT"/>
        </w:rPr>
        <w:t xml:space="preserve"> </w:t>
      </w:r>
      <w:r w:rsidRPr="0006604A">
        <w:rPr>
          <w:sz w:val="24"/>
          <w:szCs w:val="24"/>
          <w:lang w:val="lt-LT"/>
        </w:rPr>
        <w:t xml:space="preserve">// </w:t>
      </w:r>
      <w:r w:rsidR="00775A59">
        <w:rPr>
          <w:sz w:val="24"/>
          <w:szCs w:val="24"/>
          <w:lang w:val="lt-LT"/>
        </w:rPr>
        <w:t>Valstybės žinios. 1994, Nr. 58-1133</w:t>
      </w:r>
      <w:r w:rsidR="00100E48">
        <w:rPr>
          <w:sz w:val="24"/>
          <w:szCs w:val="24"/>
          <w:lang w:val="lt-LT"/>
        </w:rPr>
        <w:t xml:space="preserve">. </w:t>
      </w:r>
    </w:p>
    <w:p w:rsidR="00D66BAC" w:rsidRPr="000E11D7" w:rsidRDefault="00844003" w:rsidP="003F5C52">
      <w:pPr>
        <w:pStyle w:val="FootnoteText"/>
        <w:numPr>
          <w:ilvl w:val="0"/>
          <w:numId w:val="5"/>
        </w:numPr>
        <w:ind w:left="851" w:hanging="491"/>
        <w:jc w:val="left"/>
        <w:rPr>
          <w:sz w:val="24"/>
          <w:szCs w:val="24"/>
          <w:lang w:val="lt-LT"/>
        </w:rPr>
      </w:pPr>
      <w:r w:rsidRPr="0006604A">
        <w:rPr>
          <w:sz w:val="24"/>
          <w:szCs w:val="24"/>
          <w:lang w:val="lt-LT"/>
        </w:rPr>
        <w:t>Nacionalinė Saugumo Strategija, 2005.</w:t>
      </w:r>
      <w:r w:rsidR="003F5C52">
        <w:rPr>
          <w:sz w:val="24"/>
          <w:szCs w:val="24"/>
          <w:lang w:val="lt-LT"/>
        </w:rPr>
        <w:t xml:space="preserve"> // </w:t>
      </w:r>
      <w:r w:rsidR="00C93A2C">
        <w:rPr>
          <w:rFonts w:eastAsiaTheme="majorEastAsia"/>
          <w:sz w:val="24"/>
          <w:szCs w:val="24"/>
          <w:lang w:val="lt-LT"/>
        </w:rPr>
        <w:t>Valstybės žinios. 2005, Nr. 15-473.</w:t>
      </w:r>
    </w:p>
    <w:p w:rsidR="000E11D7" w:rsidRPr="003F5C52" w:rsidRDefault="000E11D7" w:rsidP="000E11D7">
      <w:pPr>
        <w:pStyle w:val="FootnoteText"/>
        <w:ind w:left="851"/>
        <w:jc w:val="left"/>
        <w:rPr>
          <w:sz w:val="24"/>
          <w:szCs w:val="24"/>
          <w:lang w:val="lt-LT"/>
        </w:rPr>
      </w:pPr>
    </w:p>
    <w:p w:rsidR="0046115F" w:rsidRDefault="0046115F" w:rsidP="0046115F">
      <w:pPr>
        <w:pStyle w:val="FootnoteText"/>
        <w:numPr>
          <w:ilvl w:val="0"/>
          <w:numId w:val="5"/>
        </w:numPr>
        <w:ind w:left="851" w:hanging="491"/>
        <w:rPr>
          <w:sz w:val="24"/>
          <w:szCs w:val="24"/>
          <w:lang w:val="lt-LT"/>
        </w:rPr>
      </w:pPr>
      <w:r w:rsidRPr="0006604A">
        <w:rPr>
          <w:sz w:val="24"/>
          <w:szCs w:val="24"/>
          <w:lang w:val="lt-LT"/>
        </w:rPr>
        <w:t xml:space="preserve">Lietuvos Respublikos </w:t>
      </w:r>
      <w:r w:rsidR="00A23910">
        <w:rPr>
          <w:sz w:val="24"/>
          <w:szCs w:val="24"/>
          <w:lang w:val="lt-LT"/>
        </w:rPr>
        <w:t xml:space="preserve">Vyriausybės 2009 m. rugpjūčio 19 d. nutarimas Nr. 989 „Dėl Lietuvos Respublikos </w:t>
      </w:r>
      <w:r w:rsidRPr="0006604A">
        <w:rPr>
          <w:sz w:val="24"/>
          <w:szCs w:val="24"/>
          <w:lang w:val="lt-LT"/>
        </w:rPr>
        <w:t>dalyvavimo tarptautinės bendruomenės veikloje Afganistano Islamo Respublikoje 2009–2013 met</w:t>
      </w:r>
      <w:r w:rsidR="00A23910">
        <w:rPr>
          <w:sz w:val="24"/>
          <w:szCs w:val="24"/>
          <w:lang w:val="lt-LT"/>
        </w:rPr>
        <w:t>ų strategijos patvirtinimo“ // Valstybės žinios. 2009, Nr. 108-4552.</w:t>
      </w:r>
    </w:p>
    <w:p w:rsidR="0046115F" w:rsidRPr="001D6E17" w:rsidRDefault="0046115F" w:rsidP="0046115F">
      <w:pPr>
        <w:pStyle w:val="FootnoteText"/>
        <w:ind w:left="851"/>
        <w:rPr>
          <w:lang w:val="lt-LT"/>
        </w:rPr>
      </w:pPr>
    </w:p>
    <w:p w:rsidR="00700241" w:rsidRPr="0046115F" w:rsidRDefault="00F234E7" w:rsidP="0046115F">
      <w:pPr>
        <w:pStyle w:val="FootnoteText"/>
        <w:numPr>
          <w:ilvl w:val="0"/>
          <w:numId w:val="5"/>
        </w:numPr>
        <w:spacing w:after="240"/>
        <w:ind w:left="851" w:hanging="491"/>
        <w:rPr>
          <w:sz w:val="24"/>
          <w:szCs w:val="24"/>
          <w:lang w:val="lt-LT"/>
        </w:rPr>
      </w:pPr>
      <w:r w:rsidRPr="0006604A">
        <w:rPr>
          <w:sz w:val="24"/>
          <w:szCs w:val="24"/>
          <w:lang w:val="lt-LT"/>
        </w:rPr>
        <w:t>Lietuvos Respublikos Vyriausybės 2007 m. birželio 14 d. nutarimas Nr. X-1184 “Dėl Lietuvos Respublikos karinių vienetų dalyvavimo tarptautinėse operacijose Balkanų, Centrinės ir Pietų Azijos, Pietų Kaukazo bei Persijos įlankos regionuose”// Valstybės žinios. 2007, Nr. 69-2726.</w:t>
      </w:r>
    </w:p>
    <w:p w:rsidR="00700241" w:rsidRDefault="00F234E7" w:rsidP="00537A4F">
      <w:pPr>
        <w:pStyle w:val="FootnoteText"/>
        <w:numPr>
          <w:ilvl w:val="0"/>
          <w:numId w:val="5"/>
        </w:numPr>
        <w:ind w:left="851" w:hanging="491"/>
        <w:rPr>
          <w:sz w:val="24"/>
          <w:szCs w:val="24"/>
          <w:lang w:val="lt-LT"/>
        </w:rPr>
      </w:pPr>
      <w:r w:rsidRPr="0006604A">
        <w:rPr>
          <w:sz w:val="24"/>
          <w:szCs w:val="24"/>
          <w:lang w:val="lt-LT"/>
        </w:rPr>
        <w:t>Lietuvos Respublikos Vyriausybės 2005 m. gegužės 23 d. nutarimas  Nr. 569 „Dėl tikslingumo dalyvauti Afganistano Goro provincijos atkūrimo grupės veikloje“ ”// Valstybės žinios. 2005, Nr. 66-2364.</w:t>
      </w:r>
    </w:p>
    <w:p w:rsidR="00537A4F" w:rsidRPr="00537A4F" w:rsidRDefault="00537A4F" w:rsidP="00537A4F">
      <w:pPr>
        <w:pStyle w:val="FootnoteText"/>
        <w:ind w:left="851"/>
        <w:rPr>
          <w:sz w:val="24"/>
          <w:szCs w:val="24"/>
          <w:lang w:val="lt-LT"/>
        </w:rPr>
      </w:pPr>
    </w:p>
    <w:p w:rsidR="00F234E7" w:rsidRPr="0006604A" w:rsidRDefault="00F234E7" w:rsidP="00700241">
      <w:pPr>
        <w:pStyle w:val="FootnoteText"/>
        <w:numPr>
          <w:ilvl w:val="0"/>
          <w:numId w:val="5"/>
        </w:numPr>
        <w:spacing w:after="240"/>
        <w:ind w:left="851" w:hanging="491"/>
        <w:rPr>
          <w:sz w:val="24"/>
          <w:szCs w:val="24"/>
          <w:lang w:val="lt-LT"/>
        </w:rPr>
      </w:pPr>
      <w:r w:rsidRPr="0006604A">
        <w:rPr>
          <w:sz w:val="24"/>
          <w:szCs w:val="24"/>
          <w:lang w:val="lt-LT"/>
        </w:rPr>
        <w:t>Lietuvos Respublikos Vyriausybės 2005 m. birželio 30 d. nutarimas  Nr. 732 “Dėl Lietuvos Respublikos specialiosios misijos Afganistano Islamo Respublikoje ”// Valstybės žinios. 2005, Nr. . 82-3017.</w:t>
      </w:r>
    </w:p>
    <w:p w:rsidR="00F234E7" w:rsidRPr="0006604A" w:rsidRDefault="00F234E7" w:rsidP="00700241">
      <w:pPr>
        <w:pStyle w:val="FootnoteText"/>
        <w:numPr>
          <w:ilvl w:val="0"/>
          <w:numId w:val="5"/>
        </w:numPr>
        <w:spacing w:after="240"/>
        <w:ind w:left="851" w:hanging="491"/>
        <w:rPr>
          <w:sz w:val="24"/>
          <w:szCs w:val="24"/>
          <w:lang w:val="lt-LT"/>
        </w:rPr>
      </w:pPr>
      <w:r w:rsidRPr="0006604A">
        <w:rPr>
          <w:sz w:val="24"/>
          <w:szCs w:val="24"/>
          <w:lang w:val="lt-LT"/>
        </w:rPr>
        <w:t xml:space="preserve">Lietuvos Respublikos krašto apsaugos ministro ir Lietuvos Respublikos užsienio reikalų ministro 2009 m. rugsėjo 3 d. įsakymas Nr. V-846/V-155 “Lietuvos Respublikos vadovaujamos Afganistano Islamo Respublikos Goro provincijos atkūrimo grupės veikloje </w:t>
      </w:r>
      <w:r w:rsidRPr="00BA7416">
        <w:rPr>
          <w:sz w:val="24"/>
          <w:szCs w:val="24"/>
          <w:lang w:val="lt-LT"/>
        </w:rPr>
        <w:t xml:space="preserve">dalyvaujančių karinio vieneto ir civilinio elemento sąveikos tvarkos aprašas” // </w:t>
      </w:r>
      <w:r w:rsidR="00BA7416" w:rsidRPr="00BA7416">
        <w:rPr>
          <w:sz w:val="24"/>
          <w:szCs w:val="24"/>
        </w:rPr>
        <w:t>Valstybės žinios. 2009, Nr. 108-4555.</w:t>
      </w:r>
    </w:p>
    <w:p w:rsidR="0038398D" w:rsidRDefault="00F234E7" w:rsidP="003421F7">
      <w:pPr>
        <w:pStyle w:val="ListParagraph"/>
        <w:spacing w:after="120"/>
        <w:ind w:left="720"/>
        <w:jc w:val="center"/>
        <w:rPr>
          <w:b/>
          <w:lang w:val="lt-LT"/>
        </w:rPr>
      </w:pPr>
      <w:r w:rsidRPr="0006604A">
        <w:rPr>
          <w:b/>
          <w:lang w:val="lt-LT"/>
        </w:rPr>
        <w:t>II. TEISMŲ SPRENDIMAI</w:t>
      </w:r>
    </w:p>
    <w:p w:rsidR="003421F7" w:rsidRPr="003421F7" w:rsidRDefault="003421F7" w:rsidP="003421F7">
      <w:pPr>
        <w:pStyle w:val="ListParagraph"/>
        <w:spacing w:after="120"/>
        <w:ind w:left="720"/>
        <w:jc w:val="center"/>
        <w:rPr>
          <w:b/>
          <w:lang w:val="lt-LT"/>
        </w:rPr>
      </w:pPr>
    </w:p>
    <w:p w:rsidR="00092D25" w:rsidRPr="00152A42" w:rsidRDefault="00092D25" w:rsidP="00700241">
      <w:pPr>
        <w:pStyle w:val="ListParagraph"/>
        <w:numPr>
          <w:ilvl w:val="0"/>
          <w:numId w:val="5"/>
        </w:numPr>
        <w:spacing w:after="120"/>
        <w:ind w:left="851" w:hanging="491"/>
      </w:pPr>
      <w:r w:rsidRPr="00152A42">
        <w:rPr>
          <w:iCs/>
        </w:rPr>
        <w:t>Reparation for Injuries Suffered in the Service of the United Nations</w:t>
      </w:r>
      <w:r w:rsidRPr="00152A42">
        <w:t>, Advisory Opin</w:t>
      </w:r>
      <w:r w:rsidR="00E22CA4" w:rsidRPr="00152A42">
        <w:t>ion: I.C.J. Reports 1949.</w:t>
      </w:r>
      <w:r w:rsidRPr="00152A42">
        <w:t xml:space="preserve"> /</w:t>
      </w:r>
      <w:proofErr w:type="gramStart"/>
      <w:r w:rsidRPr="00152A42">
        <w:t>/</w:t>
      </w:r>
      <w:r w:rsidRPr="00152A42">
        <w:rPr>
          <w:rFonts w:ascii="Century-Book" w:hAnsi="Century-Book" w:cs="Century-Book"/>
        </w:rPr>
        <w:t xml:space="preserve">  </w:t>
      </w:r>
      <w:proofErr w:type="gramEnd"/>
      <w:r w:rsidR="00275463">
        <w:fldChar w:fldCharType="begin"/>
      </w:r>
      <w:r w:rsidR="00B6472D">
        <w:instrText>HYPERLINK "http://www.icj-cij.org/docket/files/4/1835.pdf"</w:instrText>
      </w:r>
      <w:r w:rsidR="00275463">
        <w:fldChar w:fldCharType="separate"/>
      </w:r>
      <w:r w:rsidRPr="00152A42">
        <w:rPr>
          <w:rStyle w:val="Hyperlink"/>
          <w:rFonts w:eastAsiaTheme="majorEastAsia"/>
        </w:rPr>
        <w:t>http://www.icj-cij.org/docket/files/4/1835.pdf</w:t>
      </w:r>
      <w:r w:rsidR="00275463">
        <w:fldChar w:fldCharType="end"/>
      </w:r>
      <w:r w:rsidR="0055203D" w:rsidRPr="00152A42">
        <w:t>.</w:t>
      </w:r>
    </w:p>
    <w:p w:rsidR="0055203D" w:rsidRPr="00152A42" w:rsidRDefault="0055203D" w:rsidP="00700241">
      <w:pPr>
        <w:pStyle w:val="ListParagraph"/>
        <w:numPr>
          <w:ilvl w:val="0"/>
          <w:numId w:val="5"/>
        </w:numPr>
        <w:spacing w:after="120"/>
        <w:ind w:left="851" w:hanging="491"/>
        <w:jc w:val="left"/>
      </w:pPr>
      <w:r w:rsidRPr="00152A42">
        <w:lastRenderedPageBreak/>
        <w:t xml:space="preserve">Certain Expenses of The United Nations (Article 17, </w:t>
      </w:r>
      <w:r w:rsidR="00152A42" w:rsidRPr="00152A42">
        <w:t>Paragraph</w:t>
      </w:r>
      <w:r w:rsidRPr="00152A42">
        <w:t xml:space="preserve"> 2 </w:t>
      </w:r>
      <w:r w:rsidR="00152A42" w:rsidRPr="00152A42">
        <w:t>of the</w:t>
      </w:r>
      <w:r w:rsidRPr="00152A42">
        <w:t xml:space="preserve"> Charter) Advisory Opinion of 20 Ju</w:t>
      </w:r>
      <w:r w:rsidR="00E22CA4" w:rsidRPr="00152A42">
        <w:t>ly 1962: I.C.J. Reports</w:t>
      </w:r>
      <w:r w:rsidR="00E62492" w:rsidRPr="00152A42">
        <w:t xml:space="preserve"> 1962</w:t>
      </w:r>
      <w:r w:rsidR="00E22CA4" w:rsidRPr="00152A42">
        <w:t>.</w:t>
      </w:r>
      <w:r w:rsidRPr="00152A42">
        <w:t xml:space="preserve"> // </w:t>
      </w:r>
      <w:hyperlink r:id="rId31" w:history="1">
        <w:r w:rsidRPr="00152A42">
          <w:rPr>
            <w:rStyle w:val="Hyperlink"/>
            <w:rFonts w:eastAsiaTheme="majorEastAsia"/>
          </w:rPr>
          <w:t>http://www.icj-cij.org/docket/files/49/5259.pdf</w:t>
        </w:r>
      </w:hyperlink>
      <w:r w:rsidRPr="00152A42">
        <w:t>.</w:t>
      </w:r>
    </w:p>
    <w:p w:rsidR="00AB2946" w:rsidRPr="00152A42" w:rsidRDefault="00AB2946" w:rsidP="00700241">
      <w:pPr>
        <w:pStyle w:val="FootnoteText"/>
        <w:numPr>
          <w:ilvl w:val="0"/>
          <w:numId w:val="5"/>
        </w:numPr>
        <w:ind w:left="851" w:hanging="491"/>
        <w:jc w:val="left"/>
        <w:rPr>
          <w:sz w:val="24"/>
          <w:szCs w:val="24"/>
        </w:rPr>
      </w:pPr>
      <w:r w:rsidRPr="00152A42">
        <w:rPr>
          <w:sz w:val="24"/>
          <w:szCs w:val="24"/>
        </w:rPr>
        <w:t xml:space="preserve">Legal consequences of the Construction of a Wall in the </w:t>
      </w:r>
      <w:r w:rsidR="00450A36" w:rsidRPr="00152A42">
        <w:rPr>
          <w:sz w:val="24"/>
          <w:szCs w:val="24"/>
        </w:rPr>
        <w:t xml:space="preserve">Occupied Palestinian Territory, </w:t>
      </w:r>
      <w:r w:rsidRPr="00152A42">
        <w:rPr>
          <w:sz w:val="24"/>
          <w:szCs w:val="24"/>
        </w:rPr>
        <w:t>Advisory Opinion</w:t>
      </w:r>
      <w:r w:rsidR="00450A36" w:rsidRPr="00152A42">
        <w:rPr>
          <w:sz w:val="24"/>
          <w:szCs w:val="24"/>
        </w:rPr>
        <w:t>,</w:t>
      </w:r>
      <w:r w:rsidRPr="00152A42">
        <w:rPr>
          <w:sz w:val="24"/>
          <w:szCs w:val="24"/>
        </w:rPr>
        <w:t xml:space="preserve"> </w:t>
      </w:r>
      <w:r w:rsidR="00E22CA4" w:rsidRPr="00152A42">
        <w:rPr>
          <w:sz w:val="24"/>
          <w:szCs w:val="24"/>
        </w:rPr>
        <w:t>I.C.J. Reports</w:t>
      </w:r>
      <w:r w:rsidR="00450A36" w:rsidRPr="00152A42">
        <w:rPr>
          <w:sz w:val="24"/>
          <w:szCs w:val="24"/>
        </w:rPr>
        <w:t xml:space="preserve"> 2004</w:t>
      </w:r>
      <w:r w:rsidR="00E22CA4" w:rsidRPr="00152A42">
        <w:rPr>
          <w:sz w:val="24"/>
          <w:szCs w:val="24"/>
        </w:rPr>
        <w:t>.</w:t>
      </w:r>
      <w:r w:rsidRPr="00152A42">
        <w:rPr>
          <w:sz w:val="24"/>
          <w:szCs w:val="24"/>
        </w:rPr>
        <w:t xml:space="preserve"> // </w:t>
      </w:r>
      <w:hyperlink r:id="rId32" w:history="1">
        <w:r w:rsidRPr="00152A42">
          <w:rPr>
            <w:rStyle w:val="Hyperlink"/>
            <w:rFonts w:eastAsiaTheme="majorEastAsia"/>
            <w:sz w:val="24"/>
            <w:szCs w:val="24"/>
          </w:rPr>
          <w:t>http://www.icj-cij.org/docket/files/131/1671.pdf</w:t>
        </w:r>
      </w:hyperlink>
      <w:r w:rsidRPr="00152A42">
        <w:rPr>
          <w:sz w:val="24"/>
          <w:szCs w:val="24"/>
        </w:rPr>
        <w:t>.</w:t>
      </w:r>
    </w:p>
    <w:p w:rsidR="00C56167" w:rsidRPr="00152A42" w:rsidRDefault="00C56167" w:rsidP="00700241">
      <w:pPr>
        <w:pStyle w:val="FootnoteText"/>
        <w:ind w:left="851" w:hanging="491"/>
        <w:jc w:val="left"/>
        <w:rPr>
          <w:sz w:val="24"/>
          <w:szCs w:val="24"/>
        </w:rPr>
      </w:pPr>
    </w:p>
    <w:p w:rsidR="00C56167" w:rsidRPr="00152A42" w:rsidRDefault="00C56167" w:rsidP="00700241">
      <w:pPr>
        <w:pStyle w:val="FootnoteText"/>
        <w:numPr>
          <w:ilvl w:val="0"/>
          <w:numId w:val="5"/>
        </w:numPr>
        <w:ind w:left="851" w:hanging="491"/>
        <w:jc w:val="left"/>
        <w:rPr>
          <w:sz w:val="24"/>
          <w:szCs w:val="24"/>
        </w:rPr>
      </w:pPr>
      <w:r w:rsidRPr="00152A42">
        <w:rPr>
          <w:sz w:val="24"/>
          <w:szCs w:val="24"/>
        </w:rPr>
        <w:t xml:space="preserve">Separate opinion of Judge Higgins.  // </w:t>
      </w:r>
      <w:hyperlink r:id="rId33" w:history="1">
        <w:r w:rsidRPr="00152A42">
          <w:rPr>
            <w:rStyle w:val="Hyperlink"/>
            <w:sz w:val="24"/>
            <w:szCs w:val="24"/>
          </w:rPr>
          <w:t>http://www.icj-cij.org/docket/index.php?p1=3&amp;p2=4&amp;k=5a&amp;case=131&amp;code=mwp&amp;p3=4</w:t>
        </w:r>
      </w:hyperlink>
    </w:p>
    <w:p w:rsidR="0024182F" w:rsidRPr="00152A42" w:rsidRDefault="0024182F" w:rsidP="00700241">
      <w:pPr>
        <w:pStyle w:val="FootnoteText"/>
        <w:ind w:left="851" w:hanging="491"/>
        <w:jc w:val="left"/>
        <w:rPr>
          <w:sz w:val="24"/>
          <w:szCs w:val="24"/>
        </w:rPr>
      </w:pPr>
    </w:p>
    <w:p w:rsidR="00AB2946" w:rsidRPr="00152A42" w:rsidRDefault="00152A42" w:rsidP="00700241">
      <w:pPr>
        <w:pStyle w:val="FootnoteText"/>
        <w:numPr>
          <w:ilvl w:val="0"/>
          <w:numId w:val="5"/>
        </w:numPr>
        <w:ind w:left="851" w:hanging="491"/>
        <w:jc w:val="left"/>
        <w:rPr>
          <w:sz w:val="24"/>
          <w:szCs w:val="24"/>
        </w:rPr>
      </w:pPr>
      <w:r w:rsidRPr="00152A42">
        <w:rPr>
          <w:sz w:val="24"/>
          <w:szCs w:val="24"/>
        </w:rPr>
        <w:t>Dissenting</w:t>
      </w:r>
      <w:r w:rsidR="00AB2946" w:rsidRPr="00152A42">
        <w:rPr>
          <w:sz w:val="24"/>
          <w:szCs w:val="24"/>
        </w:rPr>
        <w:t xml:space="preserve"> Opinion of Judge Koretsky /</w:t>
      </w:r>
      <w:proofErr w:type="gramStart"/>
      <w:r w:rsidR="00AB2946" w:rsidRPr="00152A42">
        <w:rPr>
          <w:sz w:val="24"/>
          <w:szCs w:val="24"/>
        </w:rPr>
        <w:t xml:space="preserve">/  </w:t>
      </w:r>
      <w:proofErr w:type="gramEnd"/>
      <w:r w:rsidR="00275463">
        <w:fldChar w:fldCharType="begin"/>
      </w:r>
      <w:r w:rsidR="00B6472D">
        <w:instrText>HYPERLINK "http://www.icj-cij.org/docket/index.php?p1=3&amp;p2=4&amp;k=4a&amp;case=49&amp;code=ceun&amp;p3=4"</w:instrText>
      </w:r>
      <w:r w:rsidR="00275463">
        <w:fldChar w:fldCharType="separate"/>
      </w:r>
      <w:r w:rsidR="00AB2946" w:rsidRPr="00152A42">
        <w:rPr>
          <w:rStyle w:val="Hyperlink"/>
          <w:rFonts w:eastAsiaTheme="majorEastAsia"/>
          <w:sz w:val="24"/>
          <w:szCs w:val="24"/>
        </w:rPr>
        <w:t>http://www.icj-cij.org/docket/index.php?p1=3&amp;p2=4&amp;k=4a&amp;case=49&amp;code=ceun&amp;p3=4</w:t>
      </w:r>
      <w:r w:rsidR="00275463">
        <w:fldChar w:fldCharType="end"/>
      </w:r>
      <w:r w:rsidR="00AB2946" w:rsidRPr="00152A42">
        <w:rPr>
          <w:sz w:val="24"/>
          <w:szCs w:val="24"/>
        </w:rPr>
        <w:t>.</w:t>
      </w:r>
    </w:p>
    <w:p w:rsidR="00D14C01" w:rsidRPr="00152A42" w:rsidRDefault="00D14C01" w:rsidP="00700241">
      <w:pPr>
        <w:pStyle w:val="FootnoteText"/>
        <w:ind w:left="851" w:hanging="491"/>
        <w:jc w:val="left"/>
        <w:rPr>
          <w:sz w:val="24"/>
          <w:szCs w:val="24"/>
        </w:rPr>
      </w:pPr>
    </w:p>
    <w:p w:rsidR="00D14C01" w:rsidRPr="00152A42" w:rsidRDefault="00D14C01" w:rsidP="00700241">
      <w:pPr>
        <w:pStyle w:val="FootnoteText"/>
        <w:numPr>
          <w:ilvl w:val="0"/>
          <w:numId w:val="5"/>
        </w:numPr>
        <w:ind w:left="851" w:hanging="491"/>
        <w:jc w:val="left"/>
        <w:rPr>
          <w:sz w:val="24"/>
          <w:szCs w:val="24"/>
        </w:rPr>
      </w:pPr>
      <w:r w:rsidRPr="00152A42">
        <w:rPr>
          <w:sz w:val="24"/>
          <w:szCs w:val="24"/>
        </w:rPr>
        <w:t xml:space="preserve">Legal Consequences for States of the Continued Presence of South Africa in Namibia </w:t>
      </w:r>
      <w:r w:rsidR="00F3014F" w:rsidRPr="00152A42">
        <w:rPr>
          <w:sz w:val="24"/>
          <w:szCs w:val="24"/>
        </w:rPr>
        <w:t xml:space="preserve">(South West Africa) </w:t>
      </w:r>
      <w:r w:rsidRPr="00152A42">
        <w:rPr>
          <w:sz w:val="24"/>
          <w:szCs w:val="24"/>
        </w:rPr>
        <w:t>notwithstanding Securit</w:t>
      </w:r>
      <w:r w:rsidR="00F3014F" w:rsidRPr="00152A42">
        <w:rPr>
          <w:sz w:val="24"/>
          <w:szCs w:val="24"/>
        </w:rPr>
        <w:t>y Council Resolution 276(1970),</w:t>
      </w:r>
      <w:r w:rsidRPr="00152A42">
        <w:rPr>
          <w:sz w:val="24"/>
          <w:szCs w:val="24"/>
        </w:rPr>
        <w:t xml:space="preserve"> Advisory Opinion</w:t>
      </w:r>
      <w:r w:rsidR="00F3014F" w:rsidRPr="00152A42">
        <w:rPr>
          <w:sz w:val="24"/>
          <w:szCs w:val="24"/>
        </w:rPr>
        <w:t xml:space="preserve">, </w:t>
      </w:r>
      <w:r w:rsidR="00E22CA4" w:rsidRPr="00152A42">
        <w:rPr>
          <w:sz w:val="24"/>
          <w:szCs w:val="24"/>
        </w:rPr>
        <w:t xml:space="preserve"> I.C.J. Reports</w:t>
      </w:r>
      <w:r w:rsidR="00F3014F" w:rsidRPr="00152A42">
        <w:rPr>
          <w:sz w:val="24"/>
          <w:szCs w:val="24"/>
        </w:rPr>
        <w:t xml:space="preserve"> 1971.</w:t>
      </w:r>
      <w:r w:rsidRPr="00152A42">
        <w:rPr>
          <w:sz w:val="24"/>
          <w:szCs w:val="24"/>
        </w:rPr>
        <w:t xml:space="preserve">// </w:t>
      </w:r>
      <w:hyperlink r:id="rId34" w:history="1">
        <w:r w:rsidRPr="00152A42">
          <w:rPr>
            <w:rStyle w:val="Hyperlink"/>
            <w:rFonts w:eastAsiaTheme="majorEastAsia"/>
            <w:sz w:val="24"/>
            <w:szCs w:val="24"/>
          </w:rPr>
          <w:t>http://www.icj-cij.org/docket/files/53/5595.pdf</w:t>
        </w:r>
      </w:hyperlink>
      <w:r w:rsidRPr="00152A42">
        <w:rPr>
          <w:sz w:val="24"/>
          <w:szCs w:val="24"/>
        </w:rPr>
        <w:t>.</w:t>
      </w:r>
    </w:p>
    <w:p w:rsidR="00BA3D3D" w:rsidRPr="00152A42" w:rsidRDefault="00BA3D3D" w:rsidP="00700241">
      <w:pPr>
        <w:pStyle w:val="FootnoteText"/>
        <w:ind w:left="851" w:hanging="491"/>
        <w:jc w:val="left"/>
        <w:rPr>
          <w:sz w:val="24"/>
          <w:szCs w:val="24"/>
        </w:rPr>
      </w:pPr>
    </w:p>
    <w:p w:rsidR="00BA3D3D" w:rsidRPr="00152A42" w:rsidRDefault="00BA3D3D" w:rsidP="00700241">
      <w:pPr>
        <w:pStyle w:val="FootnoteText"/>
        <w:numPr>
          <w:ilvl w:val="0"/>
          <w:numId w:val="5"/>
        </w:numPr>
        <w:ind w:left="851" w:hanging="491"/>
        <w:jc w:val="left"/>
        <w:rPr>
          <w:sz w:val="24"/>
          <w:szCs w:val="24"/>
        </w:rPr>
      </w:pPr>
      <w:r w:rsidRPr="00152A42">
        <w:rPr>
          <w:sz w:val="24"/>
          <w:szCs w:val="24"/>
        </w:rPr>
        <w:t xml:space="preserve">U.S. Supreme Court. The Exchange v. McFaddon, 11 U.S. </w:t>
      </w:r>
      <w:r w:rsidR="00152A42" w:rsidRPr="00152A42">
        <w:rPr>
          <w:sz w:val="24"/>
          <w:szCs w:val="24"/>
        </w:rPr>
        <w:t>116,</w:t>
      </w:r>
      <w:r w:rsidRPr="00152A42">
        <w:rPr>
          <w:sz w:val="24"/>
          <w:szCs w:val="24"/>
        </w:rPr>
        <w:t xml:space="preserve"> 1812. // </w:t>
      </w:r>
      <w:hyperlink r:id="rId35" w:history="1">
        <w:r w:rsidRPr="00152A42">
          <w:rPr>
            <w:rStyle w:val="Hyperlink"/>
            <w:rFonts w:eastAsiaTheme="majorEastAsia"/>
            <w:sz w:val="24"/>
            <w:szCs w:val="24"/>
          </w:rPr>
          <w:t>http://supreme.justia.com/us/11/116/case.html</w:t>
        </w:r>
      </w:hyperlink>
      <w:r w:rsidRPr="00152A42">
        <w:rPr>
          <w:sz w:val="24"/>
          <w:szCs w:val="24"/>
        </w:rPr>
        <w:t>.</w:t>
      </w:r>
    </w:p>
    <w:p w:rsidR="00120946" w:rsidRPr="00152A42" w:rsidRDefault="00120946" w:rsidP="00700241">
      <w:pPr>
        <w:pStyle w:val="FootnoteText"/>
        <w:ind w:left="851" w:hanging="491"/>
        <w:jc w:val="left"/>
        <w:rPr>
          <w:sz w:val="24"/>
          <w:szCs w:val="24"/>
        </w:rPr>
      </w:pPr>
    </w:p>
    <w:p w:rsidR="005B0C24" w:rsidRPr="00152A42" w:rsidRDefault="00120946" w:rsidP="00700241">
      <w:pPr>
        <w:pStyle w:val="FootnoteText"/>
        <w:numPr>
          <w:ilvl w:val="0"/>
          <w:numId w:val="5"/>
        </w:numPr>
        <w:ind w:left="851" w:hanging="491"/>
        <w:jc w:val="left"/>
        <w:rPr>
          <w:sz w:val="24"/>
          <w:szCs w:val="24"/>
        </w:rPr>
      </w:pPr>
      <w:r w:rsidRPr="00152A42">
        <w:rPr>
          <w:sz w:val="24"/>
          <w:szCs w:val="24"/>
        </w:rPr>
        <w:t xml:space="preserve">International Criminal Tribunal for </w:t>
      </w:r>
      <w:r w:rsidR="00152A42" w:rsidRPr="00152A42">
        <w:rPr>
          <w:sz w:val="24"/>
          <w:szCs w:val="24"/>
        </w:rPr>
        <w:t>the</w:t>
      </w:r>
      <w:r w:rsidRPr="00152A42">
        <w:rPr>
          <w:sz w:val="24"/>
          <w:szCs w:val="24"/>
        </w:rPr>
        <w:t xml:space="preserve"> Former Yugoslavia. </w:t>
      </w:r>
      <w:proofErr w:type="gramStart"/>
      <w:r w:rsidRPr="00152A42">
        <w:rPr>
          <w:sz w:val="24"/>
          <w:szCs w:val="24"/>
        </w:rPr>
        <w:t>Prosecutor  v</w:t>
      </w:r>
      <w:proofErr w:type="gramEnd"/>
      <w:r w:rsidRPr="00152A42">
        <w:rPr>
          <w:sz w:val="24"/>
          <w:szCs w:val="24"/>
        </w:rPr>
        <w:t xml:space="preserve">. Dusko Tadic. </w:t>
      </w:r>
    </w:p>
    <w:p w:rsidR="00120946" w:rsidRPr="00152A42" w:rsidRDefault="00120946" w:rsidP="00700241">
      <w:pPr>
        <w:pStyle w:val="FootnoteText"/>
        <w:ind w:left="851"/>
        <w:jc w:val="left"/>
        <w:rPr>
          <w:sz w:val="24"/>
          <w:szCs w:val="24"/>
        </w:rPr>
      </w:pPr>
      <w:proofErr w:type="gramStart"/>
      <w:r w:rsidRPr="00152A42">
        <w:rPr>
          <w:sz w:val="24"/>
          <w:szCs w:val="24"/>
        </w:rPr>
        <w:t xml:space="preserve">Decision on the </w:t>
      </w:r>
      <w:r w:rsidR="00152A42" w:rsidRPr="00152A42">
        <w:rPr>
          <w:sz w:val="24"/>
          <w:szCs w:val="24"/>
        </w:rPr>
        <w:t>defense</w:t>
      </w:r>
      <w:r w:rsidRPr="00152A42">
        <w:rPr>
          <w:sz w:val="24"/>
          <w:szCs w:val="24"/>
        </w:rPr>
        <w:t xml:space="preserve"> motion for interlocutory appeal on jurisdiction.</w:t>
      </w:r>
      <w:proofErr w:type="gramEnd"/>
      <w:r w:rsidRPr="00152A42">
        <w:rPr>
          <w:sz w:val="24"/>
          <w:szCs w:val="24"/>
        </w:rPr>
        <w:t xml:space="preserve"> 2 October 1995.</w:t>
      </w:r>
    </w:p>
    <w:p w:rsidR="00120946" w:rsidRPr="00152A42" w:rsidRDefault="00120946" w:rsidP="00700241">
      <w:pPr>
        <w:pStyle w:val="FootnoteText"/>
        <w:ind w:left="851"/>
        <w:jc w:val="left"/>
        <w:rPr>
          <w:sz w:val="24"/>
          <w:szCs w:val="24"/>
        </w:rPr>
      </w:pPr>
      <w:r w:rsidRPr="00152A42">
        <w:rPr>
          <w:sz w:val="24"/>
          <w:szCs w:val="24"/>
        </w:rPr>
        <w:t xml:space="preserve">Case No. </w:t>
      </w:r>
      <w:proofErr w:type="gramStart"/>
      <w:r w:rsidRPr="00152A42">
        <w:rPr>
          <w:sz w:val="24"/>
          <w:szCs w:val="24"/>
        </w:rPr>
        <w:t>IT-94-1-AR72.</w:t>
      </w:r>
      <w:proofErr w:type="gramEnd"/>
      <w:r w:rsidRPr="00152A42">
        <w:rPr>
          <w:sz w:val="24"/>
          <w:szCs w:val="24"/>
        </w:rPr>
        <w:t xml:space="preserve"> // </w:t>
      </w:r>
      <w:hyperlink r:id="rId36" w:history="1">
        <w:r w:rsidRPr="00152A42">
          <w:rPr>
            <w:rStyle w:val="Hyperlink"/>
            <w:rFonts w:eastAsiaTheme="majorEastAsia"/>
            <w:sz w:val="24"/>
            <w:szCs w:val="24"/>
          </w:rPr>
          <w:t>http://www.icty.org/x/cases/tadic/acdec/en/51002.htm</w:t>
        </w:r>
      </w:hyperlink>
      <w:r w:rsidRPr="00152A42">
        <w:rPr>
          <w:sz w:val="24"/>
          <w:szCs w:val="24"/>
        </w:rPr>
        <w:t>.</w:t>
      </w:r>
    </w:p>
    <w:p w:rsidR="00120946" w:rsidRPr="00152A42" w:rsidRDefault="00120946" w:rsidP="00700241">
      <w:pPr>
        <w:pStyle w:val="FootnoteText"/>
        <w:ind w:left="851" w:hanging="491"/>
        <w:jc w:val="left"/>
        <w:rPr>
          <w:sz w:val="24"/>
          <w:szCs w:val="24"/>
        </w:rPr>
      </w:pPr>
    </w:p>
    <w:p w:rsidR="00F234E7" w:rsidRPr="00152A42" w:rsidRDefault="00E22CA4" w:rsidP="00700241">
      <w:pPr>
        <w:pStyle w:val="FootnoteText"/>
        <w:numPr>
          <w:ilvl w:val="0"/>
          <w:numId w:val="5"/>
        </w:numPr>
        <w:spacing w:after="240"/>
        <w:ind w:left="851" w:hanging="491"/>
        <w:jc w:val="left"/>
        <w:rPr>
          <w:sz w:val="24"/>
          <w:szCs w:val="24"/>
        </w:rPr>
      </w:pPr>
      <w:r w:rsidRPr="00152A42">
        <w:rPr>
          <w:sz w:val="24"/>
          <w:szCs w:val="24"/>
        </w:rPr>
        <w:t xml:space="preserve">Military and Paramilitary Activities in and against Nicaragua (Nicaragua v United States of America), Merits, </w:t>
      </w:r>
      <w:r w:rsidR="00152A42" w:rsidRPr="00152A42">
        <w:rPr>
          <w:sz w:val="24"/>
          <w:szCs w:val="24"/>
        </w:rPr>
        <w:t>Judgment</w:t>
      </w:r>
      <w:r w:rsidRPr="00152A42">
        <w:rPr>
          <w:sz w:val="24"/>
          <w:szCs w:val="24"/>
        </w:rPr>
        <w:t xml:space="preserve">, I.C.J. Reports 1986. // </w:t>
      </w:r>
      <w:hyperlink r:id="rId37" w:history="1">
        <w:r w:rsidRPr="00152A42">
          <w:rPr>
            <w:rStyle w:val="Hyperlink"/>
            <w:rFonts w:eastAsiaTheme="majorEastAsia"/>
            <w:sz w:val="24"/>
            <w:szCs w:val="24"/>
          </w:rPr>
          <w:t>http://www.icj-cij.org/docket/files/70/6503.pdf</w:t>
        </w:r>
      </w:hyperlink>
      <w:r w:rsidR="00EB24FB" w:rsidRPr="00152A42">
        <w:rPr>
          <w:sz w:val="24"/>
          <w:szCs w:val="24"/>
        </w:rPr>
        <w:t>.</w:t>
      </w:r>
    </w:p>
    <w:p w:rsidR="00F63CC2" w:rsidRDefault="00F234E7" w:rsidP="003421F7">
      <w:pPr>
        <w:pStyle w:val="ListParagraph"/>
        <w:spacing w:after="120"/>
        <w:ind w:left="720"/>
        <w:jc w:val="center"/>
        <w:rPr>
          <w:b/>
          <w:lang w:val="lt-LT"/>
        </w:rPr>
      </w:pPr>
      <w:r w:rsidRPr="0006604A">
        <w:rPr>
          <w:b/>
          <w:lang w:val="lt-LT"/>
        </w:rPr>
        <w:t>III. SPECIALIOJI LITERATŪRA</w:t>
      </w:r>
    </w:p>
    <w:p w:rsidR="003421F7" w:rsidRPr="003421F7" w:rsidRDefault="003421F7" w:rsidP="003421F7">
      <w:pPr>
        <w:pStyle w:val="ListParagraph"/>
        <w:spacing w:after="120"/>
        <w:ind w:left="720"/>
        <w:jc w:val="center"/>
        <w:rPr>
          <w:b/>
          <w:lang w:val="lt-LT"/>
        </w:rPr>
      </w:pPr>
    </w:p>
    <w:p w:rsidR="00596CCB" w:rsidRPr="00152A42" w:rsidRDefault="00596CCB" w:rsidP="00700241">
      <w:pPr>
        <w:pStyle w:val="ListParagraph"/>
        <w:numPr>
          <w:ilvl w:val="0"/>
          <w:numId w:val="5"/>
        </w:numPr>
        <w:spacing w:after="240"/>
        <w:ind w:left="851" w:hanging="491"/>
        <w:jc w:val="left"/>
      </w:pPr>
      <w:r w:rsidRPr="00152A42">
        <w:t>Aust A. Handbook of International Law. Cambridge University Press, 2005.</w:t>
      </w:r>
    </w:p>
    <w:p w:rsidR="00596CCB" w:rsidRPr="00152A42" w:rsidRDefault="00596CCB" w:rsidP="00700241">
      <w:pPr>
        <w:pStyle w:val="ListParagraph"/>
        <w:numPr>
          <w:ilvl w:val="0"/>
          <w:numId w:val="5"/>
        </w:numPr>
        <w:spacing w:after="240"/>
        <w:ind w:left="851" w:hanging="491"/>
        <w:jc w:val="left"/>
      </w:pPr>
      <w:r w:rsidRPr="00152A42">
        <w:t>Bellamy A. J., Williams P. D. Understanding peacekeeping. United Kingdom: Polity Press, 2010.</w:t>
      </w:r>
    </w:p>
    <w:p w:rsidR="00596CCB" w:rsidRPr="00152A42" w:rsidRDefault="00596CCB" w:rsidP="00700241">
      <w:pPr>
        <w:pStyle w:val="ListParagraph"/>
        <w:numPr>
          <w:ilvl w:val="0"/>
          <w:numId w:val="5"/>
        </w:numPr>
        <w:spacing w:after="240"/>
        <w:ind w:left="851" w:hanging="491"/>
        <w:jc w:val="left"/>
      </w:pPr>
      <w:r w:rsidRPr="00152A42">
        <w:lastRenderedPageBreak/>
        <w:t>Brinsmead S. Do UN peacekeepers have a duty to prevent humanitarian violations? 2007.</w:t>
      </w:r>
    </w:p>
    <w:p w:rsidR="00596CCB" w:rsidRPr="00152A42" w:rsidRDefault="00596CCB" w:rsidP="00700241">
      <w:pPr>
        <w:pStyle w:val="ListParagraph"/>
        <w:numPr>
          <w:ilvl w:val="0"/>
          <w:numId w:val="5"/>
        </w:numPr>
        <w:spacing w:after="240"/>
        <w:ind w:left="851" w:hanging="491"/>
        <w:jc w:val="left"/>
      </w:pPr>
      <w:r w:rsidRPr="00152A42">
        <w:t>Chesterman S., Franck T. M., Malone D. M. Law and Practice of the United Nations. Documents and commentary. New York: Oxford University Press, 2008.</w:t>
      </w:r>
    </w:p>
    <w:p w:rsidR="00596CCB" w:rsidRPr="00152A42" w:rsidRDefault="00596CCB" w:rsidP="00700241">
      <w:pPr>
        <w:pStyle w:val="ListParagraph"/>
        <w:numPr>
          <w:ilvl w:val="0"/>
          <w:numId w:val="5"/>
        </w:numPr>
        <w:spacing w:after="240"/>
        <w:ind w:left="851" w:hanging="491"/>
        <w:jc w:val="left"/>
      </w:pPr>
      <w:r w:rsidRPr="00152A42">
        <w:t>Chetail V. Ad-hocism ant the rules of collective security: is peacekeeping still relevant for maintaining international peace and security? Refugee Survey Quarterly, Vol. 23, No. 4, 2004.</w:t>
      </w:r>
    </w:p>
    <w:p w:rsidR="00596CCB" w:rsidRPr="00152A42" w:rsidRDefault="00596CCB" w:rsidP="00700241">
      <w:pPr>
        <w:pStyle w:val="ListParagraph"/>
        <w:numPr>
          <w:ilvl w:val="0"/>
          <w:numId w:val="5"/>
        </w:numPr>
        <w:spacing w:after="240"/>
        <w:ind w:left="851" w:hanging="491"/>
        <w:jc w:val="left"/>
      </w:pPr>
      <w:r w:rsidRPr="00152A42">
        <w:t>Cox K. E. Beyond self-defense: United Nations peacekeeping operations &amp; the use of force. Denver Journal of International Law and Policy</w:t>
      </w:r>
      <w:r w:rsidR="00152A42" w:rsidRPr="00152A42">
        <w:t>, 1999</w:t>
      </w:r>
      <w:r w:rsidRPr="00152A42">
        <w:t xml:space="preserve">.   </w:t>
      </w:r>
    </w:p>
    <w:p w:rsidR="00596CCB" w:rsidRPr="00152A42" w:rsidRDefault="00596CCB" w:rsidP="00700241">
      <w:pPr>
        <w:pStyle w:val="ListParagraph"/>
        <w:numPr>
          <w:ilvl w:val="0"/>
          <w:numId w:val="5"/>
        </w:numPr>
        <w:spacing w:after="240"/>
        <w:ind w:left="851" w:hanging="491"/>
        <w:jc w:val="left"/>
      </w:pPr>
      <w:r w:rsidRPr="00152A42">
        <w:t xml:space="preserve">Cryer R. The Fine Art of Friendship: jus in </w:t>
      </w:r>
      <w:proofErr w:type="gramStart"/>
      <w:r w:rsidRPr="00152A42">
        <w:t>bello</w:t>
      </w:r>
      <w:proofErr w:type="gramEnd"/>
      <w:r w:rsidRPr="00152A42">
        <w:t xml:space="preserve"> in Afghanistan. Journal of Conflict and Security Law, Vol. 7 No. 1. 2002.</w:t>
      </w:r>
    </w:p>
    <w:p w:rsidR="00596CCB" w:rsidRPr="00152A42" w:rsidRDefault="00596CCB" w:rsidP="00700241">
      <w:pPr>
        <w:pStyle w:val="ListParagraph"/>
        <w:numPr>
          <w:ilvl w:val="0"/>
          <w:numId w:val="5"/>
        </w:numPr>
        <w:spacing w:after="240"/>
        <w:ind w:left="851" w:hanging="491"/>
        <w:jc w:val="left"/>
      </w:pPr>
      <w:r w:rsidRPr="00152A42">
        <w:t xml:space="preserve">Durch W. J. Twenty-First Century Peace Operations. Washington DC: US Institute </w:t>
      </w:r>
      <w:proofErr w:type="gramStart"/>
      <w:r w:rsidRPr="00152A42">
        <w:t>of  Peace</w:t>
      </w:r>
      <w:proofErr w:type="gramEnd"/>
      <w:r w:rsidRPr="00152A42">
        <w:t>,  2006.</w:t>
      </w:r>
    </w:p>
    <w:p w:rsidR="00596CCB" w:rsidRPr="00152A42" w:rsidRDefault="00596CCB" w:rsidP="00700241">
      <w:pPr>
        <w:pStyle w:val="ListParagraph"/>
        <w:numPr>
          <w:ilvl w:val="0"/>
          <w:numId w:val="5"/>
        </w:numPr>
        <w:spacing w:after="240"/>
        <w:ind w:left="851" w:hanging="491"/>
        <w:jc w:val="left"/>
      </w:pPr>
      <w:r w:rsidRPr="00152A42">
        <w:t>Evans. D. M. International Law. New York: Oxford University Press, 2006.</w:t>
      </w:r>
    </w:p>
    <w:p w:rsidR="00596CCB" w:rsidRPr="00152A42" w:rsidRDefault="00596CCB" w:rsidP="00700241">
      <w:pPr>
        <w:pStyle w:val="ListParagraph"/>
        <w:numPr>
          <w:ilvl w:val="0"/>
          <w:numId w:val="5"/>
        </w:numPr>
        <w:spacing w:after="240"/>
        <w:ind w:left="851" w:hanging="491"/>
        <w:jc w:val="left"/>
      </w:pPr>
      <w:r w:rsidRPr="00152A42">
        <w:t>Fleck D. The handbook of the law of visiting forces. United Kingdom: Oxford University Press, 2001.</w:t>
      </w:r>
    </w:p>
    <w:p w:rsidR="00596CCB" w:rsidRPr="00152A42" w:rsidRDefault="00596CCB" w:rsidP="00700241">
      <w:pPr>
        <w:pStyle w:val="ListParagraph"/>
        <w:numPr>
          <w:ilvl w:val="0"/>
          <w:numId w:val="5"/>
        </w:numPr>
        <w:spacing w:after="240"/>
        <w:ind w:left="851" w:hanging="491"/>
        <w:jc w:val="left"/>
      </w:pPr>
      <w:r w:rsidRPr="00152A42">
        <w:t xml:space="preserve">Fortna V. P. Interstate Peacekeeping. Causal Mechanisms and Empirical Effects. World Politics, Volume 56, Number 4, July 2004. </w:t>
      </w:r>
    </w:p>
    <w:p w:rsidR="00596CCB" w:rsidRPr="00152A42" w:rsidRDefault="00596CCB" w:rsidP="00700241">
      <w:pPr>
        <w:pStyle w:val="ListParagraph"/>
        <w:numPr>
          <w:ilvl w:val="0"/>
          <w:numId w:val="5"/>
        </w:numPr>
        <w:spacing w:after="240"/>
        <w:ind w:left="851" w:hanging="491"/>
        <w:jc w:val="left"/>
      </w:pPr>
      <w:r w:rsidRPr="00152A42">
        <w:t xml:space="preserve">Fortna V. P. Where have all the victories gone? Peacekeeping and war outcomes. Columbia University: 2009. </w:t>
      </w:r>
    </w:p>
    <w:p w:rsidR="00596CCB" w:rsidRPr="00152A42" w:rsidRDefault="00596CCB" w:rsidP="00700241">
      <w:pPr>
        <w:pStyle w:val="ListParagraph"/>
        <w:numPr>
          <w:ilvl w:val="0"/>
          <w:numId w:val="5"/>
        </w:numPr>
        <w:spacing w:after="240"/>
        <w:ind w:left="851" w:hanging="491"/>
        <w:jc w:val="left"/>
      </w:pPr>
      <w:r w:rsidRPr="00152A42">
        <w:t>Gareis S. V., Varwick J. The United Nations. An introduction. New York: Palgrave Macmillan, 2005.</w:t>
      </w:r>
    </w:p>
    <w:p w:rsidR="00596CCB" w:rsidRPr="00152A42" w:rsidRDefault="00596CCB" w:rsidP="00700241">
      <w:pPr>
        <w:pStyle w:val="ListParagraph"/>
        <w:numPr>
          <w:ilvl w:val="0"/>
          <w:numId w:val="5"/>
        </w:numPr>
        <w:spacing w:after="240"/>
        <w:ind w:left="851" w:hanging="491"/>
        <w:jc w:val="left"/>
      </w:pPr>
      <w:r w:rsidRPr="00152A42">
        <w:t>Goulding M. The Evolution of United Nations Peacekeeping. International Affairs, 1993, Vol. 69.</w:t>
      </w:r>
    </w:p>
    <w:p w:rsidR="00596CCB" w:rsidRPr="00152A42" w:rsidRDefault="00596CCB" w:rsidP="00700241">
      <w:pPr>
        <w:pStyle w:val="ListParagraph"/>
        <w:numPr>
          <w:ilvl w:val="0"/>
          <w:numId w:val="5"/>
        </w:numPr>
        <w:spacing w:after="240"/>
        <w:ind w:left="851" w:hanging="491"/>
        <w:jc w:val="left"/>
      </w:pPr>
      <w:r w:rsidRPr="00152A42">
        <w:t>Grünfeld F., Vermeulen W. Failures to Prevent Genocide in Rwanda (1994), Srebrenica (1995), and Darfur (since 2003). Genocide Studies and Prevention, Vol.4, No. 2, 2009.</w:t>
      </w:r>
    </w:p>
    <w:p w:rsidR="00596CCB" w:rsidRPr="00152A42" w:rsidRDefault="00596CCB" w:rsidP="00700241">
      <w:pPr>
        <w:pStyle w:val="ListParagraph"/>
        <w:numPr>
          <w:ilvl w:val="0"/>
          <w:numId w:val="5"/>
        </w:numPr>
        <w:spacing w:after="240"/>
        <w:ind w:left="851" w:hanging="491"/>
        <w:jc w:val="left"/>
      </w:pPr>
      <w:r w:rsidRPr="00152A42">
        <w:lastRenderedPageBreak/>
        <w:t xml:space="preserve">Henderson C. The Bush Doctrine: From Theory to Practice. Journal of Conflict and Security Law, Vol. </w:t>
      </w:r>
      <w:proofErr w:type="gramStart"/>
      <w:r w:rsidRPr="00152A42">
        <w:t>9  No</w:t>
      </w:r>
      <w:proofErr w:type="gramEnd"/>
      <w:r w:rsidRPr="00152A42">
        <w:t>. 1. 2004.</w:t>
      </w:r>
    </w:p>
    <w:p w:rsidR="00596CCB" w:rsidRPr="00152A42" w:rsidRDefault="00596CCB" w:rsidP="00700241">
      <w:pPr>
        <w:pStyle w:val="ListParagraph"/>
        <w:numPr>
          <w:ilvl w:val="0"/>
          <w:numId w:val="5"/>
        </w:numPr>
        <w:spacing w:after="240"/>
        <w:ind w:left="851" w:hanging="491"/>
        <w:jc w:val="left"/>
      </w:pPr>
      <w:r w:rsidRPr="00152A42">
        <w:t xml:space="preserve">Hilaire M. United Nations Law and </w:t>
      </w:r>
      <w:proofErr w:type="gramStart"/>
      <w:r w:rsidRPr="00152A42">
        <w:t>The</w:t>
      </w:r>
      <w:proofErr w:type="gramEnd"/>
      <w:r w:rsidRPr="00152A42">
        <w:t xml:space="preserve"> Security Council. England: Ashgate, 2005.</w:t>
      </w:r>
    </w:p>
    <w:p w:rsidR="00596CCB" w:rsidRPr="00152A42" w:rsidRDefault="00596CCB" w:rsidP="00700241">
      <w:pPr>
        <w:pStyle w:val="ListParagraph"/>
        <w:numPr>
          <w:ilvl w:val="0"/>
          <w:numId w:val="5"/>
        </w:numPr>
        <w:spacing w:after="240"/>
        <w:ind w:left="851" w:hanging="491"/>
        <w:jc w:val="left"/>
      </w:pPr>
      <w:r w:rsidRPr="00152A42">
        <w:t>Joseph M. United Nations Peace Operations: The Ap</w:t>
      </w:r>
      <w:r w:rsidR="00152A42">
        <w:t>p</w:t>
      </w:r>
      <w:r w:rsidRPr="00152A42">
        <w:t xml:space="preserve">licable Norms and </w:t>
      </w:r>
      <w:proofErr w:type="gramStart"/>
      <w:r w:rsidRPr="00152A42">
        <w:t>The</w:t>
      </w:r>
      <w:proofErr w:type="gramEnd"/>
      <w:r w:rsidRPr="00152A42">
        <w:t xml:space="preserve"> Application of The Law of Armed Conflict. 5 June 2000.</w:t>
      </w:r>
    </w:p>
    <w:p w:rsidR="00596CCB" w:rsidRPr="00152A42" w:rsidRDefault="00596CCB" w:rsidP="00700241">
      <w:pPr>
        <w:pStyle w:val="ListParagraph"/>
        <w:numPr>
          <w:ilvl w:val="0"/>
          <w:numId w:val="5"/>
        </w:numPr>
        <w:spacing w:after="240"/>
        <w:ind w:left="851" w:hanging="491"/>
        <w:jc w:val="left"/>
      </w:pPr>
      <w:r w:rsidRPr="00152A42">
        <w:t>Malone D. M. The UN Security Council. From the Cold War to the 21st Century. London: Lynne Rienner Publishers, 2004.</w:t>
      </w:r>
    </w:p>
    <w:p w:rsidR="00596CCB" w:rsidRPr="00152A42" w:rsidRDefault="00596CCB" w:rsidP="00700241">
      <w:pPr>
        <w:pStyle w:val="ListParagraph"/>
        <w:numPr>
          <w:ilvl w:val="0"/>
          <w:numId w:val="5"/>
        </w:numPr>
        <w:spacing w:after="240"/>
        <w:ind w:left="851" w:hanging="491"/>
        <w:jc w:val="left"/>
      </w:pPr>
      <w:r w:rsidRPr="00152A42">
        <w:t xml:space="preserve">Maogoto J. N. From Congo to East Timor in Forty Years: The UN Finally Crossing The Rubicon Between Peace-keeping and Peace-making?  // </w:t>
      </w:r>
      <w:hyperlink r:id="rId38" w:history="1">
        <w:r w:rsidR="00503F16" w:rsidRPr="00222F76">
          <w:rPr>
            <w:rStyle w:val="Hyperlink"/>
          </w:rPr>
          <w:t>http://www.austlii.edu.au/au/journals/NewcLawRw/2000/3.html</w:t>
        </w:r>
      </w:hyperlink>
      <w:r w:rsidRPr="00152A42">
        <w:t>.</w:t>
      </w:r>
      <w:r w:rsidR="00503F16">
        <w:t xml:space="preserve"> </w:t>
      </w:r>
    </w:p>
    <w:p w:rsidR="00596CCB" w:rsidRPr="00152A42" w:rsidRDefault="00596CCB" w:rsidP="00700241">
      <w:pPr>
        <w:pStyle w:val="ListParagraph"/>
        <w:numPr>
          <w:ilvl w:val="0"/>
          <w:numId w:val="5"/>
        </w:numPr>
        <w:spacing w:after="240"/>
        <w:ind w:left="851" w:hanging="491"/>
        <w:jc w:val="left"/>
      </w:pPr>
      <w:r w:rsidRPr="00152A42">
        <w:t xml:space="preserve">Maoz A. War and Peace – as Israeli Perspective. Constitutional Forum, Vol. 24, No. 2, 2005. </w:t>
      </w:r>
    </w:p>
    <w:p w:rsidR="00596CCB" w:rsidRDefault="00596CCB" w:rsidP="00700241">
      <w:pPr>
        <w:pStyle w:val="ListParagraph"/>
        <w:numPr>
          <w:ilvl w:val="0"/>
          <w:numId w:val="5"/>
        </w:numPr>
        <w:spacing w:after="240"/>
        <w:ind w:left="851" w:hanging="491"/>
        <w:jc w:val="left"/>
      </w:pPr>
      <w:r w:rsidRPr="00152A42">
        <w:t>O‘Connell M. E. Evidence of Terror. Journal of Conflict and Security Law, Vol. 7 No. 1, 2002.</w:t>
      </w:r>
    </w:p>
    <w:p w:rsidR="00C66D1D" w:rsidRPr="00152A42" w:rsidRDefault="00C66D1D" w:rsidP="00700241">
      <w:pPr>
        <w:pStyle w:val="ListParagraph"/>
        <w:numPr>
          <w:ilvl w:val="0"/>
          <w:numId w:val="5"/>
        </w:numPr>
        <w:spacing w:after="240"/>
        <w:ind w:left="851" w:hanging="491"/>
        <w:jc w:val="left"/>
      </w:pPr>
      <w:r>
        <w:rPr>
          <w:lang w:val="lt-LT"/>
        </w:rPr>
        <w:t>Oswald B. The creation and control of places of protection during United Nations peace operations. International Review of Red Cross. Vol 83, No. 844, 2001.</w:t>
      </w:r>
    </w:p>
    <w:p w:rsidR="00596CCB" w:rsidRPr="00152A42" w:rsidRDefault="00596CCB" w:rsidP="00700241">
      <w:pPr>
        <w:pStyle w:val="ListParagraph"/>
        <w:numPr>
          <w:ilvl w:val="0"/>
          <w:numId w:val="5"/>
        </w:numPr>
        <w:spacing w:after="240"/>
        <w:ind w:left="851" w:hanging="491"/>
        <w:jc w:val="left"/>
      </w:pPr>
      <w:r w:rsidRPr="00152A42">
        <w:t xml:space="preserve">Rouillard L. P. The Caroline </w:t>
      </w:r>
      <w:proofErr w:type="gramStart"/>
      <w:r w:rsidRPr="00152A42">
        <w:t>Case :</w:t>
      </w:r>
      <w:proofErr w:type="gramEnd"/>
      <w:r w:rsidRPr="00152A42">
        <w:t xml:space="preserve"> Anticipatory Self-</w:t>
      </w:r>
      <w:r w:rsidR="00152A42" w:rsidRPr="00152A42">
        <w:t>Defense</w:t>
      </w:r>
      <w:r w:rsidRPr="00152A42">
        <w:t xml:space="preserve"> in Contemporary International Law. Miskolc Journal of International Law, Vol. 1, No. 2. 2004.</w:t>
      </w:r>
    </w:p>
    <w:p w:rsidR="00596CCB" w:rsidRPr="00152A42" w:rsidRDefault="00596CCB" w:rsidP="00700241">
      <w:pPr>
        <w:pStyle w:val="ListParagraph"/>
        <w:numPr>
          <w:ilvl w:val="0"/>
          <w:numId w:val="5"/>
        </w:numPr>
        <w:spacing w:after="240"/>
        <w:ind w:left="851" w:hanging="491"/>
        <w:jc w:val="left"/>
      </w:pPr>
      <w:r w:rsidRPr="00152A42">
        <w:t>Scharf M.P. Protecting Minorities: The lessons of International Peacekeeping. American society of International Law, Vol. 91, 1997.</w:t>
      </w:r>
    </w:p>
    <w:p w:rsidR="00596CCB" w:rsidRPr="00152A42" w:rsidRDefault="00596CCB" w:rsidP="00700241">
      <w:pPr>
        <w:pStyle w:val="ListParagraph"/>
        <w:numPr>
          <w:ilvl w:val="0"/>
          <w:numId w:val="5"/>
        </w:numPr>
        <w:spacing w:after="240"/>
        <w:ind w:left="851" w:hanging="491"/>
        <w:jc w:val="left"/>
      </w:pPr>
      <w:r w:rsidRPr="00152A42">
        <w:t xml:space="preserve">Schmitt M. N. The War in </w:t>
      </w:r>
      <w:r w:rsidR="00152A42" w:rsidRPr="00152A42">
        <w:t>Afghanistan:</w:t>
      </w:r>
      <w:r w:rsidRPr="00152A42">
        <w:t xml:space="preserve"> A legal Analysis. Newport, Rhode Island: Naval War College, 2009. </w:t>
      </w:r>
    </w:p>
    <w:p w:rsidR="00596CCB" w:rsidRPr="00152A42" w:rsidRDefault="00596CCB" w:rsidP="00700241">
      <w:pPr>
        <w:pStyle w:val="ListParagraph"/>
        <w:numPr>
          <w:ilvl w:val="0"/>
          <w:numId w:val="5"/>
        </w:numPr>
        <w:spacing w:after="240"/>
        <w:ind w:left="851" w:hanging="491"/>
        <w:jc w:val="left"/>
      </w:pPr>
      <w:r w:rsidRPr="00152A42">
        <w:t>Scott C. Assessing ISAF: A Baseline Study of NATO‘s Role in Afghanistan. London: British American Security Information Council, 2007.</w:t>
      </w:r>
    </w:p>
    <w:p w:rsidR="00596CCB" w:rsidRPr="00152A42" w:rsidRDefault="00596CCB" w:rsidP="00700241">
      <w:pPr>
        <w:pStyle w:val="ListParagraph"/>
        <w:numPr>
          <w:ilvl w:val="0"/>
          <w:numId w:val="5"/>
        </w:numPr>
        <w:spacing w:after="240"/>
        <w:ind w:left="851" w:hanging="491"/>
        <w:jc w:val="left"/>
      </w:pPr>
      <w:r w:rsidRPr="00152A42">
        <w:t>Shaw M.N. International Law. Sixth Edition. USA: Cambridge University Press, 2008.</w:t>
      </w:r>
    </w:p>
    <w:p w:rsidR="00596CCB" w:rsidRPr="00152A42" w:rsidRDefault="00596CCB" w:rsidP="00700241">
      <w:pPr>
        <w:pStyle w:val="ListParagraph"/>
        <w:numPr>
          <w:ilvl w:val="0"/>
          <w:numId w:val="5"/>
        </w:numPr>
        <w:spacing w:after="240"/>
        <w:ind w:left="851" w:hanging="491"/>
        <w:jc w:val="left"/>
      </w:pPr>
      <w:r w:rsidRPr="00152A42">
        <w:lastRenderedPageBreak/>
        <w:t xml:space="preserve">Simma B., Mosler H. The Charter of the United Nations: A Commentary. </w:t>
      </w:r>
      <w:r w:rsidR="00041FA6">
        <w:t xml:space="preserve">USA: </w:t>
      </w:r>
      <w:r w:rsidRPr="00152A42">
        <w:t>Oxford University Press, 2002.</w:t>
      </w:r>
    </w:p>
    <w:p w:rsidR="00596CCB" w:rsidRPr="00152A42" w:rsidRDefault="00596CCB" w:rsidP="00700241">
      <w:pPr>
        <w:pStyle w:val="ListParagraph"/>
        <w:numPr>
          <w:ilvl w:val="0"/>
          <w:numId w:val="5"/>
        </w:numPr>
        <w:spacing w:after="240"/>
        <w:ind w:left="851" w:hanging="491"/>
        <w:jc w:val="left"/>
      </w:pPr>
      <w:r w:rsidRPr="00152A42">
        <w:t>Straumann B. The Peace of Westphalia (1648) as a secular constitution. Vol. 15, No. 2, June 2008.</w:t>
      </w:r>
    </w:p>
    <w:p w:rsidR="00596CCB" w:rsidRPr="00152A42" w:rsidRDefault="00596CCB" w:rsidP="00700241">
      <w:pPr>
        <w:pStyle w:val="ListParagraph"/>
        <w:numPr>
          <w:ilvl w:val="0"/>
          <w:numId w:val="5"/>
        </w:numPr>
        <w:spacing w:after="240"/>
        <w:ind w:left="851" w:hanging="491"/>
        <w:jc w:val="left"/>
      </w:pPr>
      <w:r w:rsidRPr="00152A42">
        <w:t>Thakur</w:t>
      </w:r>
      <w:proofErr w:type="gramStart"/>
      <w:r w:rsidRPr="00152A42">
        <w:t>,  Schnabel</w:t>
      </w:r>
      <w:proofErr w:type="gramEnd"/>
      <w:r w:rsidRPr="00152A42">
        <w:t xml:space="preserve"> R. C., Albrecht. United Nations Peacekeeping </w:t>
      </w:r>
      <w:proofErr w:type="gramStart"/>
      <w:r w:rsidRPr="00152A42">
        <w:t>Operations :</w:t>
      </w:r>
      <w:proofErr w:type="gramEnd"/>
      <w:r w:rsidRPr="00152A42">
        <w:t xml:space="preserve"> Ad Hoc Missions, Permanent Engagement. United Nations University Press, 2001.</w:t>
      </w:r>
    </w:p>
    <w:p w:rsidR="00596CCB" w:rsidRPr="00152A42" w:rsidRDefault="00596CCB" w:rsidP="00700241">
      <w:pPr>
        <w:pStyle w:val="ListParagraph"/>
        <w:numPr>
          <w:ilvl w:val="0"/>
          <w:numId w:val="5"/>
        </w:numPr>
        <w:spacing w:after="240"/>
        <w:ind w:left="851" w:hanging="491"/>
        <w:jc w:val="left"/>
      </w:pPr>
      <w:r w:rsidRPr="00152A42">
        <w:t>Tsagourias N. Consent, Neutrality/ Impartiality and the Use of Force in Peacekeeping: Their Constitutional Dimension. UK: Oxford University Press, 2007.</w:t>
      </w:r>
    </w:p>
    <w:p w:rsidR="00596CCB" w:rsidRPr="00152A42" w:rsidRDefault="00596CCB" w:rsidP="00700241">
      <w:pPr>
        <w:pStyle w:val="ListParagraph"/>
        <w:numPr>
          <w:ilvl w:val="0"/>
          <w:numId w:val="5"/>
        </w:numPr>
        <w:spacing w:after="240"/>
        <w:ind w:left="851" w:hanging="491"/>
        <w:jc w:val="left"/>
      </w:pPr>
      <w:r w:rsidRPr="00152A42">
        <w:t>Tshiband S. The United Nations’ use of Force in Peace Support Operations: The Question of Civilian and Military Insubordination in Onuc’s operations in Katanga. June 19, 2009.</w:t>
      </w:r>
    </w:p>
    <w:p w:rsidR="00596CCB" w:rsidRDefault="00596CCB" w:rsidP="00700241">
      <w:pPr>
        <w:pStyle w:val="ListParagraph"/>
        <w:numPr>
          <w:ilvl w:val="0"/>
          <w:numId w:val="5"/>
        </w:numPr>
        <w:spacing w:after="240"/>
        <w:ind w:left="851" w:hanging="491"/>
        <w:jc w:val="left"/>
        <w:rPr>
          <w:lang w:val="lt-LT"/>
        </w:rPr>
      </w:pPr>
      <w:r w:rsidRPr="00152A42">
        <w:t>Vadapalas V.</w:t>
      </w:r>
      <w:r w:rsidRPr="00152A42">
        <w:rPr>
          <w:lang w:val="lt-LT"/>
        </w:rPr>
        <w:t xml:space="preserve"> Tarptautinė teisė. Pagrindiniai dokumentai ir jurisprudencija. Vilnius: Eugrimas, 2003.</w:t>
      </w:r>
    </w:p>
    <w:p w:rsidR="004561DD" w:rsidRPr="00152A42" w:rsidRDefault="004561DD" w:rsidP="00700241">
      <w:pPr>
        <w:pStyle w:val="ListParagraph"/>
        <w:numPr>
          <w:ilvl w:val="0"/>
          <w:numId w:val="5"/>
        </w:numPr>
        <w:spacing w:after="240"/>
        <w:ind w:left="851" w:hanging="491"/>
        <w:jc w:val="left"/>
        <w:rPr>
          <w:lang w:val="lt-LT"/>
        </w:rPr>
      </w:pPr>
      <w:r w:rsidRPr="00152A42">
        <w:rPr>
          <w:lang w:val="lt-LT"/>
        </w:rPr>
        <w:t>Vadapalas V.Tarptautinė teisė. Vilnius: Eugrimas, 2006</w:t>
      </w:r>
    </w:p>
    <w:p w:rsidR="00596CCB" w:rsidRPr="00152A42" w:rsidRDefault="00596CCB" w:rsidP="00700241">
      <w:pPr>
        <w:pStyle w:val="ListParagraph"/>
        <w:numPr>
          <w:ilvl w:val="0"/>
          <w:numId w:val="5"/>
        </w:numPr>
        <w:spacing w:after="240"/>
        <w:ind w:left="851" w:hanging="491"/>
        <w:jc w:val="left"/>
      </w:pPr>
      <w:r w:rsidRPr="00152A42">
        <w:t xml:space="preserve">Weiss T. G., Daws S.  The Oxford Handbook on </w:t>
      </w:r>
      <w:proofErr w:type="gramStart"/>
      <w:r w:rsidRPr="00152A42">
        <w:t>The</w:t>
      </w:r>
      <w:proofErr w:type="gramEnd"/>
      <w:r w:rsidRPr="00152A42">
        <w:t xml:space="preserve"> United Nations. New York: Oxford University Press, 2007.</w:t>
      </w:r>
    </w:p>
    <w:p w:rsidR="00596CCB" w:rsidRPr="00152A42" w:rsidRDefault="00596CCB" w:rsidP="00700241">
      <w:pPr>
        <w:pStyle w:val="ListParagraph"/>
        <w:numPr>
          <w:ilvl w:val="0"/>
          <w:numId w:val="5"/>
        </w:numPr>
        <w:spacing w:after="240"/>
        <w:ind w:left="851" w:hanging="491"/>
        <w:jc w:val="left"/>
      </w:pPr>
      <w:r w:rsidRPr="00152A42">
        <w:t>Wet. E. D. The Chapter VII Powers of the United Nations Security Council. Oxford: Hart publishing, 2004.</w:t>
      </w:r>
    </w:p>
    <w:p w:rsidR="00596CCB" w:rsidRPr="0006604A" w:rsidRDefault="00596CCB" w:rsidP="00700241">
      <w:pPr>
        <w:pStyle w:val="ListParagraph"/>
        <w:numPr>
          <w:ilvl w:val="0"/>
          <w:numId w:val="5"/>
        </w:numPr>
        <w:spacing w:after="240"/>
        <w:ind w:left="851" w:hanging="491"/>
        <w:jc w:val="left"/>
        <w:rPr>
          <w:lang w:val="lt-LT"/>
        </w:rPr>
      </w:pPr>
      <w:r w:rsidRPr="0006604A">
        <w:rPr>
          <w:lang w:val="lt-LT"/>
        </w:rPr>
        <w:t>Žalimas D., Žalimienė S. Ž., Petrauskas Z., Saladžius J. Tarptautinės Organizacijos. Vilnius: Justitia 2001.</w:t>
      </w:r>
    </w:p>
    <w:p w:rsidR="00C764B7" w:rsidRDefault="00F234E7" w:rsidP="00C764B7">
      <w:pPr>
        <w:spacing w:after="240"/>
        <w:ind w:left="360"/>
        <w:jc w:val="center"/>
        <w:rPr>
          <w:b/>
          <w:lang w:val="lt-LT"/>
        </w:rPr>
      </w:pPr>
      <w:r w:rsidRPr="0006604A">
        <w:rPr>
          <w:b/>
          <w:lang w:val="lt-LT"/>
        </w:rPr>
        <w:t>IV. KITI DOKUMENTAI IR ŠALTINIAI</w:t>
      </w:r>
    </w:p>
    <w:p w:rsidR="003F5C52" w:rsidRPr="00152A42" w:rsidRDefault="003F5C52" w:rsidP="003F5C52">
      <w:pPr>
        <w:pStyle w:val="ListParagraph"/>
        <w:numPr>
          <w:ilvl w:val="0"/>
          <w:numId w:val="5"/>
        </w:numPr>
        <w:autoSpaceDE w:val="0"/>
        <w:autoSpaceDN w:val="0"/>
        <w:adjustRightInd w:val="0"/>
        <w:ind w:left="851" w:hanging="491"/>
        <w:jc w:val="left"/>
      </w:pPr>
      <w:r w:rsidRPr="00152A42">
        <w:t>Report of the Secretary-General. No Exit without Strategy: Security Council Decision-making</w:t>
      </w:r>
    </w:p>
    <w:p w:rsidR="003F5C52" w:rsidRPr="00152A42" w:rsidRDefault="003F5C52" w:rsidP="003F5C52">
      <w:pPr>
        <w:pStyle w:val="FootnoteText"/>
        <w:ind w:left="851"/>
        <w:jc w:val="left"/>
        <w:rPr>
          <w:sz w:val="24"/>
          <w:szCs w:val="24"/>
        </w:rPr>
      </w:pPr>
      <w:proofErr w:type="gramStart"/>
      <w:r w:rsidRPr="00152A42">
        <w:rPr>
          <w:sz w:val="24"/>
          <w:szCs w:val="24"/>
        </w:rPr>
        <w:t>and</w:t>
      </w:r>
      <w:proofErr w:type="gramEnd"/>
      <w:r w:rsidRPr="00152A42">
        <w:rPr>
          <w:sz w:val="24"/>
          <w:szCs w:val="24"/>
        </w:rPr>
        <w:t xml:space="preserve"> the Closure or Transition of United Nations Peacekeeping Operations.  </w:t>
      </w:r>
      <w:proofErr w:type="gramStart"/>
      <w:r w:rsidRPr="00152A42">
        <w:rPr>
          <w:sz w:val="24"/>
          <w:szCs w:val="24"/>
        </w:rPr>
        <w:t>UN Doc. S/2001/394.</w:t>
      </w:r>
      <w:proofErr w:type="gramEnd"/>
      <w:r w:rsidRPr="00152A42">
        <w:rPr>
          <w:sz w:val="24"/>
          <w:szCs w:val="24"/>
        </w:rPr>
        <w:t xml:space="preserve">  </w:t>
      </w:r>
    </w:p>
    <w:p w:rsidR="003F5C52" w:rsidRPr="00152A42" w:rsidRDefault="003F5C52" w:rsidP="003F5C52">
      <w:pPr>
        <w:pStyle w:val="FootnoteText"/>
        <w:ind w:left="851" w:hanging="491"/>
        <w:jc w:val="left"/>
        <w:rPr>
          <w:sz w:val="24"/>
          <w:szCs w:val="24"/>
        </w:rPr>
      </w:pPr>
    </w:p>
    <w:p w:rsidR="003F5C52" w:rsidRDefault="003F5C52" w:rsidP="003F5C52">
      <w:pPr>
        <w:pStyle w:val="FootnoteText"/>
        <w:numPr>
          <w:ilvl w:val="0"/>
          <w:numId w:val="5"/>
        </w:numPr>
        <w:ind w:left="851" w:hanging="491"/>
        <w:jc w:val="left"/>
        <w:rPr>
          <w:sz w:val="24"/>
          <w:szCs w:val="24"/>
        </w:rPr>
      </w:pPr>
      <w:r w:rsidRPr="00152A42">
        <w:rPr>
          <w:sz w:val="24"/>
          <w:szCs w:val="24"/>
        </w:rPr>
        <w:t xml:space="preserve">Secretary-General Report. An Agenda for Peace: Preventive Diplomacy, Peacemaking and Peace-Keeping. UN Doc. A/47/277-S/24111.17 June 1992. </w:t>
      </w:r>
    </w:p>
    <w:p w:rsidR="0038398D" w:rsidRDefault="0038398D" w:rsidP="0038398D">
      <w:pPr>
        <w:pStyle w:val="FootnoteText"/>
        <w:ind w:left="851"/>
        <w:jc w:val="left"/>
        <w:rPr>
          <w:sz w:val="24"/>
          <w:szCs w:val="24"/>
        </w:rPr>
      </w:pPr>
    </w:p>
    <w:p w:rsidR="003F5C52" w:rsidRPr="00152A42" w:rsidRDefault="003F5C52" w:rsidP="003F5C52">
      <w:pPr>
        <w:pStyle w:val="FootnoteText"/>
        <w:numPr>
          <w:ilvl w:val="0"/>
          <w:numId w:val="5"/>
        </w:numPr>
        <w:ind w:left="851" w:hanging="491"/>
        <w:jc w:val="left"/>
        <w:rPr>
          <w:sz w:val="24"/>
          <w:szCs w:val="24"/>
        </w:rPr>
      </w:pPr>
      <w:r w:rsidRPr="00152A42">
        <w:rPr>
          <w:sz w:val="24"/>
          <w:szCs w:val="24"/>
        </w:rPr>
        <w:t xml:space="preserve">Secretary-General Report of the Panel of </w:t>
      </w:r>
      <w:proofErr w:type="gramStart"/>
      <w:r w:rsidRPr="00152A42">
        <w:rPr>
          <w:sz w:val="24"/>
          <w:szCs w:val="24"/>
        </w:rPr>
        <w:t>The</w:t>
      </w:r>
      <w:proofErr w:type="gramEnd"/>
      <w:r w:rsidRPr="00152A42">
        <w:rPr>
          <w:sz w:val="24"/>
          <w:szCs w:val="24"/>
        </w:rPr>
        <w:t xml:space="preserve"> United Nations Peace Operations.  UN Doc. A/55/305 - S/2000/809. </w:t>
      </w:r>
    </w:p>
    <w:p w:rsidR="003F5C52" w:rsidRPr="00152A42" w:rsidRDefault="003F5C52" w:rsidP="003F5C52">
      <w:pPr>
        <w:pStyle w:val="FootnoteText"/>
        <w:ind w:left="851" w:hanging="491"/>
        <w:jc w:val="left"/>
        <w:rPr>
          <w:sz w:val="24"/>
          <w:szCs w:val="24"/>
        </w:rPr>
      </w:pPr>
    </w:p>
    <w:p w:rsidR="003F5C52" w:rsidRDefault="003F5C52" w:rsidP="003F5C52">
      <w:pPr>
        <w:pStyle w:val="FootnoteText"/>
        <w:numPr>
          <w:ilvl w:val="0"/>
          <w:numId w:val="5"/>
        </w:numPr>
        <w:ind w:left="851" w:hanging="491"/>
        <w:jc w:val="left"/>
        <w:rPr>
          <w:sz w:val="24"/>
          <w:szCs w:val="24"/>
        </w:rPr>
      </w:pPr>
      <w:r w:rsidRPr="0081778D">
        <w:rPr>
          <w:sz w:val="24"/>
          <w:szCs w:val="24"/>
        </w:rPr>
        <w:t xml:space="preserve">Second Report of the Secretary-General on the Plan for UNEF, UN Doc. A/3302 (1956). </w:t>
      </w:r>
    </w:p>
    <w:p w:rsidR="00925F33" w:rsidRPr="0081778D" w:rsidRDefault="00925F33" w:rsidP="00925F33">
      <w:pPr>
        <w:pStyle w:val="FootnoteText"/>
        <w:jc w:val="left"/>
        <w:rPr>
          <w:sz w:val="24"/>
          <w:szCs w:val="24"/>
        </w:rPr>
      </w:pPr>
    </w:p>
    <w:p w:rsidR="003F5C52" w:rsidRDefault="003F5C52" w:rsidP="003F5C52">
      <w:pPr>
        <w:pStyle w:val="FootnoteText"/>
        <w:numPr>
          <w:ilvl w:val="0"/>
          <w:numId w:val="5"/>
        </w:numPr>
        <w:ind w:left="851" w:hanging="491"/>
        <w:jc w:val="left"/>
        <w:rPr>
          <w:sz w:val="24"/>
          <w:szCs w:val="24"/>
        </w:rPr>
      </w:pPr>
      <w:r w:rsidRPr="0081778D">
        <w:rPr>
          <w:sz w:val="24"/>
          <w:szCs w:val="24"/>
        </w:rPr>
        <w:t xml:space="preserve">United Nations Emergency Force. Special Report of the Secretary-General. UN Doc. S/7906 (1967). </w:t>
      </w:r>
    </w:p>
    <w:p w:rsidR="00925F33" w:rsidRPr="0081778D" w:rsidRDefault="00925F33" w:rsidP="00925F33">
      <w:pPr>
        <w:pStyle w:val="FootnoteText"/>
        <w:jc w:val="left"/>
        <w:rPr>
          <w:sz w:val="24"/>
          <w:szCs w:val="24"/>
        </w:rPr>
      </w:pPr>
    </w:p>
    <w:p w:rsidR="003F5C52" w:rsidRPr="00066F73" w:rsidRDefault="003F5C52" w:rsidP="003F5C52">
      <w:pPr>
        <w:pStyle w:val="FootnoteText"/>
        <w:numPr>
          <w:ilvl w:val="0"/>
          <w:numId w:val="5"/>
        </w:numPr>
        <w:ind w:left="851" w:hanging="491"/>
        <w:jc w:val="left"/>
        <w:rPr>
          <w:sz w:val="24"/>
          <w:szCs w:val="24"/>
        </w:rPr>
      </w:pPr>
      <w:r w:rsidRPr="00152A42">
        <w:rPr>
          <w:sz w:val="24"/>
          <w:szCs w:val="24"/>
        </w:rPr>
        <w:t xml:space="preserve">Report of </w:t>
      </w:r>
      <w:proofErr w:type="gramStart"/>
      <w:r w:rsidRPr="00152A42">
        <w:rPr>
          <w:sz w:val="24"/>
          <w:szCs w:val="24"/>
        </w:rPr>
        <w:t>The</w:t>
      </w:r>
      <w:proofErr w:type="gramEnd"/>
      <w:r w:rsidRPr="00152A42">
        <w:rPr>
          <w:sz w:val="24"/>
          <w:szCs w:val="24"/>
        </w:rPr>
        <w:t xml:space="preserve"> Secretary-General. Comprehensive Review of the Whole question of Peace-keeping Operations in all their aspects. Model Status of Forces Agreement for Peace-keeping Operations. UN Doc. A/45/594. 9 October 1990. </w:t>
      </w:r>
    </w:p>
    <w:p w:rsidR="003F5C52" w:rsidRPr="0006604A" w:rsidRDefault="003F5C52" w:rsidP="003F5C52">
      <w:pPr>
        <w:pStyle w:val="FootnoteText"/>
        <w:ind w:left="851" w:hanging="491"/>
        <w:jc w:val="left"/>
        <w:rPr>
          <w:sz w:val="24"/>
          <w:szCs w:val="24"/>
          <w:lang w:val="lt-LT"/>
        </w:rPr>
      </w:pPr>
    </w:p>
    <w:p w:rsidR="003F5C52" w:rsidRPr="00066F73" w:rsidRDefault="003F5C52" w:rsidP="003F5C52">
      <w:pPr>
        <w:pStyle w:val="FootnoteText"/>
        <w:numPr>
          <w:ilvl w:val="0"/>
          <w:numId w:val="5"/>
        </w:numPr>
        <w:ind w:left="851" w:hanging="491"/>
        <w:jc w:val="left"/>
        <w:rPr>
          <w:sz w:val="24"/>
          <w:szCs w:val="24"/>
        </w:rPr>
      </w:pPr>
      <w:r w:rsidRPr="00152A42">
        <w:rPr>
          <w:sz w:val="24"/>
          <w:szCs w:val="24"/>
        </w:rPr>
        <w:t xml:space="preserve">Report of the Secretary-General. UN Doc. S/4389. July-September 1960. </w:t>
      </w:r>
    </w:p>
    <w:p w:rsidR="003F5C52" w:rsidRPr="00152A42" w:rsidRDefault="003F5C52" w:rsidP="003F5C52">
      <w:pPr>
        <w:pStyle w:val="FootnoteText"/>
        <w:ind w:left="851" w:hanging="491"/>
        <w:jc w:val="left"/>
        <w:rPr>
          <w:sz w:val="24"/>
          <w:szCs w:val="24"/>
        </w:rPr>
      </w:pPr>
    </w:p>
    <w:p w:rsidR="003F5C52" w:rsidRPr="003F5C52" w:rsidRDefault="003F5C52" w:rsidP="003F5C52">
      <w:pPr>
        <w:pStyle w:val="FootnoteText"/>
        <w:numPr>
          <w:ilvl w:val="0"/>
          <w:numId w:val="5"/>
        </w:numPr>
        <w:ind w:left="851" w:hanging="491"/>
        <w:jc w:val="left"/>
        <w:rPr>
          <w:rFonts w:eastAsiaTheme="majorEastAsia"/>
          <w:sz w:val="24"/>
          <w:szCs w:val="24"/>
        </w:rPr>
      </w:pPr>
      <w:r w:rsidRPr="00152A42">
        <w:rPr>
          <w:sz w:val="24"/>
          <w:szCs w:val="24"/>
        </w:rPr>
        <w:t xml:space="preserve">Secretary-General‘s Bulletin: Observance by United Nations Forces of International Humanitarian Law. 6 August 1999. UN Doc. ST/SGB/1999/13. </w:t>
      </w:r>
    </w:p>
    <w:p w:rsidR="003F5C52" w:rsidRDefault="003F5C52" w:rsidP="003F5C52">
      <w:pPr>
        <w:pStyle w:val="ListParagraph"/>
        <w:rPr>
          <w:rFonts w:eastAsiaTheme="majorEastAsia"/>
        </w:rPr>
      </w:pPr>
    </w:p>
    <w:p w:rsidR="003F5C52" w:rsidRPr="00152A42" w:rsidRDefault="003F5C52" w:rsidP="003F5C52">
      <w:pPr>
        <w:pStyle w:val="FootnoteText"/>
        <w:numPr>
          <w:ilvl w:val="0"/>
          <w:numId w:val="5"/>
        </w:numPr>
        <w:spacing w:after="240"/>
        <w:ind w:left="851" w:hanging="491"/>
        <w:jc w:val="left"/>
        <w:rPr>
          <w:sz w:val="24"/>
          <w:szCs w:val="24"/>
        </w:rPr>
      </w:pPr>
      <w:r w:rsidRPr="00152A42">
        <w:rPr>
          <w:sz w:val="24"/>
          <w:szCs w:val="24"/>
        </w:rPr>
        <w:t xml:space="preserve">First Report by the Secretary General on the Implementation of Security Council Resolution S/4387 of 14 July 1960, United Nations Emergency Force, Summary Study of the Experienced Derived From the Establishment and Operation of the Force: Report of the Secretary-General, UN SCOR, UN Doc. S/4389. 14 July 1960. </w:t>
      </w:r>
    </w:p>
    <w:p w:rsidR="003F5C52" w:rsidRDefault="003F5C52" w:rsidP="003F5C52">
      <w:pPr>
        <w:pStyle w:val="FootnoteText"/>
        <w:numPr>
          <w:ilvl w:val="0"/>
          <w:numId w:val="5"/>
        </w:numPr>
        <w:ind w:left="851" w:hanging="491"/>
        <w:jc w:val="left"/>
        <w:rPr>
          <w:sz w:val="24"/>
          <w:szCs w:val="24"/>
        </w:rPr>
      </w:pPr>
      <w:r w:rsidRPr="00152A42">
        <w:rPr>
          <w:iCs/>
          <w:sz w:val="24"/>
          <w:szCs w:val="24"/>
        </w:rPr>
        <w:t>Report of the Secretary-General Pursuant to General Assembly Resolution 53/35: The Fall of Srebrenica</w:t>
      </w:r>
      <w:r w:rsidRPr="00152A42">
        <w:rPr>
          <w:sz w:val="24"/>
          <w:szCs w:val="24"/>
        </w:rPr>
        <w:t xml:space="preserve">, 15 November 1999, UN Doc. A/54/549. </w:t>
      </w:r>
    </w:p>
    <w:p w:rsidR="0038398D" w:rsidRPr="00152A42" w:rsidRDefault="0038398D" w:rsidP="0038398D">
      <w:pPr>
        <w:pStyle w:val="FootnoteText"/>
        <w:ind w:left="851"/>
        <w:jc w:val="left"/>
        <w:rPr>
          <w:sz w:val="24"/>
          <w:szCs w:val="24"/>
        </w:rPr>
      </w:pPr>
    </w:p>
    <w:p w:rsidR="0038398D" w:rsidRDefault="003F5C52" w:rsidP="0038398D">
      <w:pPr>
        <w:pStyle w:val="FootnoteText"/>
        <w:numPr>
          <w:ilvl w:val="0"/>
          <w:numId w:val="5"/>
        </w:numPr>
        <w:ind w:left="851" w:hanging="491"/>
        <w:jc w:val="left"/>
        <w:rPr>
          <w:sz w:val="24"/>
          <w:szCs w:val="24"/>
        </w:rPr>
      </w:pPr>
      <w:r w:rsidRPr="00152A42">
        <w:rPr>
          <w:sz w:val="24"/>
          <w:szCs w:val="24"/>
        </w:rPr>
        <w:t xml:space="preserve">Report of the Secretary-General pursuant to resolution 836 (1993) UN. Doc. S/25939. </w:t>
      </w:r>
    </w:p>
    <w:p w:rsidR="005B69A8" w:rsidRPr="000C33E7" w:rsidRDefault="005B69A8" w:rsidP="005B69A8">
      <w:pPr>
        <w:pStyle w:val="FootnoteText"/>
        <w:jc w:val="left"/>
        <w:rPr>
          <w:sz w:val="24"/>
          <w:szCs w:val="24"/>
          <w:lang w:val="lt-LT"/>
        </w:rPr>
      </w:pPr>
    </w:p>
    <w:p w:rsidR="005B69A8" w:rsidRPr="005B69A8" w:rsidRDefault="005B69A8" w:rsidP="005B69A8">
      <w:pPr>
        <w:pStyle w:val="ListParagraph"/>
        <w:numPr>
          <w:ilvl w:val="0"/>
          <w:numId w:val="5"/>
        </w:numPr>
        <w:spacing w:after="240"/>
        <w:ind w:left="851" w:hanging="491"/>
        <w:jc w:val="left"/>
        <w:rPr>
          <w:lang w:val="lt-LT"/>
        </w:rPr>
      </w:pPr>
      <w:r>
        <w:rPr>
          <w:lang w:val="lt-LT"/>
        </w:rPr>
        <w:t xml:space="preserve">Valstybių Atsakomybės už tarptautinės teisės pažeidimus straipsnių projektas, 2001. // </w:t>
      </w:r>
      <w:r w:rsidRPr="001D6E17">
        <w:rPr>
          <w:lang w:val="lt-LT"/>
        </w:rPr>
        <w:t>Vadapalas V.</w:t>
      </w:r>
      <w:r w:rsidRPr="00152A42">
        <w:rPr>
          <w:lang w:val="lt-LT"/>
        </w:rPr>
        <w:t xml:space="preserve"> Tarptautinė teisė. Pagrindiniai dokumentai ir jurisprud</w:t>
      </w:r>
      <w:r>
        <w:rPr>
          <w:lang w:val="lt-LT"/>
        </w:rPr>
        <w:t>encija. Vilnius: Eugrimas, 2003.</w:t>
      </w:r>
    </w:p>
    <w:p w:rsidR="0038398D" w:rsidRPr="0038398D" w:rsidRDefault="0038398D" w:rsidP="005B69A8">
      <w:pPr>
        <w:pStyle w:val="FootnoteText"/>
        <w:jc w:val="left"/>
        <w:rPr>
          <w:sz w:val="24"/>
          <w:szCs w:val="24"/>
        </w:rPr>
      </w:pPr>
    </w:p>
    <w:p w:rsidR="00F234E7" w:rsidRPr="0006604A" w:rsidRDefault="00F234E7" w:rsidP="00700241">
      <w:pPr>
        <w:pStyle w:val="ListParagraph"/>
        <w:numPr>
          <w:ilvl w:val="0"/>
          <w:numId w:val="5"/>
        </w:numPr>
        <w:spacing w:after="240"/>
        <w:ind w:left="850" w:hanging="493"/>
        <w:jc w:val="left"/>
        <w:rPr>
          <w:rStyle w:val="apple-style-span"/>
          <w:color w:val="000000"/>
          <w:lang w:val="lt-LT"/>
        </w:rPr>
      </w:pPr>
      <w:r w:rsidRPr="00152A42">
        <w:lastRenderedPageBreak/>
        <w:t xml:space="preserve">Ministry of National </w:t>
      </w:r>
      <w:r w:rsidR="00152A42" w:rsidRPr="00152A42">
        <w:t>Defense</w:t>
      </w:r>
      <w:r w:rsidRPr="00152A42">
        <w:t xml:space="preserve"> of </w:t>
      </w:r>
      <w:proofErr w:type="gramStart"/>
      <w:r w:rsidRPr="00152A42">
        <w:t>The</w:t>
      </w:r>
      <w:proofErr w:type="gramEnd"/>
      <w:r w:rsidRPr="00152A42">
        <w:t xml:space="preserve"> Republic of Lithuania. The Lithuanian Armed Forces. In Service for Peace. Lithuania: ARX Baltica. //</w:t>
      </w:r>
      <w:r w:rsidR="004636AA" w:rsidRPr="00152A42">
        <w:t xml:space="preserve"> </w:t>
      </w:r>
      <w:hyperlink r:id="rId39" w:history="1">
        <w:r w:rsidR="004636AA" w:rsidRPr="0006604A">
          <w:rPr>
            <w:rStyle w:val="Hyperlink"/>
            <w:rFonts w:eastAsiaTheme="majorEastAsia"/>
            <w:lang w:val="lt-LT"/>
          </w:rPr>
          <w:t>http://www.kam.lt/lt/naujienos_874/leidiniai_876.html</w:t>
        </w:r>
      </w:hyperlink>
      <w:r w:rsidR="0052766E" w:rsidRPr="0006604A">
        <w:rPr>
          <w:lang w:val="lt-LT"/>
        </w:rPr>
        <w:t>.</w:t>
      </w:r>
    </w:p>
    <w:p w:rsidR="00726DFB" w:rsidRPr="0006604A" w:rsidRDefault="00F234E7" w:rsidP="00700241">
      <w:pPr>
        <w:pStyle w:val="ListParagraph"/>
        <w:numPr>
          <w:ilvl w:val="0"/>
          <w:numId w:val="5"/>
        </w:numPr>
        <w:spacing w:after="240"/>
        <w:ind w:left="850" w:hanging="493"/>
        <w:jc w:val="left"/>
        <w:rPr>
          <w:rStyle w:val="apple-style-span"/>
          <w:color w:val="000000"/>
          <w:lang w:val="lt-LT"/>
        </w:rPr>
      </w:pPr>
      <w:r w:rsidRPr="0006604A">
        <w:rPr>
          <w:rStyle w:val="apple-style-span"/>
          <w:color w:val="000000"/>
          <w:lang w:val="lt-LT"/>
        </w:rPr>
        <w:t xml:space="preserve">Lietuvos karių dalyvavimo tarptautinėse operacijose 2009-2010 m. perspektyvos // </w:t>
      </w:r>
      <w:hyperlink r:id="rId40" w:history="1">
        <w:r w:rsidRPr="0006604A">
          <w:rPr>
            <w:rStyle w:val="Hyperlink"/>
            <w:rFonts w:eastAsiaTheme="majorEastAsia"/>
            <w:lang w:val="lt-LT"/>
          </w:rPr>
          <w:t>http://kariuomene.kam.lt</w:t>
        </w:r>
      </w:hyperlink>
      <w:r w:rsidR="0052766E" w:rsidRPr="0006604A">
        <w:rPr>
          <w:rStyle w:val="apple-style-span"/>
          <w:color w:val="000000"/>
          <w:lang w:val="lt-LT"/>
        </w:rPr>
        <w:t>.</w:t>
      </w:r>
      <w:r w:rsidRPr="0006604A">
        <w:rPr>
          <w:rStyle w:val="apple-style-span"/>
          <w:color w:val="000000"/>
          <w:lang w:val="lt-LT"/>
        </w:rPr>
        <w:t xml:space="preserve"> </w:t>
      </w:r>
    </w:p>
    <w:p w:rsidR="00F234E7" w:rsidRPr="00152A42" w:rsidRDefault="00F234E7" w:rsidP="00700241">
      <w:pPr>
        <w:pStyle w:val="ListParagraph"/>
        <w:numPr>
          <w:ilvl w:val="0"/>
          <w:numId w:val="5"/>
        </w:numPr>
        <w:spacing w:after="240"/>
        <w:ind w:left="850" w:hanging="493"/>
        <w:jc w:val="left"/>
      </w:pPr>
      <w:r w:rsidRPr="00152A42">
        <w:t>Islamic Republic of Afghanistan. Afghanistan National Development Strategy 2008-2013. //</w:t>
      </w:r>
      <w:hyperlink r:id="rId41" w:history="1">
        <w:r w:rsidRPr="00152A42">
          <w:rPr>
            <w:rStyle w:val="Hyperlink"/>
            <w:rFonts w:eastAsiaTheme="majorEastAsia"/>
          </w:rPr>
          <w:t>http://www.embassyofafghanistan.org/documents/Afghanistan_National_Development_Strategy_eng.pdf</w:t>
        </w:r>
      </w:hyperlink>
      <w:r w:rsidR="0052766E" w:rsidRPr="00152A42">
        <w:t>.</w:t>
      </w:r>
    </w:p>
    <w:p w:rsidR="00E85BA5" w:rsidRPr="00152A42" w:rsidRDefault="00E85BA5" w:rsidP="00700241">
      <w:pPr>
        <w:pStyle w:val="BodyText2"/>
        <w:numPr>
          <w:ilvl w:val="0"/>
          <w:numId w:val="5"/>
        </w:numPr>
        <w:spacing w:after="240"/>
        <w:ind w:left="850" w:hanging="493"/>
        <w:jc w:val="left"/>
        <w:rPr>
          <w:bCs/>
          <w:lang w:val="en-US"/>
        </w:rPr>
      </w:pPr>
      <w:r w:rsidRPr="00152A42">
        <w:rPr>
          <w:lang w:val="en-US"/>
        </w:rPr>
        <w:t xml:space="preserve">The Afghanistan Compact. The London Conference of Afghanistan, 31 January- 1 February. // </w:t>
      </w:r>
      <w:hyperlink r:id="rId42" w:history="1">
        <w:r w:rsidRPr="00152A42">
          <w:rPr>
            <w:rStyle w:val="Hyperlink"/>
            <w:rFonts w:eastAsiaTheme="majorEastAsia"/>
            <w:lang w:val="en-US"/>
          </w:rPr>
          <w:t>http://www.nato.int/isaf/docu/epub/pdf/afghanistan_compact.pdf</w:t>
        </w:r>
      </w:hyperlink>
      <w:r w:rsidRPr="00152A42">
        <w:rPr>
          <w:lang w:val="en-US"/>
        </w:rPr>
        <w:t>.</w:t>
      </w:r>
    </w:p>
    <w:p w:rsidR="00E85BA5" w:rsidRPr="00F63CC2" w:rsidRDefault="00E85BA5" w:rsidP="00700241">
      <w:pPr>
        <w:pStyle w:val="FootnoteText"/>
        <w:numPr>
          <w:ilvl w:val="0"/>
          <w:numId w:val="5"/>
        </w:numPr>
        <w:spacing w:after="240"/>
        <w:ind w:left="850" w:hanging="493"/>
        <w:jc w:val="left"/>
        <w:rPr>
          <w:sz w:val="24"/>
          <w:szCs w:val="24"/>
        </w:rPr>
      </w:pPr>
      <w:r w:rsidRPr="00152A42">
        <w:rPr>
          <w:sz w:val="24"/>
          <w:szCs w:val="24"/>
        </w:rPr>
        <w:t xml:space="preserve">Agreement on Provisional Arrangements in Afghanistan Pending the Re-Establishment of Permanent Government Institutions ("Bonn Agreement") [Afghanistan], 5 December 2001. UN </w:t>
      </w:r>
      <w:r w:rsidRPr="00F63CC2">
        <w:rPr>
          <w:sz w:val="24"/>
          <w:szCs w:val="24"/>
        </w:rPr>
        <w:t>Doc. S/2001/1154.</w:t>
      </w:r>
    </w:p>
    <w:p w:rsidR="00F234E7" w:rsidRPr="00F63CC2" w:rsidRDefault="00F234E7" w:rsidP="00700241">
      <w:pPr>
        <w:pStyle w:val="ListParagraph"/>
        <w:numPr>
          <w:ilvl w:val="0"/>
          <w:numId w:val="5"/>
        </w:numPr>
        <w:spacing w:after="240"/>
        <w:ind w:left="850" w:hanging="493"/>
        <w:jc w:val="left"/>
        <w:rPr>
          <w:color w:val="000000"/>
          <w:lang w:val="lt-LT"/>
        </w:rPr>
      </w:pPr>
      <w:r w:rsidRPr="00F63CC2">
        <w:rPr>
          <w:lang w:val="lt-LT"/>
        </w:rPr>
        <w:t xml:space="preserve">Krašto Apsaugos Ministerija. 2009 metų veiklos ataskaita. // </w:t>
      </w:r>
      <w:hyperlink r:id="rId43" w:history="1">
        <w:r w:rsidRPr="00F63CC2">
          <w:rPr>
            <w:rStyle w:val="Hyperlink"/>
            <w:rFonts w:eastAsiaTheme="majorEastAsia"/>
            <w:lang w:val="lt-LT"/>
          </w:rPr>
          <w:t>http://www.kam.lt/lt/gynybos_politika_490/aktualus_dokumentai_492/ataskaitos_498.html</w:t>
        </w:r>
      </w:hyperlink>
    </w:p>
    <w:p w:rsidR="0052766E" w:rsidRPr="00F63CC2" w:rsidRDefault="0052766E" w:rsidP="00F63CC2">
      <w:pPr>
        <w:pStyle w:val="FootnoteText"/>
        <w:numPr>
          <w:ilvl w:val="0"/>
          <w:numId w:val="5"/>
        </w:numPr>
        <w:spacing w:after="240" w:line="240" w:lineRule="auto"/>
        <w:ind w:left="851" w:hanging="493"/>
        <w:rPr>
          <w:sz w:val="24"/>
          <w:szCs w:val="24"/>
          <w:lang w:val="lt-LT"/>
        </w:rPr>
      </w:pPr>
      <w:r w:rsidRPr="00F63CC2">
        <w:rPr>
          <w:sz w:val="24"/>
          <w:szCs w:val="24"/>
          <w:lang w:val="lt-LT"/>
        </w:rPr>
        <w:t>Krašto Apsaugos ministerija. Baltoji Lietuvos gynybos politikos knyga. Vilnius, 2006.//</w:t>
      </w:r>
    </w:p>
    <w:p w:rsidR="00D87053" w:rsidRPr="00D87053" w:rsidRDefault="00275463" w:rsidP="00D87053">
      <w:pPr>
        <w:pStyle w:val="ListParagraph"/>
        <w:spacing w:after="240" w:line="240" w:lineRule="auto"/>
        <w:ind w:left="851"/>
        <w:rPr>
          <w:lang w:val="lt-LT"/>
        </w:rPr>
      </w:pPr>
      <w:hyperlink r:id="rId44" w:history="1">
        <w:r w:rsidR="0052766E" w:rsidRPr="00F63CC2">
          <w:rPr>
            <w:rStyle w:val="Hyperlink"/>
            <w:rFonts w:eastAsiaTheme="majorEastAsia"/>
            <w:lang w:val="lt-LT"/>
          </w:rPr>
          <w:t>http://www.kam.lt/lt/naujienos_874/leidiniai_876.html</w:t>
        </w:r>
      </w:hyperlink>
      <w:r w:rsidR="0052766E" w:rsidRPr="00F63CC2">
        <w:rPr>
          <w:lang w:val="lt-LT"/>
        </w:rPr>
        <w:t>.</w:t>
      </w:r>
    </w:p>
    <w:p w:rsidR="00726DFB" w:rsidRPr="00152A42" w:rsidRDefault="00726DFB" w:rsidP="00700241">
      <w:pPr>
        <w:pStyle w:val="FootnoteText"/>
        <w:numPr>
          <w:ilvl w:val="0"/>
          <w:numId w:val="5"/>
        </w:numPr>
        <w:spacing w:after="240"/>
        <w:ind w:left="850" w:hanging="493"/>
        <w:jc w:val="left"/>
        <w:rPr>
          <w:rStyle w:val="apple-style-span"/>
          <w:sz w:val="24"/>
          <w:szCs w:val="24"/>
        </w:rPr>
      </w:pPr>
      <w:r w:rsidRPr="00152A42">
        <w:rPr>
          <w:sz w:val="24"/>
          <w:szCs w:val="24"/>
        </w:rPr>
        <w:t>Public Papers of the Secretaries-General of the United Nations. Vol. III: Dag Hammarskjold 1956-1957, 1973</w:t>
      </w:r>
      <w:r w:rsidR="000E11D7">
        <w:rPr>
          <w:sz w:val="24"/>
          <w:szCs w:val="24"/>
        </w:rPr>
        <w:t>.</w:t>
      </w:r>
    </w:p>
    <w:p w:rsidR="003C3589" w:rsidRPr="00152A42" w:rsidRDefault="003C3589" w:rsidP="00700241">
      <w:pPr>
        <w:pStyle w:val="FootnoteText"/>
        <w:numPr>
          <w:ilvl w:val="0"/>
          <w:numId w:val="5"/>
        </w:numPr>
        <w:spacing w:after="240"/>
        <w:ind w:left="850" w:hanging="493"/>
        <w:rPr>
          <w:sz w:val="24"/>
          <w:szCs w:val="24"/>
        </w:rPr>
      </w:pPr>
      <w:r w:rsidRPr="00152A42">
        <w:rPr>
          <w:sz w:val="24"/>
          <w:szCs w:val="24"/>
        </w:rPr>
        <w:t>United Nati</w:t>
      </w:r>
      <w:r w:rsidR="005D304B" w:rsidRPr="00152A42">
        <w:rPr>
          <w:sz w:val="24"/>
          <w:szCs w:val="24"/>
        </w:rPr>
        <w:t>o</w:t>
      </w:r>
      <w:r w:rsidR="000E11D7">
        <w:rPr>
          <w:sz w:val="24"/>
          <w:szCs w:val="24"/>
        </w:rPr>
        <w:t xml:space="preserve">ns Department of Peacekeeping </w:t>
      </w:r>
      <w:r w:rsidRPr="00152A42">
        <w:rPr>
          <w:sz w:val="24"/>
          <w:szCs w:val="24"/>
        </w:rPr>
        <w:t>Operati</w:t>
      </w:r>
      <w:r w:rsidR="005D304B" w:rsidRPr="00152A42">
        <w:rPr>
          <w:sz w:val="24"/>
          <w:szCs w:val="24"/>
        </w:rPr>
        <w:t>o</w:t>
      </w:r>
      <w:r w:rsidRPr="00152A42">
        <w:rPr>
          <w:sz w:val="24"/>
          <w:szCs w:val="24"/>
        </w:rPr>
        <w:t>ns. Department of Field Support. United Nations Peacekeeping operat</w:t>
      </w:r>
      <w:r w:rsidR="000E11D7">
        <w:rPr>
          <w:sz w:val="24"/>
          <w:szCs w:val="24"/>
        </w:rPr>
        <w:t xml:space="preserve">ions. </w:t>
      </w:r>
      <w:r w:rsidR="005D304B" w:rsidRPr="00152A42">
        <w:rPr>
          <w:sz w:val="24"/>
          <w:szCs w:val="24"/>
        </w:rPr>
        <w:t>Principles and Guidelines,</w:t>
      </w:r>
      <w:r w:rsidR="008954E6" w:rsidRPr="00152A42">
        <w:rPr>
          <w:sz w:val="24"/>
          <w:szCs w:val="24"/>
        </w:rPr>
        <w:t xml:space="preserve"> 2008.</w:t>
      </w:r>
      <w:r w:rsidR="009A40DD" w:rsidRPr="00152A42">
        <w:rPr>
          <w:sz w:val="24"/>
          <w:szCs w:val="24"/>
        </w:rPr>
        <w:t xml:space="preserve"> </w:t>
      </w:r>
      <w:r w:rsidR="008954E6" w:rsidRPr="00152A42">
        <w:rPr>
          <w:sz w:val="24"/>
          <w:szCs w:val="24"/>
        </w:rPr>
        <w:t xml:space="preserve">// </w:t>
      </w:r>
      <w:hyperlink r:id="rId45" w:history="1">
        <w:r w:rsidR="008954E6" w:rsidRPr="00152A42">
          <w:rPr>
            <w:rStyle w:val="Hyperlink"/>
            <w:rFonts w:eastAsiaTheme="majorEastAsia"/>
            <w:sz w:val="24"/>
            <w:szCs w:val="24"/>
          </w:rPr>
          <w:t>http://pbpu.unlb.org/pbps/library/Capstone%20Doctrine%20--%20Consultation%20Draft.pdf</w:t>
        </w:r>
      </w:hyperlink>
      <w:r w:rsidR="008954E6" w:rsidRPr="00152A42">
        <w:rPr>
          <w:sz w:val="24"/>
          <w:szCs w:val="24"/>
        </w:rPr>
        <w:t>.</w:t>
      </w:r>
    </w:p>
    <w:p w:rsidR="00965FD7" w:rsidRPr="00152A42" w:rsidRDefault="00023B3E" w:rsidP="00700241">
      <w:pPr>
        <w:pStyle w:val="FootnoteText"/>
        <w:numPr>
          <w:ilvl w:val="0"/>
          <w:numId w:val="5"/>
        </w:numPr>
        <w:spacing w:after="240"/>
        <w:ind w:left="850" w:hanging="493"/>
        <w:jc w:val="left"/>
        <w:rPr>
          <w:sz w:val="24"/>
          <w:szCs w:val="24"/>
        </w:rPr>
      </w:pPr>
      <w:r w:rsidRPr="00152A42">
        <w:rPr>
          <w:sz w:val="24"/>
          <w:szCs w:val="24"/>
        </w:rPr>
        <w:t>Department of Peacekeeping Operations. Handbook on United Nations Multidimensional Peacekeeping Operations. New York: Peacekeeping Best Practices Unit, 2003.</w:t>
      </w:r>
    </w:p>
    <w:p w:rsidR="00F5779B" w:rsidRPr="00152A42" w:rsidRDefault="0055203D" w:rsidP="00700241">
      <w:pPr>
        <w:pStyle w:val="FootnoteText"/>
        <w:numPr>
          <w:ilvl w:val="0"/>
          <w:numId w:val="5"/>
        </w:numPr>
        <w:spacing w:after="240"/>
        <w:ind w:left="850" w:hanging="493"/>
        <w:jc w:val="left"/>
        <w:rPr>
          <w:sz w:val="24"/>
          <w:szCs w:val="24"/>
        </w:rPr>
      </w:pPr>
      <w:r w:rsidRPr="00152A42">
        <w:rPr>
          <w:sz w:val="24"/>
          <w:szCs w:val="24"/>
        </w:rPr>
        <w:t xml:space="preserve">Tomuschat C. Uniting for Peace. General Assembly </w:t>
      </w:r>
      <w:proofErr w:type="gramStart"/>
      <w:r w:rsidRPr="00152A42">
        <w:rPr>
          <w:sz w:val="24"/>
          <w:szCs w:val="24"/>
        </w:rPr>
        <w:t>Resolution  377A</w:t>
      </w:r>
      <w:proofErr w:type="gramEnd"/>
      <w:r w:rsidRPr="00152A42">
        <w:rPr>
          <w:sz w:val="24"/>
          <w:szCs w:val="24"/>
        </w:rPr>
        <w:t xml:space="preserve"> (V) //  United Nations Audiovisual Library of International Law // </w:t>
      </w:r>
      <w:hyperlink r:id="rId46" w:history="1">
        <w:r w:rsidRPr="00152A42">
          <w:rPr>
            <w:rStyle w:val="Hyperlink"/>
            <w:rFonts w:eastAsiaTheme="majorEastAsia"/>
            <w:sz w:val="24"/>
            <w:szCs w:val="24"/>
          </w:rPr>
          <w:t>http://untreaty.un.org/cod/avl/ha/ufp/ufp.html</w:t>
        </w:r>
      </w:hyperlink>
      <w:r w:rsidRPr="00152A42">
        <w:rPr>
          <w:sz w:val="24"/>
          <w:szCs w:val="24"/>
        </w:rPr>
        <w:t>.</w:t>
      </w:r>
    </w:p>
    <w:p w:rsidR="00200487" w:rsidRPr="00152A42" w:rsidRDefault="00200487" w:rsidP="00700241">
      <w:pPr>
        <w:pStyle w:val="FootnoteText"/>
        <w:numPr>
          <w:ilvl w:val="0"/>
          <w:numId w:val="5"/>
        </w:numPr>
        <w:spacing w:after="240"/>
        <w:ind w:left="850" w:hanging="493"/>
        <w:jc w:val="left"/>
        <w:rPr>
          <w:sz w:val="24"/>
          <w:szCs w:val="24"/>
        </w:rPr>
      </w:pPr>
      <w:r w:rsidRPr="00152A42">
        <w:rPr>
          <w:sz w:val="24"/>
          <w:szCs w:val="24"/>
        </w:rPr>
        <w:lastRenderedPageBreak/>
        <w:t xml:space="preserve">Department of public information. Former Yugoslavia – UNPROFOR. United Nations, 1996 // </w:t>
      </w:r>
      <w:hyperlink r:id="rId47" w:history="1">
        <w:r w:rsidRPr="00152A42">
          <w:rPr>
            <w:rStyle w:val="Hyperlink"/>
            <w:rFonts w:eastAsiaTheme="majorEastAsia"/>
            <w:sz w:val="24"/>
            <w:szCs w:val="24"/>
          </w:rPr>
          <w:t>http://www.un.org/en/peacekeeping/missions/past/unprof_p.htm</w:t>
        </w:r>
      </w:hyperlink>
      <w:r w:rsidRPr="00152A42">
        <w:rPr>
          <w:sz w:val="24"/>
          <w:szCs w:val="24"/>
        </w:rPr>
        <w:t>.</w:t>
      </w:r>
    </w:p>
    <w:p w:rsidR="006206CA" w:rsidRPr="00152A42" w:rsidRDefault="00E22CA4" w:rsidP="00700241">
      <w:pPr>
        <w:pStyle w:val="FootnoteText"/>
        <w:numPr>
          <w:ilvl w:val="0"/>
          <w:numId w:val="5"/>
        </w:numPr>
        <w:spacing w:after="240"/>
        <w:ind w:left="850" w:hanging="493"/>
        <w:jc w:val="left"/>
        <w:rPr>
          <w:sz w:val="24"/>
          <w:szCs w:val="24"/>
        </w:rPr>
      </w:pPr>
      <w:r w:rsidRPr="00152A42">
        <w:rPr>
          <w:sz w:val="24"/>
          <w:szCs w:val="24"/>
        </w:rPr>
        <w:t xml:space="preserve">Statement by The North Atlantic council, Press Release 124, 12 </w:t>
      </w:r>
      <w:r w:rsidR="00152A42" w:rsidRPr="00152A42">
        <w:rPr>
          <w:sz w:val="24"/>
          <w:szCs w:val="24"/>
        </w:rPr>
        <w:t>September</w:t>
      </w:r>
      <w:r w:rsidRPr="00152A42">
        <w:rPr>
          <w:sz w:val="24"/>
          <w:szCs w:val="24"/>
        </w:rPr>
        <w:t xml:space="preserve"> 2001. // </w:t>
      </w:r>
      <w:hyperlink r:id="rId48" w:history="1">
        <w:r w:rsidRPr="00152A42">
          <w:rPr>
            <w:rStyle w:val="Hyperlink"/>
            <w:rFonts w:eastAsiaTheme="majorEastAsia"/>
            <w:sz w:val="24"/>
            <w:szCs w:val="24"/>
          </w:rPr>
          <w:t>http://www.nato.int/docu/pr/2001/p01-124e.htm</w:t>
        </w:r>
      </w:hyperlink>
      <w:r w:rsidR="00A93E21" w:rsidRPr="00152A42">
        <w:rPr>
          <w:sz w:val="24"/>
          <w:szCs w:val="24"/>
        </w:rPr>
        <w:t>.</w:t>
      </w:r>
    </w:p>
    <w:p w:rsidR="00701F77" w:rsidRPr="00152A42" w:rsidRDefault="006206CA" w:rsidP="00700241">
      <w:pPr>
        <w:pStyle w:val="FootnoteText"/>
        <w:numPr>
          <w:ilvl w:val="0"/>
          <w:numId w:val="5"/>
        </w:numPr>
        <w:spacing w:after="240"/>
        <w:ind w:left="850" w:hanging="493"/>
        <w:jc w:val="left"/>
        <w:rPr>
          <w:rFonts w:eastAsiaTheme="majorEastAsia"/>
          <w:sz w:val="24"/>
          <w:szCs w:val="24"/>
        </w:rPr>
      </w:pPr>
      <w:r w:rsidRPr="00152A42">
        <w:rPr>
          <w:sz w:val="24"/>
          <w:szCs w:val="24"/>
        </w:rPr>
        <w:t xml:space="preserve">The National Security Strategy of the United States of America. The White House, Washington D.C. September 17, 2002. // </w:t>
      </w:r>
      <w:hyperlink r:id="rId49" w:history="1">
        <w:r w:rsidR="00A31F9F" w:rsidRPr="00152A42">
          <w:rPr>
            <w:rStyle w:val="Hyperlink"/>
            <w:rFonts w:eastAsiaTheme="majorEastAsia"/>
            <w:sz w:val="24"/>
            <w:szCs w:val="24"/>
          </w:rPr>
          <w:t>http://www.globalsecurity.org/military/library/policy/national/nss-020920.pdf</w:t>
        </w:r>
      </w:hyperlink>
      <w:r w:rsidR="00A31F9F" w:rsidRPr="00152A42">
        <w:rPr>
          <w:sz w:val="24"/>
          <w:szCs w:val="24"/>
        </w:rPr>
        <w:t>.</w:t>
      </w:r>
    </w:p>
    <w:p w:rsidR="00701F77" w:rsidRPr="00152A42" w:rsidRDefault="00701F77" w:rsidP="00700241">
      <w:pPr>
        <w:pStyle w:val="FootnoteText"/>
        <w:numPr>
          <w:ilvl w:val="0"/>
          <w:numId w:val="5"/>
        </w:numPr>
        <w:spacing w:after="240"/>
        <w:ind w:left="850" w:hanging="493"/>
        <w:jc w:val="left"/>
        <w:rPr>
          <w:sz w:val="24"/>
          <w:szCs w:val="24"/>
        </w:rPr>
      </w:pPr>
      <w:r w:rsidRPr="00152A42">
        <w:rPr>
          <w:sz w:val="24"/>
          <w:szCs w:val="24"/>
        </w:rPr>
        <w:t>Opening Statement by NATO Secretary General Ande</w:t>
      </w:r>
      <w:r w:rsidR="00B15A15" w:rsidRPr="00152A42">
        <w:rPr>
          <w:sz w:val="24"/>
          <w:szCs w:val="24"/>
        </w:rPr>
        <w:t xml:space="preserve">rs Fogh Rasmussen at meeting on </w:t>
      </w:r>
      <w:r w:rsidRPr="00152A42">
        <w:rPr>
          <w:sz w:val="24"/>
          <w:szCs w:val="24"/>
        </w:rPr>
        <w:t xml:space="preserve">Afghanistan with Heads of State and Government. 20 November 2010. // </w:t>
      </w:r>
      <w:hyperlink r:id="rId50" w:history="1">
        <w:r w:rsidR="00B36EF2" w:rsidRPr="00152A42">
          <w:rPr>
            <w:rStyle w:val="Hyperlink"/>
            <w:rFonts w:eastAsiaTheme="majorEastAsia"/>
            <w:sz w:val="24"/>
            <w:szCs w:val="24"/>
          </w:rPr>
          <w:t>http://www.nato.int/cps/en/natolive/opinions_68723.htm</w:t>
        </w:r>
      </w:hyperlink>
      <w:r w:rsidR="00B36EF2" w:rsidRPr="00152A42">
        <w:rPr>
          <w:sz w:val="24"/>
          <w:szCs w:val="24"/>
        </w:rPr>
        <w:t>.</w:t>
      </w:r>
    </w:p>
    <w:p w:rsidR="001B3E78" w:rsidRPr="00152A42" w:rsidRDefault="00701F77" w:rsidP="00700241">
      <w:pPr>
        <w:pStyle w:val="FootnoteText"/>
        <w:numPr>
          <w:ilvl w:val="0"/>
          <w:numId w:val="5"/>
        </w:numPr>
        <w:spacing w:after="240"/>
        <w:ind w:left="850" w:hanging="493"/>
        <w:jc w:val="left"/>
        <w:rPr>
          <w:sz w:val="24"/>
          <w:szCs w:val="24"/>
        </w:rPr>
      </w:pPr>
      <w:r w:rsidRPr="00152A42">
        <w:rPr>
          <w:sz w:val="24"/>
          <w:szCs w:val="24"/>
        </w:rPr>
        <w:t xml:space="preserve">Asia Briefing N°115. Afghanistan: Exit </w:t>
      </w:r>
      <w:r w:rsidR="00152A42" w:rsidRPr="00152A42">
        <w:rPr>
          <w:sz w:val="24"/>
          <w:szCs w:val="24"/>
        </w:rPr>
        <w:t>vs.</w:t>
      </w:r>
      <w:r w:rsidRPr="00152A42">
        <w:rPr>
          <w:sz w:val="24"/>
          <w:szCs w:val="24"/>
        </w:rPr>
        <w:t xml:space="preserve"> Engagement. Kabul/Brussels, 28 November 2010. //</w:t>
      </w:r>
      <w:r w:rsidR="00B15A15" w:rsidRPr="00152A42">
        <w:rPr>
          <w:sz w:val="24"/>
          <w:szCs w:val="24"/>
        </w:rPr>
        <w:t xml:space="preserve"> </w:t>
      </w:r>
      <w:hyperlink r:id="rId51" w:history="1">
        <w:r w:rsidR="00B15A15" w:rsidRPr="00152A42">
          <w:rPr>
            <w:rStyle w:val="Hyperlink"/>
            <w:rFonts w:eastAsiaTheme="majorEastAsia"/>
            <w:sz w:val="24"/>
            <w:szCs w:val="24"/>
          </w:rPr>
          <w:t>http://www.crisisgroup.org/~/media/Files/asia/south-asia/afghanistan/B115%20Afghanistan%20--%20Exit%20vs%20Engagement.ashx</w:t>
        </w:r>
      </w:hyperlink>
      <w:r w:rsidR="00B15A15" w:rsidRPr="00152A42">
        <w:rPr>
          <w:sz w:val="24"/>
          <w:szCs w:val="24"/>
        </w:rPr>
        <w:t>.</w:t>
      </w:r>
    </w:p>
    <w:p w:rsidR="00613CBC" w:rsidRPr="00152A42" w:rsidRDefault="00F425D4" w:rsidP="00700241">
      <w:pPr>
        <w:pStyle w:val="FootnoteText"/>
        <w:numPr>
          <w:ilvl w:val="0"/>
          <w:numId w:val="5"/>
        </w:numPr>
        <w:spacing w:after="240"/>
        <w:ind w:left="850" w:hanging="493"/>
        <w:jc w:val="left"/>
        <w:rPr>
          <w:sz w:val="24"/>
          <w:szCs w:val="24"/>
        </w:rPr>
      </w:pPr>
      <w:r w:rsidRPr="00152A42">
        <w:rPr>
          <w:sz w:val="24"/>
          <w:szCs w:val="24"/>
        </w:rPr>
        <w:t xml:space="preserve">Asia Report N°145 – 6 February 2008. Afghanistan: The Need for International Resolve. 6 February, 2008. </w:t>
      </w:r>
      <w:r w:rsidR="00613CBC" w:rsidRPr="00152A42">
        <w:rPr>
          <w:sz w:val="24"/>
          <w:szCs w:val="24"/>
        </w:rPr>
        <w:t xml:space="preserve">// </w:t>
      </w:r>
      <w:hyperlink r:id="rId52" w:history="1">
        <w:r w:rsidR="00613CBC" w:rsidRPr="00152A42">
          <w:rPr>
            <w:rStyle w:val="Hyperlink"/>
            <w:rFonts w:eastAsiaTheme="majorEastAsia"/>
            <w:sz w:val="24"/>
            <w:szCs w:val="24"/>
          </w:rPr>
          <w:t>http://www.crisisgroup.org/~/media/Files/asia/south-asia/afghanistan/145_afghanistan___the_need_for_international_resolve.ashx</w:t>
        </w:r>
      </w:hyperlink>
      <w:r w:rsidR="00613CBC" w:rsidRPr="00152A42">
        <w:rPr>
          <w:sz w:val="24"/>
          <w:szCs w:val="24"/>
        </w:rPr>
        <w:t>.</w:t>
      </w:r>
    </w:p>
    <w:p w:rsidR="00C1332C" w:rsidRPr="00152A42" w:rsidRDefault="001D580A" w:rsidP="00700241">
      <w:pPr>
        <w:pStyle w:val="FootnoteText"/>
        <w:numPr>
          <w:ilvl w:val="0"/>
          <w:numId w:val="5"/>
        </w:numPr>
        <w:spacing w:after="240"/>
        <w:ind w:left="850" w:hanging="493"/>
        <w:jc w:val="left"/>
        <w:rPr>
          <w:sz w:val="24"/>
          <w:szCs w:val="24"/>
        </w:rPr>
      </w:pPr>
      <w:r w:rsidRPr="00152A42">
        <w:rPr>
          <w:sz w:val="24"/>
          <w:szCs w:val="24"/>
        </w:rPr>
        <w:t>Deazen Y. J. Troop Needs Open NATO Rift. Wall Street Journal, A8, Col. 1. 8 February 2008.</w:t>
      </w:r>
    </w:p>
    <w:p w:rsidR="00C1332C" w:rsidRPr="0006604A" w:rsidRDefault="00275463" w:rsidP="00700241">
      <w:pPr>
        <w:pStyle w:val="FootnoteText"/>
        <w:numPr>
          <w:ilvl w:val="0"/>
          <w:numId w:val="5"/>
        </w:numPr>
        <w:spacing w:after="240"/>
        <w:ind w:left="851" w:hanging="491"/>
        <w:rPr>
          <w:sz w:val="24"/>
          <w:szCs w:val="24"/>
          <w:lang w:val="lt-LT"/>
        </w:rPr>
      </w:pPr>
      <w:hyperlink r:id="rId53" w:history="1">
        <w:r w:rsidR="00C1332C" w:rsidRPr="0006604A">
          <w:rPr>
            <w:rStyle w:val="Hyperlink"/>
            <w:rFonts w:eastAsiaTheme="majorEastAsia"/>
            <w:sz w:val="24"/>
            <w:szCs w:val="24"/>
            <w:lang w:val="lt-LT"/>
          </w:rPr>
          <w:t>http://www.urm.lt</w:t>
        </w:r>
      </w:hyperlink>
      <w:r w:rsidR="00C1332C" w:rsidRPr="0006604A">
        <w:rPr>
          <w:sz w:val="24"/>
          <w:szCs w:val="24"/>
          <w:lang w:val="lt-LT"/>
        </w:rPr>
        <w:t xml:space="preserve"> – Lietuvos Respublikos užsienio reikalų ministerija</w:t>
      </w:r>
    </w:p>
    <w:p w:rsidR="00C1332C" w:rsidRPr="0006604A" w:rsidRDefault="00275463" w:rsidP="00700241">
      <w:pPr>
        <w:pStyle w:val="FootnoteText"/>
        <w:numPr>
          <w:ilvl w:val="0"/>
          <w:numId w:val="5"/>
        </w:numPr>
        <w:spacing w:after="240"/>
        <w:ind w:left="851" w:hanging="491"/>
        <w:rPr>
          <w:sz w:val="24"/>
          <w:szCs w:val="24"/>
          <w:lang w:val="lt-LT"/>
        </w:rPr>
      </w:pPr>
      <w:hyperlink r:id="rId54" w:history="1">
        <w:r w:rsidR="00C1332C" w:rsidRPr="0006604A">
          <w:rPr>
            <w:rStyle w:val="Hyperlink"/>
            <w:rFonts w:eastAsiaTheme="majorEastAsia"/>
            <w:sz w:val="24"/>
            <w:szCs w:val="24"/>
            <w:lang w:val="lt-LT"/>
          </w:rPr>
          <w:t>http://www.kam.lt</w:t>
        </w:r>
      </w:hyperlink>
      <w:r w:rsidR="00C1332C" w:rsidRPr="0006604A">
        <w:rPr>
          <w:sz w:val="24"/>
          <w:szCs w:val="24"/>
          <w:lang w:val="lt-LT"/>
        </w:rPr>
        <w:t xml:space="preserve"> – Lietuvos Respublikos krašto apsaugos ministerija</w:t>
      </w:r>
    </w:p>
    <w:p w:rsidR="00C1332C" w:rsidRDefault="00275463" w:rsidP="00700241">
      <w:pPr>
        <w:pStyle w:val="FootnoteText"/>
        <w:numPr>
          <w:ilvl w:val="0"/>
          <w:numId w:val="5"/>
        </w:numPr>
        <w:spacing w:after="240"/>
        <w:ind w:left="851" w:hanging="491"/>
        <w:rPr>
          <w:sz w:val="24"/>
          <w:szCs w:val="24"/>
          <w:lang w:val="lt-LT"/>
        </w:rPr>
      </w:pPr>
      <w:hyperlink r:id="rId55" w:history="1">
        <w:r w:rsidR="00C1332C" w:rsidRPr="0006604A">
          <w:rPr>
            <w:rStyle w:val="Hyperlink"/>
            <w:sz w:val="24"/>
            <w:szCs w:val="24"/>
            <w:lang w:val="lt-LT"/>
          </w:rPr>
          <w:t>http://www.un.org</w:t>
        </w:r>
      </w:hyperlink>
      <w:r w:rsidR="00C1332C" w:rsidRPr="0006604A">
        <w:rPr>
          <w:sz w:val="24"/>
          <w:szCs w:val="24"/>
          <w:lang w:val="lt-LT"/>
        </w:rPr>
        <w:t xml:space="preserve">  - Jungtinių Tautų Organizacija</w:t>
      </w:r>
    </w:p>
    <w:p w:rsidR="00154223" w:rsidRPr="00154223" w:rsidRDefault="00275463" w:rsidP="00700241">
      <w:pPr>
        <w:pStyle w:val="FootnoteText"/>
        <w:numPr>
          <w:ilvl w:val="0"/>
          <w:numId w:val="5"/>
        </w:numPr>
        <w:spacing w:after="240"/>
        <w:ind w:left="851" w:hanging="491"/>
        <w:rPr>
          <w:rFonts w:eastAsiaTheme="majorEastAsia"/>
          <w:sz w:val="24"/>
          <w:szCs w:val="24"/>
          <w:lang w:val="lt-LT"/>
        </w:rPr>
      </w:pPr>
      <w:hyperlink r:id="rId56" w:history="1">
        <w:r w:rsidR="00154223" w:rsidRPr="003D405C">
          <w:rPr>
            <w:rStyle w:val="Hyperlink"/>
            <w:rFonts w:eastAsiaTheme="majorEastAsia"/>
            <w:sz w:val="24"/>
            <w:szCs w:val="24"/>
            <w:lang w:val="lt-LT"/>
          </w:rPr>
          <w:t>http://www.nato.intl</w:t>
        </w:r>
      </w:hyperlink>
      <w:r w:rsidR="00154223">
        <w:rPr>
          <w:rFonts w:eastAsiaTheme="majorEastAsia"/>
          <w:sz w:val="24"/>
          <w:szCs w:val="24"/>
          <w:lang w:val="lt-LT"/>
        </w:rPr>
        <w:t xml:space="preserve"> – Šiaurės Atlanto Organizacija</w:t>
      </w:r>
    </w:p>
    <w:p w:rsidR="00C1332C" w:rsidRPr="00154223" w:rsidRDefault="00275463" w:rsidP="00700241">
      <w:pPr>
        <w:pStyle w:val="FootnoteText"/>
        <w:numPr>
          <w:ilvl w:val="0"/>
          <w:numId w:val="5"/>
        </w:numPr>
        <w:spacing w:after="240"/>
        <w:ind w:left="851" w:hanging="491"/>
        <w:rPr>
          <w:sz w:val="24"/>
          <w:szCs w:val="24"/>
          <w:lang w:val="lt-LT"/>
        </w:rPr>
      </w:pPr>
      <w:hyperlink r:id="rId57" w:history="1">
        <w:r w:rsidR="00C1332C" w:rsidRPr="0006604A">
          <w:rPr>
            <w:rStyle w:val="Hyperlink"/>
            <w:rFonts w:eastAsiaTheme="majorEastAsia"/>
            <w:sz w:val="24"/>
            <w:szCs w:val="24"/>
            <w:lang w:val="lt-LT"/>
          </w:rPr>
          <w:t>http://www3.lrs.lt</w:t>
        </w:r>
      </w:hyperlink>
      <w:r w:rsidR="00C1332C" w:rsidRPr="0006604A">
        <w:rPr>
          <w:rFonts w:eastAsiaTheme="majorEastAsia"/>
          <w:sz w:val="24"/>
          <w:szCs w:val="24"/>
          <w:lang w:val="lt-LT"/>
        </w:rPr>
        <w:t xml:space="preserve"> – Lietuvos Respublikos Seimas</w:t>
      </w:r>
    </w:p>
    <w:p w:rsidR="00154223" w:rsidRPr="00154223" w:rsidRDefault="00275463" w:rsidP="00700241">
      <w:pPr>
        <w:pStyle w:val="FootnoteText"/>
        <w:numPr>
          <w:ilvl w:val="0"/>
          <w:numId w:val="5"/>
        </w:numPr>
        <w:spacing w:after="240"/>
        <w:ind w:left="851" w:hanging="491"/>
        <w:rPr>
          <w:sz w:val="24"/>
          <w:szCs w:val="24"/>
          <w:lang w:val="lt-LT"/>
        </w:rPr>
      </w:pPr>
      <w:hyperlink r:id="rId58" w:history="1">
        <w:r w:rsidR="00154223" w:rsidRPr="0006604A">
          <w:rPr>
            <w:rStyle w:val="Hyperlink"/>
            <w:rFonts w:eastAsiaTheme="majorEastAsia"/>
            <w:sz w:val="24"/>
            <w:szCs w:val="24"/>
            <w:lang w:val="lt-LT"/>
          </w:rPr>
          <w:t>http://www.au.af.mil</w:t>
        </w:r>
      </w:hyperlink>
      <w:r w:rsidR="00154223" w:rsidRPr="0006604A">
        <w:rPr>
          <w:rFonts w:eastAsiaTheme="majorEastAsia"/>
          <w:sz w:val="24"/>
          <w:szCs w:val="24"/>
          <w:lang w:val="lt-LT"/>
        </w:rPr>
        <w:t xml:space="preserve"> </w:t>
      </w:r>
      <w:r w:rsidR="00154223" w:rsidRPr="0006604A">
        <w:rPr>
          <w:sz w:val="24"/>
          <w:szCs w:val="24"/>
          <w:lang w:val="lt-LT"/>
        </w:rPr>
        <w:t xml:space="preserve"> -</w:t>
      </w:r>
      <w:r w:rsidR="00154223">
        <w:rPr>
          <w:sz w:val="24"/>
          <w:szCs w:val="24"/>
          <w:lang w:val="en-AU"/>
        </w:rPr>
        <w:t xml:space="preserve"> Jungtinių Valstijų oro pajėgų portalas</w:t>
      </w:r>
    </w:p>
    <w:p w:rsidR="00154223" w:rsidRPr="00154223" w:rsidRDefault="00275463" w:rsidP="00700241">
      <w:pPr>
        <w:pStyle w:val="FootnoteText"/>
        <w:numPr>
          <w:ilvl w:val="0"/>
          <w:numId w:val="5"/>
        </w:numPr>
        <w:spacing w:after="240"/>
        <w:ind w:left="851" w:hanging="491"/>
        <w:rPr>
          <w:rFonts w:eastAsiaTheme="majorEastAsia"/>
          <w:sz w:val="24"/>
          <w:szCs w:val="24"/>
          <w:lang w:val="lt-LT"/>
        </w:rPr>
      </w:pPr>
      <w:hyperlink r:id="rId59" w:history="1">
        <w:r w:rsidR="00154223" w:rsidRPr="0006604A">
          <w:rPr>
            <w:rStyle w:val="Hyperlink"/>
            <w:rFonts w:eastAsiaTheme="majorEastAsia"/>
            <w:sz w:val="24"/>
            <w:szCs w:val="24"/>
            <w:lang w:val="lt-LT"/>
          </w:rPr>
          <w:t>www.austlii.edu.au</w:t>
        </w:r>
      </w:hyperlink>
      <w:r w:rsidR="00154223" w:rsidRPr="0006604A">
        <w:rPr>
          <w:rFonts w:eastAsiaTheme="majorEastAsia"/>
          <w:sz w:val="24"/>
          <w:szCs w:val="24"/>
          <w:lang w:val="lt-LT"/>
        </w:rPr>
        <w:t xml:space="preserve"> – Australijos teisinės informacijos institutas</w:t>
      </w:r>
    </w:p>
    <w:p w:rsidR="00C1332C" w:rsidRPr="0006604A" w:rsidRDefault="00275463" w:rsidP="00700241">
      <w:pPr>
        <w:pStyle w:val="FootnoteText"/>
        <w:numPr>
          <w:ilvl w:val="0"/>
          <w:numId w:val="5"/>
        </w:numPr>
        <w:spacing w:after="240"/>
        <w:ind w:left="851" w:hanging="491"/>
        <w:rPr>
          <w:sz w:val="24"/>
          <w:szCs w:val="24"/>
          <w:lang w:val="lt-LT"/>
        </w:rPr>
      </w:pPr>
      <w:hyperlink r:id="rId60" w:history="1">
        <w:r w:rsidR="00C1332C" w:rsidRPr="0006604A">
          <w:rPr>
            <w:rStyle w:val="Hyperlink"/>
            <w:rFonts w:eastAsiaTheme="majorEastAsia"/>
            <w:sz w:val="24"/>
            <w:szCs w:val="24"/>
            <w:lang w:val="lt-LT"/>
          </w:rPr>
          <w:t>http://papers.ssrn.com</w:t>
        </w:r>
      </w:hyperlink>
      <w:r w:rsidR="00C1332C" w:rsidRPr="0006604A">
        <w:rPr>
          <w:sz w:val="24"/>
          <w:szCs w:val="24"/>
          <w:lang w:val="lt-LT"/>
        </w:rPr>
        <w:t xml:space="preserve"> – SSRN elektroninis katalogas</w:t>
      </w:r>
    </w:p>
    <w:p w:rsidR="00C1332C" w:rsidRPr="0006604A" w:rsidRDefault="00275463" w:rsidP="00700241">
      <w:pPr>
        <w:pStyle w:val="FootnoteText"/>
        <w:numPr>
          <w:ilvl w:val="0"/>
          <w:numId w:val="5"/>
        </w:numPr>
        <w:spacing w:after="240"/>
        <w:ind w:left="851" w:hanging="491"/>
        <w:rPr>
          <w:sz w:val="24"/>
          <w:szCs w:val="24"/>
          <w:lang w:val="lt-LT"/>
        </w:rPr>
      </w:pPr>
      <w:hyperlink r:id="rId61" w:history="1">
        <w:r w:rsidR="00C1332C" w:rsidRPr="0006604A">
          <w:rPr>
            <w:rStyle w:val="Hyperlink"/>
            <w:rFonts w:eastAsiaTheme="majorEastAsia"/>
            <w:sz w:val="24"/>
            <w:szCs w:val="24"/>
            <w:lang w:val="lt-LT"/>
          </w:rPr>
          <w:t>http://muse.jhu.edu</w:t>
        </w:r>
      </w:hyperlink>
      <w:r w:rsidR="00C1332C" w:rsidRPr="0006604A">
        <w:rPr>
          <w:sz w:val="24"/>
          <w:szCs w:val="24"/>
          <w:lang w:val="lt-LT"/>
        </w:rPr>
        <w:t xml:space="preserve"> – Project MUSE elektroninis katalogas</w:t>
      </w:r>
    </w:p>
    <w:p w:rsidR="00C1332C" w:rsidRPr="0006604A" w:rsidRDefault="00275463" w:rsidP="00700241">
      <w:pPr>
        <w:pStyle w:val="FootnoteText"/>
        <w:numPr>
          <w:ilvl w:val="0"/>
          <w:numId w:val="5"/>
        </w:numPr>
        <w:spacing w:after="240"/>
        <w:ind w:left="851" w:hanging="491"/>
        <w:rPr>
          <w:sz w:val="24"/>
          <w:szCs w:val="24"/>
          <w:lang w:val="lt-LT"/>
        </w:rPr>
      </w:pPr>
      <w:hyperlink r:id="rId62" w:history="1">
        <w:r w:rsidR="00C1332C" w:rsidRPr="0006604A">
          <w:rPr>
            <w:rStyle w:val="Hyperlink"/>
            <w:sz w:val="24"/>
            <w:szCs w:val="24"/>
            <w:lang w:val="lt-LT"/>
          </w:rPr>
          <w:t>http://site.ebrary.com</w:t>
        </w:r>
      </w:hyperlink>
      <w:r w:rsidR="00C1332C" w:rsidRPr="0006604A">
        <w:rPr>
          <w:sz w:val="24"/>
          <w:szCs w:val="24"/>
          <w:lang w:val="lt-LT"/>
        </w:rPr>
        <w:t xml:space="preserve"> – Ebrary elektroninis katalogas</w:t>
      </w:r>
    </w:p>
    <w:p w:rsidR="00C1332C" w:rsidRPr="0006604A" w:rsidRDefault="00275463" w:rsidP="00700241">
      <w:pPr>
        <w:pStyle w:val="FootnoteText"/>
        <w:numPr>
          <w:ilvl w:val="0"/>
          <w:numId w:val="5"/>
        </w:numPr>
        <w:spacing w:after="240"/>
        <w:ind w:left="851" w:hanging="491"/>
        <w:rPr>
          <w:sz w:val="24"/>
          <w:szCs w:val="24"/>
          <w:lang w:val="lt-LT"/>
        </w:rPr>
      </w:pPr>
      <w:hyperlink r:id="rId63" w:history="1">
        <w:r w:rsidR="00C1332C" w:rsidRPr="0006604A">
          <w:rPr>
            <w:rStyle w:val="Hyperlink"/>
            <w:rFonts w:eastAsiaTheme="majorEastAsia"/>
            <w:sz w:val="24"/>
            <w:szCs w:val="24"/>
            <w:lang w:val="lt-LT"/>
          </w:rPr>
          <w:t>http://international.westlaw.com</w:t>
        </w:r>
      </w:hyperlink>
      <w:r w:rsidR="00C1332C" w:rsidRPr="0006604A">
        <w:rPr>
          <w:sz w:val="24"/>
          <w:szCs w:val="24"/>
          <w:lang w:val="lt-LT"/>
        </w:rPr>
        <w:t xml:space="preserve"> –</w:t>
      </w:r>
      <w:r w:rsidR="00C1332C" w:rsidRPr="00152A42">
        <w:rPr>
          <w:sz w:val="24"/>
          <w:szCs w:val="24"/>
          <w:lang w:val="en-AU"/>
        </w:rPr>
        <w:t xml:space="preserve"> West Law</w:t>
      </w:r>
      <w:r w:rsidR="00C1332C" w:rsidRPr="0006604A">
        <w:rPr>
          <w:sz w:val="24"/>
          <w:szCs w:val="24"/>
          <w:lang w:val="lt-LT"/>
        </w:rPr>
        <w:t xml:space="preserve"> elektroninis katalogas</w:t>
      </w:r>
    </w:p>
    <w:p w:rsidR="00C1332C" w:rsidRPr="0006604A" w:rsidRDefault="00275463" w:rsidP="00700241">
      <w:pPr>
        <w:pStyle w:val="FootnoteText"/>
        <w:numPr>
          <w:ilvl w:val="0"/>
          <w:numId w:val="5"/>
        </w:numPr>
        <w:spacing w:after="240"/>
        <w:ind w:left="851" w:hanging="491"/>
        <w:rPr>
          <w:rFonts w:eastAsiaTheme="majorEastAsia"/>
          <w:sz w:val="24"/>
          <w:szCs w:val="24"/>
          <w:lang w:val="lt-LT"/>
        </w:rPr>
      </w:pPr>
      <w:hyperlink r:id="rId64" w:history="1">
        <w:r w:rsidR="00C1332C" w:rsidRPr="0006604A">
          <w:rPr>
            <w:rStyle w:val="Hyperlink"/>
            <w:rFonts w:eastAsiaTheme="majorEastAsia"/>
            <w:sz w:val="24"/>
            <w:szCs w:val="24"/>
            <w:lang w:val="lt-LT"/>
          </w:rPr>
          <w:t>http://jcsl.oxfordjournals.org</w:t>
        </w:r>
      </w:hyperlink>
      <w:r w:rsidR="00C1332C" w:rsidRPr="0006604A">
        <w:rPr>
          <w:rFonts w:eastAsiaTheme="majorEastAsia"/>
          <w:sz w:val="24"/>
          <w:szCs w:val="24"/>
          <w:lang w:val="lt-LT"/>
        </w:rPr>
        <w:t xml:space="preserve">  -</w:t>
      </w:r>
      <w:r w:rsidR="00C1332C" w:rsidRPr="00152A42">
        <w:rPr>
          <w:rFonts w:eastAsiaTheme="majorEastAsia"/>
          <w:sz w:val="24"/>
          <w:szCs w:val="24"/>
          <w:lang w:val="en-AU"/>
        </w:rPr>
        <w:t xml:space="preserve"> Oxford Journals</w:t>
      </w:r>
      <w:r w:rsidR="00C1332C" w:rsidRPr="0006604A">
        <w:rPr>
          <w:rFonts w:eastAsiaTheme="majorEastAsia"/>
          <w:sz w:val="24"/>
          <w:szCs w:val="24"/>
          <w:lang w:val="lt-LT"/>
        </w:rPr>
        <w:t xml:space="preserve"> elektroninis katalogas</w:t>
      </w:r>
    </w:p>
    <w:p w:rsidR="00C1332C" w:rsidRPr="0006604A" w:rsidRDefault="00275463" w:rsidP="00700241">
      <w:pPr>
        <w:pStyle w:val="FootnoteText"/>
        <w:numPr>
          <w:ilvl w:val="0"/>
          <w:numId w:val="5"/>
        </w:numPr>
        <w:spacing w:after="240"/>
        <w:ind w:left="851" w:hanging="491"/>
        <w:rPr>
          <w:sz w:val="24"/>
          <w:szCs w:val="24"/>
          <w:lang w:val="lt-LT"/>
        </w:rPr>
      </w:pPr>
      <w:hyperlink r:id="rId65" w:history="1">
        <w:r w:rsidR="00C1332C" w:rsidRPr="0006604A">
          <w:rPr>
            <w:rStyle w:val="Hyperlink"/>
            <w:rFonts w:eastAsiaTheme="majorEastAsia"/>
            <w:sz w:val="24"/>
            <w:szCs w:val="24"/>
            <w:lang w:val="lt-LT"/>
          </w:rPr>
          <w:t>http://heinonline.org</w:t>
        </w:r>
      </w:hyperlink>
      <w:r w:rsidR="00C1332C" w:rsidRPr="0006604A">
        <w:rPr>
          <w:rFonts w:eastAsiaTheme="majorEastAsia"/>
          <w:sz w:val="24"/>
          <w:szCs w:val="24"/>
          <w:lang w:val="lt-LT"/>
        </w:rPr>
        <w:t xml:space="preserve"> </w:t>
      </w:r>
      <w:r w:rsidR="00C1332C" w:rsidRPr="0006604A">
        <w:rPr>
          <w:sz w:val="24"/>
          <w:szCs w:val="24"/>
          <w:lang w:val="lt-LT"/>
        </w:rPr>
        <w:t xml:space="preserve"> –</w:t>
      </w:r>
      <w:r w:rsidR="00C1332C" w:rsidRPr="00152A42">
        <w:rPr>
          <w:sz w:val="24"/>
          <w:szCs w:val="24"/>
          <w:lang w:val="en-AU"/>
        </w:rPr>
        <w:t xml:space="preserve"> Heinonline</w:t>
      </w:r>
      <w:r w:rsidR="00C1332C" w:rsidRPr="0006604A">
        <w:rPr>
          <w:sz w:val="24"/>
          <w:szCs w:val="24"/>
          <w:lang w:val="lt-LT"/>
        </w:rPr>
        <w:t xml:space="preserve"> elektroninis katalogas</w:t>
      </w:r>
    </w:p>
    <w:p w:rsidR="0055203D" w:rsidRPr="0006604A" w:rsidRDefault="00DF19E8" w:rsidP="00113D43">
      <w:pPr>
        <w:pStyle w:val="FootnoteText"/>
        <w:spacing w:after="240" w:line="240" w:lineRule="auto"/>
        <w:ind w:left="709" w:hanging="425"/>
        <w:jc w:val="left"/>
        <w:rPr>
          <w:sz w:val="24"/>
          <w:szCs w:val="24"/>
          <w:lang w:val="lt-LT"/>
        </w:rPr>
      </w:pPr>
      <w:r w:rsidRPr="0006604A">
        <w:rPr>
          <w:sz w:val="24"/>
          <w:szCs w:val="24"/>
          <w:lang w:val="lt-LT"/>
        </w:rPr>
        <w:br w:type="page"/>
      </w:r>
    </w:p>
    <w:p w:rsidR="00BB703E" w:rsidRPr="0006604A" w:rsidRDefault="00BB703E" w:rsidP="00113D43">
      <w:pPr>
        <w:pStyle w:val="Heading1"/>
        <w:rPr>
          <w:sz w:val="24"/>
          <w:szCs w:val="24"/>
          <w:lang w:val="lt-LT"/>
        </w:rPr>
      </w:pPr>
      <w:bookmarkStart w:id="33" w:name="_Toc280556725"/>
      <w:bookmarkStart w:id="34" w:name="_Toc280807844"/>
      <w:r w:rsidRPr="0006604A">
        <w:rPr>
          <w:sz w:val="24"/>
          <w:szCs w:val="24"/>
          <w:lang w:val="lt-LT"/>
        </w:rPr>
        <w:lastRenderedPageBreak/>
        <w:t>SANTRAUKA</w:t>
      </w:r>
      <w:bookmarkEnd w:id="33"/>
      <w:bookmarkEnd w:id="34"/>
    </w:p>
    <w:p w:rsidR="005B514D" w:rsidRPr="00C57CC0" w:rsidRDefault="005B514D" w:rsidP="005B514D">
      <w:pPr>
        <w:ind w:firstLine="851"/>
      </w:pPr>
      <w:proofErr w:type="gramStart"/>
      <w:r>
        <w:t xml:space="preserve">Šiame magistriniame darbe autorė analizuoja </w:t>
      </w:r>
      <w:r w:rsidRPr="00C57CC0">
        <w:t>Jungtin</w:t>
      </w:r>
      <w:r>
        <w:t>ių Tautų taikos misijų teisinį reglamentavimą</w:t>
      </w:r>
      <w:r w:rsidRPr="00C57CC0">
        <w:t>.</w:t>
      </w:r>
      <w:proofErr w:type="gramEnd"/>
    </w:p>
    <w:p w:rsidR="005B514D" w:rsidRPr="00C57CC0" w:rsidRDefault="005B514D" w:rsidP="005B514D">
      <w:pPr>
        <w:ind w:firstLine="851"/>
      </w:pPr>
      <w:proofErr w:type="gramStart"/>
      <w:r>
        <w:t>Autorės iškeltas darbo tikslas</w:t>
      </w:r>
      <w:r w:rsidRPr="00C57CC0">
        <w:t xml:space="preserve"> – išanalizuo</w:t>
      </w:r>
      <w:r>
        <w:t xml:space="preserve">ti taikos misijų rūšių teisinius pagrindus, pamatinius taikos principus ir </w:t>
      </w:r>
      <w:r w:rsidRPr="00C57CC0">
        <w:t>ats</w:t>
      </w:r>
      <w:r>
        <w:t>kleisti praktikai būdingas</w:t>
      </w:r>
      <w:r w:rsidRPr="00C57CC0">
        <w:t xml:space="preserve"> problemas.</w:t>
      </w:r>
      <w:proofErr w:type="gramEnd"/>
    </w:p>
    <w:p w:rsidR="005B514D" w:rsidRPr="00C57CC0" w:rsidRDefault="005B514D" w:rsidP="005B514D">
      <w:pPr>
        <w:ind w:firstLine="851"/>
      </w:pPr>
      <w:r>
        <w:t xml:space="preserve">Darbą sudaro </w:t>
      </w:r>
      <w:proofErr w:type="gramStart"/>
      <w:r>
        <w:t>dvi</w:t>
      </w:r>
      <w:proofErr w:type="gramEnd"/>
      <w:r>
        <w:t xml:space="preserve"> dalys. </w:t>
      </w:r>
      <w:proofErr w:type="gramStart"/>
      <w:r>
        <w:t>Pirmosios dalies pirmame poskyryje pateikiamas</w:t>
      </w:r>
      <w:r w:rsidRPr="00C57CC0">
        <w:t xml:space="preserve"> Jungtinių Tautų </w:t>
      </w:r>
      <w:r w:rsidR="00F7309C">
        <w:t>taikos misijų istorinis</w:t>
      </w:r>
      <w:r w:rsidR="000E11D7">
        <w:t xml:space="preserve"> vysty</w:t>
      </w:r>
      <w:r>
        <w:t>masis</w:t>
      </w:r>
      <w:r w:rsidR="00CB3DC6">
        <w:t xml:space="preserve"> nuo Š</w:t>
      </w:r>
      <w:r w:rsidRPr="00C57CC0">
        <w:t>altojo karo iki šių dienų, išskiriamos skirtingos tai</w:t>
      </w:r>
      <w:r>
        <w:t>kos misijų rūšys.</w:t>
      </w:r>
      <w:proofErr w:type="gramEnd"/>
      <w:r>
        <w:t xml:space="preserve"> </w:t>
      </w:r>
      <w:proofErr w:type="gramStart"/>
      <w:r>
        <w:t>Antrame poskyryje</w:t>
      </w:r>
      <w:r w:rsidRPr="00C57CC0">
        <w:t xml:space="preserve"> analizuojamas Jungtinių Tautų taikos misijų</w:t>
      </w:r>
      <w:r>
        <w:t xml:space="preserve"> rūšių </w:t>
      </w:r>
      <w:r w:rsidR="00210F51">
        <w:t xml:space="preserve">teisinis pagrindas, trečiajame ‒ </w:t>
      </w:r>
      <w:r w:rsidRPr="00C57CC0">
        <w:t>atribojama pagrindinių Jungtinių Tautų</w:t>
      </w:r>
      <w:r>
        <w:t xml:space="preserve"> organų kompetencija, vykdant saugumo politiką.</w:t>
      </w:r>
      <w:proofErr w:type="gramEnd"/>
      <w:r>
        <w:t xml:space="preserve"> </w:t>
      </w:r>
      <w:proofErr w:type="gramStart"/>
      <w:r>
        <w:t>Analizei naudojama Jungtinių Tautų Chartija, Tarptautinio Teisingumo Teismo praktika.</w:t>
      </w:r>
      <w:proofErr w:type="gramEnd"/>
      <w:r w:rsidRPr="00C57CC0">
        <w:t xml:space="preserve"> </w:t>
      </w:r>
      <w:r>
        <w:t xml:space="preserve"> </w:t>
      </w:r>
      <w:proofErr w:type="gramStart"/>
      <w:r>
        <w:t>Ketvirtajame poskyryje a</w:t>
      </w:r>
      <w:r w:rsidRPr="00C57CC0">
        <w:t>utorė pateikia trijų pamatinių taikos principų turinio analizę.</w:t>
      </w:r>
      <w:proofErr w:type="gramEnd"/>
    </w:p>
    <w:p w:rsidR="005B514D" w:rsidRPr="00C57CC0" w:rsidRDefault="005B514D" w:rsidP="005B514D">
      <w:pPr>
        <w:ind w:firstLine="851"/>
      </w:pPr>
      <w:r w:rsidRPr="00C57CC0">
        <w:t xml:space="preserve">Antroji </w:t>
      </w:r>
      <w:proofErr w:type="gramStart"/>
      <w:r w:rsidRPr="00C57CC0">
        <w:t>dalis</w:t>
      </w:r>
      <w:proofErr w:type="gramEnd"/>
      <w:r w:rsidRPr="00C57CC0">
        <w:t xml:space="preserve"> skirta praktinėm</w:t>
      </w:r>
      <w:r>
        <w:t>s</w:t>
      </w:r>
      <w:r w:rsidRPr="00C57CC0">
        <w:t xml:space="preserve"> taikos misijų problemom</w:t>
      </w:r>
      <w:r>
        <w:t>s</w:t>
      </w:r>
      <w:r w:rsidRPr="00C57CC0">
        <w:t xml:space="preserve">. </w:t>
      </w:r>
      <w:proofErr w:type="gramStart"/>
      <w:r>
        <w:t>Analizuojant Jungtinių Tautų Organizacijos oficialius dokumentus, p</w:t>
      </w:r>
      <w:r w:rsidRPr="00C57CC0">
        <w:t>ateikiamos tradicinių taikos misijų Konge, platesnio masto taikos misijų Bosnijoje ir Afganistane esminės teisinio pagrindo ir pamatinių taikos misijų principų taikymo problemos.</w:t>
      </w:r>
      <w:proofErr w:type="gramEnd"/>
      <w:r>
        <w:t xml:space="preserve"> </w:t>
      </w:r>
      <w:r w:rsidRPr="00C57CC0">
        <w:t>Paskutiniame poskyryje analizuojamas Lietuvos valsty</w:t>
      </w:r>
      <w:r>
        <w:t>bės dalyvavimas taikos misijose: a) p</w:t>
      </w:r>
      <w:r w:rsidRPr="00C57CC0">
        <w:t>ateikiama nacionalinių teisės aktų, susijusių su Lietuvos dalyvavimu taikos operacijose teisinė anali</w:t>
      </w:r>
      <w:r>
        <w:t>zė; b)</w:t>
      </w:r>
      <w:r w:rsidRPr="00C57CC0">
        <w:t xml:space="preserve"> </w:t>
      </w:r>
      <w:proofErr w:type="gramStart"/>
      <w:r w:rsidRPr="00C57CC0">
        <w:t>Lietuvos  vadovavimas</w:t>
      </w:r>
      <w:proofErr w:type="gramEnd"/>
      <w:r w:rsidRPr="00C57CC0">
        <w:t xml:space="preserve"> Afganistano Goro provincijos atkūrimui.</w:t>
      </w:r>
    </w:p>
    <w:p w:rsidR="005B514D" w:rsidRDefault="005B514D" w:rsidP="005B514D">
      <w:pPr>
        <w:ind w:firstLine="851"/>
      </w:pPr>
      <w:proofErr w:type="gramStart"/>
      <w:r w:rsidRPr="00C57CC0">
        <w:t xml:space="preserve">Darbo pabaigoje </w:t>
      </w:r>
      <w:r>
        <w:t xml:space="preserve">autorė pateikia </w:t>
      </w:r>
      <w:r w:rsidRPr="00C57CC0">
        <w:t>teisinio reglamentavimo ir praktinių problemų</w:t>
      </w:r>
      <w:r>
        <w:t xml:space="preserve"> išvadas.</w:t>
      </w:r>
      <w:proofErr w:type="gramEnd"/>
      <w:r>
        <w:t xml:space="preserve"> </w:t>
      </w:r>
      <w:proofErr w:type="gramStart"/>
      <w:r>
        <w:t xml:space="preserve">Pagrindinės praktikoje sutinkamos klaidos – pamatinių taikos misijų principų </w:t>
      </w:r>
      <w:r w:rsidR="00B542CB">
        <w:t xml:space="preserve">pažeidimas, viršijus leistinos </w:t>
      </w:r>
      <w:r>
        <w:t>jėgos mastą bei jų neatitikimas realiai konfliktinei situacijai.</w:t>
      </w:r>
      <w:proofErr w:type="gramEnd"/>
    </w:p>
    <w:p w:rsidR="00BB703E" w:rsidRPr="0006604A" w:rsidRDefault="00BB703E" w:rsidP="00113D43">
      <w:pPr>
        <w:rPr>
          <w:rFonts w:asciiTheme="majorHAnsi" w:eastAsiaTheme="majorEastAsia" w:hAnsiTheme="majorHAnsi" w:cstheme="majorBidi"/>
          <w:color w:val="365F91" w:themeColor="accent1" w:themeShade="BF"/>
          <w:lang w:val="lt-LT"/>
        </w:rPr>
      </w:pPr>
      <w:r w:rsidRPr="0006604A">
        <w:rPr>
          <w:lang w:val="lt-LT"/>
        </w:rPr>
        <w:br w:type="page"/>
      </w:r>
    </w:p>
    <w:p w:rsidR="0099290C" w:rsidRDefault="00DE22DB" w:rsidP="00113D43">
      <w:pPr>
        <w:pStyle w:val="Heading1"/>
        <w:rPr>
          <w:rFonts w:cs="Times New Roman"/>
          <w:sz w:val="24"/>
          <w:szCs w:val="24"/>
          <w:lang w:val="lt-LT"/>
        </w:rPr>
      </w:pPr>
      <w:bookmarkStart w:id="35" w:name="_Toc280556726"/>
      <w:bookmarkStart w:id="36" w:name="_Toc280807845"/>
      <w:r>
        <w:rPr>
          <w:rFonts w:cs="Times New Roman"/>
          <w:sz w:val="24"/>
          <w:szCs w:val="24"/>
          <w:lang w:val="lt-LT"/>
        </w:rPr>
        <w:lastRenderedPageBreak/>
        <w:t xml:space="preserve">LEGAL REGULATION OF </w:t>
      </w:r>
      <w:r w:rsidR="0099290C">
        <w:rPr>
          <w:rFonts w:cs="Times New Roman"/>
          <w:sz w:val="24"/>
          <w:szCs w:val="24"/>
          <w:lang w:val="lt-LT"/>
        </w:rPr>
        <w:t>UNITED NATIONS PEACEKEEPING OPERATIONS</w:t>
      </w:r>
    </w:p>
    <w:p w:rsidR="0099290C" w:rsidRPr="0099290C" w:rsidRDefault="0099290C" w:rsidP="0099290C">
      <w:pPr>
        <w:jc w:val="center"/>
        <w:rPr>
          <w:b/>
          <w:lang w:val="lt-LT"/>
        </w:rPr>
      </w:pPr>
      <w:r w:rsidRPr="0099290C">
        <w:rPr>
          <w:b/>
          <w:lang w:val="lt-LT"/>
        </w:rPr>
        <w:t>(LINA MIKŠYTĖ)</w:t>
      </w:r>
    </w:p>
    <w:p w:rsidR="00BB703E" w:rsidRPr="0099290C" w:rsidRDefault="00BB703E" w:rsidP="00113D43">
      <w:pPr>
        <w:pStyle w:val="Heading1"/>
        <w:rPr>
          <w:rFonts w:cs="Times New Roman"/>
          <w:sz w:val="24"/>
          <w:szCs w:val="24"/>
          <w:lang w:val="lt-LT"/>
        </w:rPr>
      </w:pPr>
      <w:r w:rsidRPr="0099290C">
        <w:rPr>
          <w:rFonts w:cs="Times New Roman"/>
          <w:sz w:val="24"/>
          <w:szCs w:val="24"/>
          <w:lang w:val="lt-LT"/>
        </w:rPr>
        <w:t>SUMMARY</w:t>
      </w:r>
      <w:bookmarkEnd w:id="35"/>
      <w:bookmarkEnd w:id="36"/>
    </w:p>
    <w:p w:rsidR="005B514D" w:rsidRPr="0099290C" w:rsidRDefault="005B514D" w:rsidP="0099290C">
      <w:pPr>
        <w:ind w:firstLine="851"/>
      </w:pPr>
      <w:r w:rsidRPr="0099290C">
        <w:t>In this paper the author performs analysis of United Nations peacekeeping legal regulation.</w:t>
      </w:r>
    </w:p>
    <w:p w:rsidR="005B514D" w:rsidRPr="0099290C" w:rsidRDefault="00952088" w:rsidP="005B514D">
      <w:pPr>
        <w:ind w:firstLine="851"/>
      </w:pPr>
      <w:proofErr w:type="gramStart"/>
      <w:r>
        <w:t xml:space="preserve">The author’s goal ‒ </w:t>
      </w:r>
      <w:r w:rsidR="005B514D" w:rsidRPr="0099290C">
        <w:t>to analyze legal basis of different kinds of peacekeeping operations, fundamental peacekeeping principles and disclose typical problems in practice.</w:t>
      </w:r>
      <w:proofErr w:type="gramEnd"/>
    </w:p>
    <w:p w:rsidR="005B514D" w:rsidRPr="0099290C" w:rsidRDefault="005B514D" w:rsidP="005B514D">
      <w:pPr>
        <w:ind w:firstLine="851"/>
      </w:pPr>
      <w:r w:rsidRPr="0099290C">
        <w:t xml:space="preserve">The work is divided in two parts. </w:t>
      </w:r>
    </w:p>
    <w:p w:rsidR="005B514D" w:rsidRPr="0099290C" w:rsidRDefault="005B514D" w:rsidP="005B514D">
      <w:pPr>
        <w:ind w:firstLine="851"/>
      </w:pPr>
      <w:r w:rsidRPr="0099290C">
        <w:t>First part begins with section devoted to historical developm</w:t>
      </w:r>
      <w:r w:rsidR="00CA529E">
        <w:t>ent of peac</w:t>
      </w:r>
      <w:r w:rsidR="009F1300">
        <w:t xml:space="preserve">ekeeping </w:t>
      </w:r>
      <w:proofErr w:type="gramStart"/>
      <w:r w:rsidR="009F1300">
        <w:t>miss</w:t>
      </w:r>
      <w:r w:rsidR="00CA529E">
        <w:t>ions</w:t>
      </w:r>
      <w:proofErr w:type="gramEnd"/>
      <w:r w:rsidR="00CA529E">
        <w:t xml:space="preserve"> ‒ </w:t>
      </w:r>
      <w:r w:rsidRPr="0099290C">
        <w:t xml:space="preserve">from the Cold War to the present, and classification of peacekeeping missions. In the second section the author analyses legal basis of different types of peacekeeping operations. The third section comprises separation of powers of the main United Nations organs, while conducting security policy. Furthermore, </w:t>
      </w:r>
      <w:r w:rsidR="00E43FE3">
        <w:t xml:space="preserve">the </w:t>
      </w:r>
      <w:r w:rsidRPr="0099290C">
        <w:t xml:space="preserve">author analyses The Charter of The United Nations and the practice of The International Court of Justice. </w:t>
      </w:r>
      <w:r w:rsidR="00E43FE3">
        <w:t>The f</w:t>
      </w:r>
      <w:r w:rsidRPr="0099290C">
        <w:t>ourth section consists of content analysis of three substantial peacekeeping principles.</w:t>
      </w:r>
    </w:p>
    <w:p w:rsidR="005B514D" w:rsidRPr="0099290C" w:rsidRDefault="005B514D" w:rsidP="005B514D">
      <w:pPr>
        <w:ind w:firstLine="851"/>
      </w:pPr>
      <w:r w:rsidRPr="0099290C">
        <w:t>In the second part the practical pe</w:t>
      </w:r>
      <w:r w:rsidR="00974DD4">
        <w:t>acekeeping challenges are analys</w:t>
      </w:r>
      <w:r w:rsidRPr="0099290C">
        <w:t>ed. The author r</w:t>
      </w:r>
      <w:r w:rsidR="009F1300">
        <w:t xml:space="preserve">eviews Official United Nations </w:t>
      </w:r>
      <w:r w:rsidRPr="0099290C">
        <w:t>documents and raises problems related to application of legal basis and fundamental principles of traditional peacekeeping in Congo and wider peacekeeping opera</w:t>
      </w:r>
      <w:r w:rsidR="00974DD4">
        <w:t>t</w:t>
      </w:r>
      <w:r w:rsidRPr="0099290C">
        <w:t>ions in Bosnia and Afghanistan. The second part is concluded by legal analysis of Lithuanian participation in peacekeeping operations: a) national legislation related to the participation in peacekeeping operations b) Lithuania’s leadership in one o</w:t>
      </w:r>
      <w:r w:rsidR="0046435C">
        <w:t xml:space="preserve">f Afghanistan province – Ghor ‒ </w:t>
      </w:r>
      <w:r w:rsidRPr="0099290C">
        <w:t>reconstruction.</w:t>
      </w:r>
    </w:p>
    <w:p w:rsidR="00644ADD" w:rsidRPr="0099290C" w:rsidRDefault="005B514D" w:rsidP="005B514D">
      <w:pPr>
        <w:ind w:firstLine="851"/>
        <w:rPr>
          <w:lang w:val="lt-LT"/>
        </w:rPr>
      </w:pPr>
      <w:r w:rsidRPr="0099290C">
        <w:t>At the end, the author represents final conclusions of the analysis of legal basis and practical problems</w:t>
      </w:r>
      <w:r w:rsidRPr="0099290C">
        <w:rPr>
          <w:color w:val="000000"/>
        </w:rPr>
        <w:t>.</w:t>
      </w:r>
      <w:r w:rsidRPr="0099290C">
        <w:t xml:space="preserve"> The most frequent problem is the breach of fundamental</w:t>
      </w:r>
      <w:r w:rsidR="00974DD4">
        <w:t xml:space="preserve"> peacekeeping principles when </w:t>
      </w:r>
      <w:r w:rsidRPr="0099290C">
        <w:t>forces used exceed the necessary amount and are inadequate to situation on the ground.</w:t>
      </w:r>
    </w:p>
    <w:p w:rsidR="00644ADD" w:rsidRPr="0006604A" w:rsidRDefault="00644ADD" w:rsidP="00113D43">
      <w:pPr>
        <w:rPr>
          <w:lang w:val="lt-LT"/>
        </w:rPr>
      </w:pPr>
    </w:p>
    <w:p w:rsidR="00644ADD" w:rsidRPr="0006604A" w:rsidRDefault="00644ADD" w:rsidP="00113D43">
      <w:pPr>
        <w:rPr>
          <w:lang w:val="lt-LT"/>
        </w:rPr>
      </w:pPr>
    </w:p>
    <w:p w:rsidR="00644ADD" w:rsidRPr="0006604A" w:rsidRDefault="00644ADD" w:rsidP="00113D43">
      <w:pPr>
        <w:rPr>
          <w:lang w:val="lt-LT"/>
        </w:rPr>
      </w:pPr>
    </w:p>
    <w:p w:rsidR="00BB703E" w:rsidRPr="0006604A" w:rsidRDefault="00BB703E" w:rsidP="00113D43">
      <w:pPr>
        <w:rPr>
          <w:rFonts w:asciiTheme="majorHAnsi" w:eastAsiaTheme="majorEastAsia" w:hAnsiTheme="majorHAnsi" w:cstheme="majorBidi"/>
          <w:color w:val="365F91" w:themeColor="accent1" w:themeShade="BF"/>
          <w:lang w:val="lt-LT"/>
        </w:rPr>
      </w:pPr>
      <w:r w:rsidRPr="0006604A">
        <w:rPr>
          <w:lang w:val="lt-LT"/>
        </w:rPr>
        <w:br w:type="page"/>
      </w:r>
    </w:p>
    <w:p w:rsidR="00F234E7" w:rsidRPr="0006604A" w:rsidRDefault="00DF19E8" w:rsidP="00113D43">
      <w:pPr>
        <w:pStyle w:val="Heading1"/>
        <w:rPr>
          <w:sz w:val="24"/>
          <w:szCs w:val="24"/>
          <w:lang w:val="lt-LT"/>
        </w:rPr>
      </w:pPr>
      <w:bookmarkStart w:id="37" w:name="_Toc280556727"/>
      <w:bookmarkStart w:id="38" w:name="_Toc280807846"/>
      <w:r w:rsidRPr="0006604A">
        <w:rPr>
          <w:sz w:val="24"/>
          <w:szCs w:val="24"/>
          <w:lang w:val="lt-LT"/>
        </w:rPr>
        <w:lastRenderedPageBreak/>
        <w:t>PRIEDAS 1</w:t>
      </w:r>
      <w:bookmarkEnd w:id="37"/>
      <w:bookmarkEnd w:id="38"/>
    </w:p>
    <w:p w:rsidR="0099290C" w:rsidRPr="00D53D53" w:rsidRDefault="00EB2471" w:rsidP="0099290C">
      <w:pPr>
        <w:tabs>
          <w:tab w:val="left" w:pos="142"/>
        </w:tabs>
        <w:jc w:val="center"/>
        <w:rPr>
          <w:b/>
          <w:lang w:val="lt-LT"/>
        </w:rPr>
      </w:pPr>
      <w:r w:rsidRPr="00D53D53">
        <w:rPr>
          <w:b/>
          <w:lang w:val="lt-LT"/>
        </w:rPr>
        <w:t>Pasibaigusios taikos misijos</w:t>
      </w:r>
    </w:p>
    <w:p w:rsidR="0099290C" w:rsidRPr="0099290C" w:rsidRDefault="0099290C" w:rsidP="0099290C">
      <w:pPr>
        <w:tabs>
          <w:tab w:val="left" w:pos="142"/>
        </w:tabs>
        <w:jc w:val="center"/>
        <w:rPr>
          <w:b/>
          <w:sz w:val="28"/>
          <w:szCs w:val="28"/>
          <w:lang w:val="lt-LT"/>
        </w:rPr>
      </w:pPr>
    </w:p>
    <w:tbl>
      <w:tblPr>
        <w:tblW w:w="9920" w:type="dxa"/>
        <w:jc w:val="center"/>
        <w:tblLayout w:type="fixed"/>
        <w:tblLook w:val="04A0"/>
      </w:tblPr>
      <w:tblGrid>
        <w:gridCol w:w="1190"/>
        <w:gridCol w:w="4535"/>
        <w:gridCol w:w="907"/>
        <w:gridCol w:w="907"/>
        <w:gridCol w:w="1587"/>
        <w:gridCol w:w="794"/>
      </w:tblGrid>
      <w:tr w:rsidR="00421A54" w:rsidRPr="0006604A" w:rsidTr="00421A54">
        <w:trPr>
          <w:trHeight w:val="330"/>
          <w:tblHeader/>
          <w:jc w:val="center"/>
        </w:trPr>
        <w:tc>
          <w:tcPr>
            <w:tcW w:w="1190" w:type="dxa"/>
            <w:tcBorders>
              <w:top w:val="single" w:sz="12" w:space="0" w:color="333333"/>
              <w:left w:val="nil"/>
              <w:bottom w:val="single" w:sz="4" w:space="0" w:color="auto"/>
              <w:right w:val="nil"/>
            </w:tcBorders>
            <w:shd w:val="clear" w:color="auto" w:fill="auto"/>
            <w:noWrap/>
            <w:vAlign w:val="center"/>
            <w:hideMark/>
          </w:tcPr>
          <w:p w:rsidR="00421A54" w:rsidRPr="0006604A" w:rsidRDefault="00152A42" w:rsidP="00113D43">
            <w:pPr>
              <w:spacing w:line="240" w:lineRule="auto"/>
              <w:jc w:val="left"/>
              <w:rPr>
                <w:b/>
                <w:bCs/>
                <w:color w:val="525252"/>
                <w:sz w:val="20"/>
                <w:szCs w:val="20"/>
                <w:lang w:val="lt-LT" w:eastAsia="lt-LT"/>
              </w:rPr>
            </w:pPr>
            <w:r>
              <w:rPr>
                <w:b/>
                <w:bCs/>
                <w:color w:val="525252"/>
                <w:sz w:val="20"/>
                <w:szCs w:val="20"/>
                <w:lang w:val="lt-LT" w:eastAsia="lt-LT"/>
              </w:rPr>
              <w:t>S</w:t>
            </w:r>
            <w:r w:rsidRPr="00152A42">
              <w:rPr>
                <w:b/>
                <w:bCs/>
                <w:color w:val="525252"/>
                <w:sz w:val="20"/>
                <w:szCs w:val="20"/>
                <w:lang w:val="lt-LT" w:eastAsia="lt-LT"/>
              </w:rPr>
              <w:t>antrumpa</w:t>
            </w:r>
          </w:p>
        </w:tc>
        <w:tc>
          <w:tcPr>
            <w:tcW w:w="4535" w:type="dxa"/>
            <w:tcBorders>
              <w:top w:val="single" w:sz="12" w:space="0" w:color="333333"/>
              <w:left w:val="nil"/>
              <w:bottom w:val="single" w:sz="4" w:space="0" w:color="auto"/>
              <w:right w:val="nil"/>
            </w:tcBorders>
            <w:shd w:val="clear" w:color="auto" w:fill="auto"/>
            <w:noWrap/>
            <w:vAlign w:val="center"/>
            <w:hideMark/>
          </w:tcPr>
          <w:p w:rsidR="00421A54" w:rsidRPr="0006604A" w:rsidRDefault="00421A54" w:rsidP="00113D43">
            <w:pPr>
              <w:spacing w:line="240" w:lineRule="auto"/>
              <w:jc w:val="left"/>
              <w:rPr>
                <w:b/>
                <w:bCs/>
                <w:color w:val="525252"/>
                <w:sz w:val="20"/>
                <w:szCs w:val="20"/>
                <w:lang w:val="lt-LT" w:eastAsia="lt-LT"/>
              </w:rPr>
            </w:pPr>
            <w:r w:rsidRPr="0006604A">
              <w:rPr>
                <w:b/>
                <w:bCs/>
                <w:color w:val="525252"/>
                <w:sz w:val="20"/>
                <w:szCs w:val="20"/>
                <w:lang w:val="lt-LT" w:eastAsia="lt-LT"/>
              </w:rPr>
              <w:t>Misijos pavadinimas</w:t>
            </w:r>
          </w:p>
        </w:tc>
        <w:tc>
          <w:tcPr>
            <w:tcW w:w="907" w:type="dxa"/>
            <w:tcBorders>
              <w:top w:val="single" w:sz="12" w:space="0" w:color="333333"/>
              <w:left w:val="nil"/>
              <w:bottom w:val="single" w:sz="4" w:space="0" w:color="auto"/>
              <w:right w:val="nil"/>
            </w:tcBorders>
            <w:shd w:val="clear" w:color="auto" w:fill="auto"/>
            <w:noWrap/>
            <w:vAlign w:val="center"/>
            <w:hideMark/>
          </w:tcPr>
          <w:p w:rsidR="00421A54" w:rsidRPr="0006604A" w:rsidRDefault="00421A54" w:rsidP="00113D43">
            <w:pPr>
              <w:spacing w:line="240" w:lineRule="auto"/>
              <w:jc w:val="left"/>
              <w:rPr>
                <w:b/>
                <w:bCs/>
                <w:color w:val="525252"/>
                <w:sz w:val="20"/>
                <w:szCs w:val="20"/>
                <w:lang w:val="lt-LT" w:eastAsia="lt-LT"/>
              </w:rPr>
            </w:pPr>
            <w:r w:rsidRPr="0006604A">
              <w:rPr>
                <w:b/>
                <w:bCs/>
                <w:color w:val="525252"/>
                <w:sz w:val="20"/>
                <w:szCs w:val="20"/>
                <w:lang w:val="lt-LT" w:eastAsia="lt-LT"/>
              </w:rPr>
              <w:t>Pradžia</w:t>
            </w:r>
          </w:p>
        </w:tc>
        <w:tc>
          <w:tcPr>
            <w:tcW w:w="907" w:type="dxa"/>
            <w:tcBorders>
              <w:top w:val="single" w:sz="12" w:space="0" w:color="333333"/>
              <w:left w:val="nil"/>
              <w:bottom w:val="single" w:sz="4" w:space="0" w:color="auto"/>
              <w:right w:val="nil"/>
            </w:tcBorders>
            <w:shd w:val="clear" w:color="auto" w:fill="auto"/>
            <w:noWrap/>
            <w:vAlign w:val="center"/>
            <w:hideMark/>
          </w:tcPr>
          <w:p w:rsidR="00421A54" w:rsidRPr="0006604A" w:rsidRDefault="00421A54" w:rsidP="00113D43">
            <w:pPr>
              <w:spacing w:line="240" w:lineRule="auto"/>
              <w:jc w:val="left"/>
              <w:rPr>
                <w:b/>
                <w:bCs/>
                <w:color w:val="525252"/>
                <w:sz w:val="20"/>
                <w:szCs w:val="20"/>
                <w:lang w:val="lt-LT" w:eastAsia="lt-LT"/>
              </w:rPr>
            </w:pPr>
            <w:r w:rsidRPr="0006604A">
              <w:rPr>
                <w:b/>
                <w:bCs/>
                <w:color w:val="525252"/>
                <w:sz w:val="20"/>
                <w:szCs w:val="20"/>
                <w:lang w:val="lt-LT" w:eastAsia="lt-LT"/>
              </w:rPr>
              <w:t>Pabaiga</w:t>
            </w:r>
          </w:p>
        </w:tc>
        <w:tc>
          <w:tcPr>
            <w:tcW w:w="1587" w:type="dxa"/>
            <w:tcBorders>
              <w:top w:val="single" w:sz="12" w:space="0" w:color="333333"/>
              <w:left w:val="nil"/>
              <w:bottom w:val="single" w:sz="4" w:space="0" w:color="auto"/>
              <w:right w:val="nil"/>
            </w:tcBorders>
            <w:shd w:val="clear" w:color="auto" w:fill="auto"/>
            <w:noWrap/>
            <w:vAlign w:val="center"/>
            <w:hideMark/>
          </w:tcPr>
          <w:p w:rsidR="00421A54" w:rsidRPr="0006604A" w:rsidRDefault="00421A54" w:rsidP="00113D43">
            <w:pPr>
              <w:spacing w:line="240" w:lineRule="auto"/>
              <w:jc w:val="left"/>
              <w:rPr>
                <w:b/>
                <w:bCs/>
                <w:color w:val="525252"/>
                <w:sz w:val="20"/>
                <w:szCs w:val="20"/>
                <w:lang w:val="lt-LT" w:eastAsia="lt-LT"/>
              </w:rPr>
            </w:pPr>
            <w:r w:rsidRPr="0006604A">
              <w:rPr>
                <w:b/>
                <w:bCs/>
                <w:color w:val="525252"/>
                <w:sz w:val="20"/>
                <w:szCs w:val="20"/>
                <w:lang w:val="lt-LT" w:eastAsia="lt-LT"/>
              </w:rPr>
              <w:t>Rūšis</w:t>
            </w:r>
          </w:p>
        </w:tc>
        <w:tc>
          <w:tcPr>
            <w:tcW w:w="794" w:type="dxa"/>
            <w:tcBorders>
              <w:top w:val="single" w:sz="12" w:space="0" w:color="333333"/>
              <w:left w:val="nil"/>
              <w:bottom w:val="single" w:sz="4" w:space="0" w:color="auto"/>
              <w:right w:val="nil"/>
            </w:tcBorders>
          </w:tcPr>
          <w:p w:rsidR="00421A54" w:rsidRPr="0006604A" w:rsidRDefault="00421A54" w:rsidP="00113D43">
            <w:pPr>
              <w:spacing w:line="240" w:lineRule="auto"/>
              <w:jc w:val="left"/>
              <w:rPr>
                <w:b/>
                <w:bCs/>
                <w:color w:val="525252"/>
                <w:sz w:val="20"/>
                <w:szCs w:val="20"/>
                <w:lang w:val="lt-LT" w:eastAsia="lt-LT"/>
              </w:rPr>
            </w:pPr>
            <w:r w:rsidRPr="0006604A">
              <w:rPr>
                <w:b/>
                <w:bCs/>
                <w:color w:val="525252"/>
                <w:sz w:val="20"/>
                <w:szCs w:val="20"/>
                <w:lang w:val="lt-LT" w:eastAsia="lt-LT"/>
              </w:rPr>
              <w:t>Karta</w:t>
            </w:r>
          </w:p>
        </w:tc>
      </w:tr>
      <w:tr w:rsidR="00421A54" w:rsidRPr="0006604A" w:rsidTr="00421A54">
        <w:trPr>
          <w:trHeight w:val="300"/>
          <w:jc w:val="center"/>
        </w:trPr>
        <w:tc>
          <w:tcPr>
            <w:tcW w:w="1190"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UNOGIL</w:t>
            </w:r>
          </w:p>
        </w:tc>
        <w:tc>
          <w:tcPr>
            <w:tcW w:w="4535"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 xml:space="preserve">Jungtinių Tautų stebėjimo grupė Libane </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1958-06</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1958-12</w:t>
            </w:r>
          </w:p>
        </w:tc>
        <w:tc>
          <w:tcPr>
            <w:tcW w:w="158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tradicinė</w:t>
            </w:r>
          </w:p>
        </w:tc>
        <w:tc>
          <w:tcPr>
            <w:tcW w:w="794" w:type="dxa"/>
            <w:tcBorders>
              <w:top w:val="single" w:sz="4" w:space="0" w:color="auto"/>
              <w:left w:val="nil"/>
              <w:bottom w:val="single" w:sz="4" w:space="0" w:color="auto"/>
              <w:right w:val="nil"/>
            </w:tcBorders>
          </w:tcPr>
          <w:p w:rsidR="00421A54" w:rsidRPr="0006604A" w:rsidRDefault="00024FF9" w:rsidP="00113D43">
            <w:pPr>
              <w:spacing w:line="240" w:lineRule="auto"/>
              <w:jc w:val="left"/>
              <w:rPr>
                <w:color w:val="333333"/>
                <w:sz w:val="20"/>
                <w:szCs w:val="20"/>
                <w:lang w:val="lt-LT" w:eastAsia="lt-LT"/>
              </w:rPr>
            </w:pPr>
            <w:r>
              <w:rPr>
                <w:color w:val="333333"/>
                <w:sz w:val="20"/>
                <w:szCs w:val="20"/>
                <w:lang w:val="lt-LT" w:eastAsia="lt-LT"/>
              </w:rPr>
              <w:t>pirma</w:t>
            </w:r>
          </w:p>
        </w:tc>
      </w:tr>
      <w:tr w:rsidR="00421A54" w:rsidRPr="0006604A" w:rsidTr="00421A54">
        <w:trPr>
          <w:trHeight w:val="300"/>
          <w:jc w:val="center"/>
        </w:trPr>
        <w:tc>
          <w:tcPr>
            <w:tcW w:w="1190"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UNSF</w:t>
            </w:r>
          </w:p>
        </w:tc>
        <w:tc>
          <w:tcPr>
            <w:tcW w:w="4535"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 xml:space="preserve">Jungtinių Tautų saugumo pajėgos Vakarų Naujoje Gvinėjoje </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1962-10</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1963-04</w:t>
            </w:r>
          </w:p>
        </w:tc>
        <w:tc>
          <w:tcPr>
            <w:tcW w:w="158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tradicinė</w:t>
            </w:r>
          </w:p>
        </w:tc>
        <w:tc>
          <w:tcPr>
            <w:tcW w:w="794" w:type="dxa"/>
            <w:tcBorders>
              <w:top w:val="single" w:sz="4" w:space="0" w:color="auto"/>
              <w:left w:val="nil"/>
              <w:bottom w:val="single" w:sz="4" w:space="0" w:color="auto"/>
              <w:right w:val="nil"/>
            </w:tcBorders>
          </w:tcPr>
          <w:p w:rsidR="00421A54" w:rsidRPr="0006604A" w:rsidRDefault="00024FF9" w:rsidP="00113D43">
            <w:pPr>
              <w:spacing w:line="240" w:lineRule="auto"/>
              <w:jc w:val="left"/>
              <w:rPr>
                <w:color w:val="333333"/>
                <w:sz w:val="20"/>
                <w:szCs w:val="20"/>
                <w:lang w:val="lt-LT" w:eastAsia="lt-LT"/>
              </w:rPr>
            </w:pPr>
            <w:r>
              <w:rPr>
                <w:color w:val="333333"/>
                <w:sz w:val="20"/>
                <w:szCs w:val="20"/>
                <w:lang w:val="lt-LT" w:eastAsia="lt-LT"/>
              </w:rPr>
              <w:t>pirma</w:t>
            </w:r>
          </w:p>
        </w:tc>
      </w:tr>
      <w:tr w:rsidR="00421A54" w:rsidRPr="0006604A" w:rsidTr="00421A54">
        <w:trPr>
          <w:trHeight w:val="300"/>
          <w:jc w:val="center"/>
        </w:trPr>
        <w:tc>
          <w:tcPr>
            <w:tcW w:w="1190"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sz w:val="20"/>
                <w:szCs w:val="20"/>
                <w:lang w:val="lt-LT" w:eastAsia="lt-LT"/>
              </w:rPr>
            </w:pPr>
            <w:r w:rsidRPr="0006604A">
              <w:rPr>
                <w:sz w:val="20"/>
                <w:szCs w:val="20"/>
                <w:lang w:val="lt-LT" w:eastAsia="lt-LT"/>
              </w:rPr>
              <w:t>ONUC</w:t>
            </w:r>
          </w:p>
        </w:tc>
        <w:tc>
          <w:tcPr>
            <w:tcW w:w="4535"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sz w:val="20"/>
                <w:szCs w:val="20"/>
                <w:lang w:val="lt-LT" w:eastAsia="lt-LT"/>
              </w:rPr>
            </w:pPr>
            <w:r w:rsidRPr="0006604A">
              <w:rPr>
                <w:sz w:val="20"/>
                <w:szCs w:val="20"/>
                <w:lang w:val="lt-LT" w:eastAsia="lt-LT"/>
              </w:rPr>
              <w:t>Jungtinių Tautų operacija Konge</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1960-07</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1964-06</w:t>
            </w:r>
          </w:p>
        </w:tc>
        <w:tc>
          <w:tcPr>
            <w:tcW w:w="158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tradicinė</w:t>
            </w:r>
          </w:p>
        </w:tc>
        <w:tc>
          <w:tcPr>
            <w:tcW w:w="794" w:type="dxa"/>
            <w:tcBorders>
              <w:top w:val="single" w:sz="4" w:space="0" w:color="auto"/>
              <w:left w:val="nil"/>
              <w:bottom w:val="single" w:sz="4" w:space="0" w:color="auto"/>
              <w:right w:val="nil"/>
            </w:tcBorders>
          </w:tcPr>
          <w:p w:rsidR="00421A54" w:rsidRPr="0006604A" w:rsidRDefault="00024FF9" w:rsidP="00113D43">
            <w:pPr>
              <w:spacing w:line="240" w:lineRule="auto"/>
              <w:jc w:val="left"/>
              <w:rPr>
                <w:color w:val="333333"/>
                <w:sz w:val="20"/>
                <w:szCs w:val="20"/>
                <w:lang w:val="lt-LT" w:eastAsia="lt-LT"/>
              </w:rPr>
            </w:pPr>
            <w:r>
              <w:rPr>
                <w:color w:val="333333"/>
                <w:sz w:val="20"/>
                <w:szCs w:val="20"/>
                <w:lang w:val="lt-LT" w:eastAsia="lt-LT"/>
              </w:rPr>
              <w:t>pirma</w:t>
            </w:r>
          </w:p>
        </w:tc>
      </w:tr>
      <w:tr w:rsidR="00421A54" w:rsidRPr="0006604A" w:rsidTr="00152A42">
        <w:trPr>
          <w:trHeight w:val="437"/>
          <w:jc w:val="center"/>
        </w:trPr>
        <w:tc>
          <w:tcPr>
            <w:tcW w:w="1190"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UNYOM</w:t>
            </w:r>
          </w:p>
        </w:tc>
        <w:tc>
          <w:tcPr>
            <w:tcW w:w="4535"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Jungtinių Tautų stebėjimo misija Jemene</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1963-07</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1964-09</w:t>
            </w:r>
          </w:p>
        </w:tc>
        <w:tc>
          <w:tcPr>
            <w:tcW w:w="158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tradicinė</w:t>
            </w:r>
          </w:p>
        </w:tc>
        <w:tc>
          <w:tcPr>
            <w:tcW w:w="794" w:type="dxa"/>
            <w:tcBorders>
              <w:top w:val="single" w:sz="4" w:space="0" w:color="auto"/>
              <w:left w:val="nil"/>
              <w:bottom w:val="single" w:sz="4" w:space="0" w:color="auto"/>
              <w:right w:val="nil"/>
            </w:tcBorders>
          </w:tcPr>
          <w:p w:rsidR="00421A54" w:rsidRPr="0006604A" w:rsidRDefault="00024FF9" w:rsidP="00113D43">
            <w:pPr>
              <w:spacing w:line="240" w:lineRule="auto"/>
              <w:jc w:val="left"/>
              <w:rPr>
                <w:color w:val="333333"/>
                <w:sz w:val="20"/>
                <w:szCs w:val="20"/>
                <w:lang w:val="lt-LT" w:eastAsia="lt-LT"/>
              </w:rPr>
            </w:pPr>
            <w:r>
              <w:rPr>
                <w:color w:val="333333"/>
                <w:sz w:val="20"/>
                <w:szCs w:val="20"/>
                <w:lang w:val="lt-LT" w:eastAsia="lt-LT"/>
              </w:rPr>
              <w:t>pirma</w:t>
            </w:r>
          </w:p>
        </w:tc>
      </w:tr>
      <w:tr w:rsidR="00421A54" w:rsidRPr="0006604A" w:rsidTr="00421A54">
        <w:trPr>
          <w:trHeight w:val="300"/>
          <w:jc w:val="center"/>
        </w:trPr>
        <w:tc>
          <w:tcPr>
            <w:tcW w:w="1190"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UNIPOM</w:t>
            </w:r>
          </w:p>
        </w:tc>
        <w:tc>
          <w:tcPr>
            <w:tcW w:w="4535"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Jungtinių Tautų Ind</w:t>
            </w:r>
            <w:r w:rsidR="00152A42">
              <w:rPr>
                <w:color w:val="333333"/>
                <w:sz w:val="20"/>
                <w:szCs w:val="20"/>
                <w:lang w:val="lt-LT" w:eastAsia="lt-LT"/>
              </w:rPr>
              <w:t>i</w:t>
            </w:r>
            <w:r w:rsidRPr="0006604A">
              <w:rPr>
                <w:color w:val="333333"/>
                <w:sz w:val="20"/>
                <w:szCs w:val="20"/>
                <w:lang w:val="lt-LT" w:eastAsia="lt-LT"/>
              </w:rPr>
              <w:t>jos-Pakistano stebėjimo misija</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1965-09</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1966-03</w:t>
            </w:r>
          </w:p>
        </w:tc>
        <w:tc>
          <w:tcPr>
            <w:tcW w:w="158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tradicinė</w:t>
            </w:r>
          </w:p>
        </w:tc>
        <w:tc>
          <w:tcPr>
            <w:tcW w:w="794" w:type="dxa"/>
            <w:tcBorders>
              <w:top w:val="single" w:sz="4" w:space="0" w:color="auto"/>
              <w:left w:val="nil"/>
              <w:bottom w:val="single" w:sz="4" w:space="0" w:color="auto"/>
              <w:right w:val="nil"/>
            </w:tcBorders>
          </w:tcPr>
          <w:p w:rsidR="00421A54" w:rsidRPr="0006604A" w:rsidRDefault="00024FF9" w:rsidP="00113D43">
            <w:pPr>
              <w:spacing w:line="240" w:lineRule="auto"/>
              <w:jc w:val="left"/>
              <w:rPr>
                <w:color w:val="333333"/>
                <w:sz w:val="20"/>
                <w:szCs w:val="20"/>
                <w:lang w:val="lt-LT" w:eastAsia="lt-LT"/>
              </w:rPr>
            </w:pPr>
            <w:r>
              <w:rPr>
                <w:color w:val="333333"/>
                <w:sz w:val="20"/>
                <w:szCs w:val="20"/>
                <w:lang w:val="lt-LT" w:eastAsia="lt-LT"/>
              </w:rPr>
              <w:t>pirma</w:t>
            </w:r>
          </w:p>
        </w:tc>
      </w:tr>
      <w:tr w:rsidR="00421A54" w:rsidRPr="0006604A" w:rsidTr="00421A54">
        <w:trPr>
          <w:trHeight w:val="300"/>
          <w:jc w:val="center"/>
        </w:trPr>
        <w:tc>
          <w:tcPr>
            <w:tcW w:w="1190"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DOMREP</w:t>
            </w:r>
          </w:p>
        </w:tc>
        <w:tc>
          <w:tcPr>
            <w:tcW w:w="4535"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Generalinio Sekretoriaus atstovo misija Dominikos Respublikoje</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1965-05</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1966-10</w:t>
            </w:r>
          </w:p>
        </w:tc>
        <w:tc>
          <w:tcPr>
            <w:tcW w:w="158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tradicinė</w:t>
            </w:r>
          </w:p>
        </w:tc>
        <w:tc>
          <w:tcPr>
            <w:tcW w:w="794" w:type="dxa"/>
            <w:tcBorders>
              <w:top w:val="single" w:sz="4" w:space="0" w:color="auto"/>
              <w:left w:val="nil"/>
              <w:bottom w:val="single" w:sz="4" w:space="0" w:color="auto"/>
              <w:right w:val="nil"/>
            </w:tcBorders>
          </w:tcPr>
          <w:p w:rsidR="00421A54" w:rsidRPr="0006604A" w:rsidRDefault="00024FF9" w:rsidP="00113D43">
            <w:pPr>
              <w:spacing w:line="240" w:lineRule="auto"/>
              <w:jc w:val="left"/>
              <w:rPr>
                <w:color w:val="333333"/>
                <w:sz w:val="20"/>
                <w:szCs w:val="20"/>
                <w:lang w:val="lt-LT" w:eastAsia="lt-LT"/>
              </w:rPr>
            </w:pPr>
            <w:r>
              <w:rPr>
                <w:color w:val="333333"/>
                <w:sz w:val="20"/>
                <w:szCs w:val="20"/>
                <w:lang w:val="lt-LT" w:eastAsia="lt-LT"/>
              </w:rPr>
              <w:t>pirma</w:t>
            </w:r>
          </w:p>
        </w:tc>
      </w:tr>
      <w:tr w:rsidR="00421A54" w:rsidRPr="0006604A" w:rsidTr="00421A54">
        <w:trPr>
          <w:trHeight w:val="300"/>
          <w:jc w:val="center"/>
        </w:trPr>
        <w:tc>
          <w:tcPr>
            <w:tcW w:w="1190"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UNEF I</w:t>
            </w:r>
          </w:p>
        </w:tc>
        <w:tc>
          <w:tcPr>
            <w:tcW w:w="4535"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sz w:val="20"/>
                <w:szCs w:val="20"/>
                <w:lang w:val="lt-LT" w:eastAsia="lt-LT"/>
              </w:rPr>
            </w:pPr>
            <w:r w:rsidRPr="0006604A">
              <w:rPr>
                <w:color w:val="333333"/>
                <w:sz w:val="20"/>
                <w:szCs w:val="20"/>
                <w:lang w:val="lt-LT" w:eastAsia="lt-LT"/>
              </w:rPr>
              <w:t xml:space="preserve"> </w:t>
            </w:r>
            <w:r w:rsidRPr="0006604A">
              <w:rPr>
                <w:sz w:val="20"/>
                <w:szCs w:val="20"/>
                <w:lang w:val="lt-LT" w:eastAsia="lt-LT"/>
              </w:rPr>
              <w:t>Pirmosios Jungtinių Tautų  nepaprastųjų  įvykių pajėgos Egipte</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1956-11</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1967-06</w:t>
            </w:r>
          </w:p>
        </w:tc>
        <w:tc>
          <w:tcPr>
            <w:tcW w:w="158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tradicinė</w:t>
            </w:r>
          </w:p>
        </w:tc>
        <w:tc>
          <w:tcPr>
            <w:tcW w:w="794" w:type="dxa"/>
            <w:tcBorders>
              <w:top w:val="single" w:sz="4" w:space="0" w:color="auto"/>
              <w:left w:val="nil"/>
              <w:bottom w:val="single" w:sz="4" w:space="0" w:color="auto"/>
              <w:right w:val="nil"/>
            </w:tcBorders>
          </w:tcPr>
          <w:p w:rsidR="00421A54" w:rsidRPr="0006604A" w:rsidRDefault="00024FF9" w:rsidP="00113D43">
            <w:pPr>
              <w:spacing w:line="240" w:lineRule="auto"/>
              <w:jc w:val="left"/>
              <w:rPr>
                <w:color w:val="333333"/>
                <w:sz w:val="20"/>
                <w:szCs w:val="20"/>
                <w:lang w:val="lt-LT" w:eastAsia="lt-LT"/>
              </w:rPr>
            </w:pPr>
            <w:r>
              <w:rPr>
                <w:color w:val="333333"/>
                <w:sz w:val="20"/>
                <w:szCs w:val="20"/>
                <w:lang w:val="lt-LT" w:eastAsia="lt-LT"/>
              </w:rPr>
              <w:t>pirma</w:t>
            </w:r>
          </w:p>
        </w:tc>
      </w:tr>
      <w:tr w:rsidR="00421A54" w:rsidRPr="0006604A" w:rsidTr="00421A54">
        <w:trPr>
          <w:trHeight w:val="300"/>
          <w:jc w:val="center"/>
        </w:trPr>
        <w:tc>
          <w:tcPr>
            <w:tcW w:w="1190"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UNEF II</w:t>
            </w:r>
          </w:p>
        </w:tc>
        <w:tc>
          <w:tcPr>
            <w:tcW w:w="4535"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Antrosios Jungtinių Tautų nepaprastųjų įvykių pajėgos Egipte</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1973-10</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1979-07</w:t>
            </w:r>
          </w:p>
        </w:tc>
        <w:tc>
          <w:tcPr>
            <w:tcW w:w="158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tradicinė</w:t>
            </w:r>
          </w:p>
        </w:tc>
        <w:tc>
          <w:tcPr>
            <w:tcW w:w="794" w:type="dxa"/>
            <w:tcBorders>
              <w:top w:val="single" w:sz="4" w:space="0" w:color="auto"/>
              <w:left w:val="nil"/>
              <w:bottom w:val="single" w:sz="4" w:space="0" w:color="auto"/>
              <w:right w:val="nil"/>
            </w:tcBorders>
          </w:tcPr>
          <w:p w:rsidR="00421A54" w:rsidRPr="0006604A" w:rsidRDefault="00024FF9" w:rsidP="00113D43">
            <w:pPr>
              <w:spacing w:line="240" w:lineRule="auto"/>
              <w:jc w:val="left"/>
              <w:rPr>
                <w:color w:val="333333"/>
                <w:sz w:val="20"/>
                <w:szCs w:val="20"/>
                <w:lang w:val="lt-LT" w:eastAsia="lt-LT"/>
              </w:rPr>
            </w:pPr>
            <w:r>
              <w:rPr>
                <w:color w:val="333333"/>
                <w:sz w:val="20"/>
                <w:szCs w:val="20"/>
                <w:lang w:val="lt-LT" w:eastAsia="lt-LT"/>
              </w:rPr>
              <w:t>pirma</w:t>
            </w:r>
          </w:p>
        </w:tc>
      </w:tr>
      <w:tr w:rsidR="00421A54" w:rsidRPr="0006604A" w:rsidTr="00421A54">
        <w:trPr>
          <w:trHeight w:val="300"/>
          <w:jc w:val="center"/>
        </w:trPr>
        <w:tc>
          <w:tcPr>
            <w:tcW w:w="1190"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UNGOMAP</w:t>
            </w:r>
          </w:p>
        </w:tc>
        <w:tc>
          <w:tcPr>
            <w:tcW w:w="4535"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Jungtinių Tautų misija Afganistane ir Pakistane</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1988-05</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1990-03</w:t>
            </w:r>
          </w:p>
        </w:tc>
        <w:tc>
          <w:tcPr>
            <w:tcW w:w="158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tradicinė</w:t>
            </w:r>
          </w:p>
        </w:tc>
        <w:tc>
          <w:tcPr>
            <w:tcW w:w="794" w:type="dxa"/>
            <w:tcBorders>
              <w:top w:val="single" w:sz="4" w:space="0" w:color="auto"/>
              <w:left w:val="nil"/>
              <w:bottom w:val="single" w:sz="4" w:space="0" w:color="auto"/>
              <w:right w:val="nil"/>
            </w:tcBorders>
          </w:tcPr>
          <w:p w:rsidR="00421A54" w:rsidRPr="0006604A" w:rsidRDefault="00024FF9" w:rsidP="00113D43">
            <w:pPr>
              <w:spacing w:line="240" w:lineRule="auto"/>
              <w:jc w:val="left"/>
              <w:rPr>
                <w:color w:val="333333"/>
                <w:sz w:val="20"/>
                <w:szCs w:val="20"/>
                <w:lang w:val="lt-LT" w:eastAsia="lt-LT"/>
              </w:rPr>
            </w:pPr>
            <w:r>
              <w:rPr>
                <w:color w:val="333333"/>
                <w:sz w:val="20"/>
                <w:szCs w:val="20"/>
                <w:lang w:val="lt-LT" w:eastAsia="lt-LT"/>
              </w:rPr>
              <w:t>pirma</w:t>
            </w:r>
          </w:p>
        </w:tc>
      </w:tr>
      <w:tr w:rsidR="00421A54" w:rsidRPr="0006604A" w:rsidTr="00421A54">
        <w:trPr>
          <w:trHeight w:val="300"/>
          <w:jc w:val="center"/>
        </w:trPr>
        <w:tc>
          <w:tcPr>
            <w:tcW w:w="1190"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UNTAG</w:t>
            </w:r>
          </w:p>
        </w:tc>
        <w:tc>
          <w:tcPr>
            <w:tcW w:w="4535"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 xml:space="preserve">Jungtinių Tautų pereinamojo laikotarpio pagalbos grupė Namibijoje </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1989-04</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1990-03</w:t>
            </w:r>
          </w:p>
        </w:tc>
        <w:tc>
          <w:tcPr>
            <w:tcW w:w="158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platesnio masto</w:t>
            </w:r>
          </w:p>
        </w:tc>
        <w:tc>
          <w:tcPr>
            <w:tcW w:w="794" w:type="dxa"/>
            <w:tcBorders>
              <w:top w:val="single" w:sz="4" w:space="0" w:color="auto"/>
              <w:left w:val="nil"/>
              <w:bottom w:val="single" w:sz="4" w:space="0" w:color="auto"/>
              <w:right w:val="nil"/>
            </w:tcBorders>
          </w:tcPr>
          <w:p w:rsidR="00421A54" w:rsidRPr="0006604A" w:rsidRDefault="00024FF9" w:rsidP="00113D43">
            <w:pPr>
              <w:spacing w:line="240" w:lineRule="auto"/>
              <w:jc w:val="left"/>
              <w:rPr>
                <w:color w:val="333333"/>
                <w:sz w:val="20"/>
                <w:szCs w:val="20"/>
                <w:lang w:val="lt-LT" w:eastAsia="lt-LT"/>
              </w:rPr>
            </w:pPr>
            <w:r>
              <w:rPr>
                <w:color w:val="333333"/>
                <w:sz w:val="20"/>
                <w:szCs w:val="20"/>
                <w:lang w:val="lt-LT" w:eastAsia="lt-LT"/>
              </w:rPr>
              <w:t>antra</w:t>
            </w:r>
          </w:p>
        </w:tc>
      </w:tr>
      <w:tr w:rsidR="00421A54" w:rsidRPr="0006604A" w:rsidTr="00421A54">
        <w:trPr>
          <w:trHeight w:val="300"/>
          <w:jc w:val="center"/>
        </w:trPr>
        <w:tc>
          <w:tcPr>
            <w:tcW w:w="1190"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UNIIMOG</w:t>
            </w:r>
          </w:p>
        </w:tc>
        <w:tc>
          <w:tcPr>
            <w:tcW w:w="4535"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Jungtinių Tautų Irano-Irako karinė stebėjimo misija</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1988-08</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1991-02</w:t>
            </w:r>
          </w:p>
        </w:tc>
        <w:tc>
          <w:tcPr>
            <w:tcW w:w="158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tradicinė</w:t>
            </w:r>
          </w:p>
        </w:tc>
        <w:tc>
          <w:tcPr>
            <w:tcW w:w="794" w:type="dxa"/>
            <w:tcBorders>
              <w:top w:val="single" w:sz="4" w:space="0" w:color="auto"/>
              <w:left w:val="nil"/>
              <w:bottom w:val="single" w:sz="4" w:space="0" w:color="auto"/>
              <w:right w:val="nil"/>
            </w:tcBorders>
          </w:tcPr>
          <w:p w:rsidR="00421A54" w:rsidRPr="0006604A" w:rsidRDefault="00024FF9" w:rsidP="00113D43">
            <w:pPr>
              <w:spacing w:line="240" w:lineRule="auto"/>
              <w:jc w:val="left"/>
              <w:rPr>
                <w:color w:val="333333"/>
                <w:sz w:val="20"/>
                <w:szCs w:val="20"/>
                <w:lang w:val="lt-LT" w:eastAsia="lt-LT"/>
              </w:rPr>
            </w:pPr>
            <w:r>
              <w:rPr>
                <w:color w:val="333333"/>
                <w:sz w:val="20"/>
                <w:szCs w:val="20"/>
                <w:lang w:val="lt-LT" w:eastAsia="lt-LT"/>
              </w:rPr>
              <w:t>pirma</w:t>
            </w:r>
          </w:p>
        </w:tc>
      </w:tr>
      <w:tr w:rsidR="00421A54" w:rsidRPr="0006604A" w:rsidTr="00421A54">
        <w:trPr>
          <w:trHeight w:val="300"/>
          <w:jc w:val="center"/>
        </w:trPr>
        <w:tc>
          <w:tcPr>
            <w:tcW w:w="1190"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UNAVEM I</w:t>
            </w:r>
          </w:p>
        </w:tc>
        <w:tc>
          <w:tcPr>
            <w:tcW w:w="4535"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Jungtinių Tautų  misija Angoloje I</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1989-01</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1991-06</w:t>
            </w:r>
          </w:p>
        </w:tc>
        <w:tc>
          <w:tcPr>
            <w:tcW w:w="158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tradicinė</w:t>
            </w:r>
          </w:p>
        </w:tc>
        <w:tc>
          <w:tcPr>
            <w:tcW w:w="794" w:type="dxa"/>
            <w:tcBorders>
              <w:top w:val="single" w:sz="4" w:space="0" w:color="auto"/>
              <w:left w:val="nil"/>
              <w:bottom w:val="single" w:sz="4" w:space="0" w:color="auto"/>
              <w:right w:val="nil"/>
            </w:tcBorders>
          </w:tcPr>
          <w:p w:rsidR="00421A54" w:rsidRPr="0006604A" w:rsidRDefault="00024FF9" w:rsidP="00113D43">
            <w:pPr>
              <w:spacing w:line="240" w:lineRule="auto"/>
              <w:jc w:val="left"/>
              <w:rPr>
                <w:color w:val="333333"/>
                <w:sz w:val="20"/>
                <w:szCs w:val="20"/>
                <w:lang w:val="lt-LT" w:eastAsia="lt-LT"/>
              </w:rPr>
            </w:pPr>
            <w:r>
              <w:rPr>
                <w:color w:val="333333"/>
                <w:sz w:val="20"/>
                <w:szCs w:val="20"/>
                <w:lang w:val="lt-LT" w:eastAsia="lt-LT"/>
              </w:rPr>
              <w:t>pirma</w:t>
            </w:r>
          </w:p>
        </w:tc>
      </w:tr>
      <w:tr w:rsidR="00421A54" w:rsidRPr="0006604A" w:rsidTr="00421A54">
        <w:trPr>
          <w:trHeight w:val="300"/>
          <w:jc w:val="center"/>
        </w:trPr>
        <w:tc>
          <w:tcPr>
            <w:tcW w:w="1190"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ONUCA</w:t>
            </w:r>
          </w:p>
        </w:tc>
        <w:tc>
          <w:tcPr>
            <w:tcW w:w="4535"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Jungtinių Tautų stebėjimo grupė Centrinėje Amerikoje</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1989-11</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1992-01</w:t>
            </w:r>
          </w:p>
        </w:tc>
        <w:tc>
          <w:tcPr>
            <w:tcW w:w="158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tradicinė</w:t>
            </w:r>
          </w:p>
        </w:tc>
        <w:tc>
          <w:tcPr>
            <w:tcW w:w="794" w:type="dxa"/>
            <w:tcBorders>
              <w:top w:val="single" w:sz="4" w:space="0" w:color="auto"/>
              <w:left w:val="nil"/>
              <w:bottom w:val="single" w:sz="4" w:space="0" w:color="auto"/>
              <w:right w:val="nil"/>
            </w:tcBorders>
          </w:tcPr>
          <w:p w:rsidR="00421A54" w:rsidRPr="0006604A" w:rsidRDefault="00024FF9" w:rsidP="00113D43">
            <w:pPr>
              <w:spacing w:line="240" w:lineRule="auto"/>
              <w:jc w:val="left"/>
              <w:rPr>
                <w:color w:val="333333"/>
                <w:sz w:val="20"/>
                <w:szCs w:val="20"/>
                <w:lang w:val="lt-LT" w:eastAsia="lt-LT"/>
              </w:rPr>
            </w:pPr>
            <w:r>
              <w:rPr>
                <w:color w:val="333333"/>
                <w:sz w:val="20"/>
                <w:szCs w:val="20"/>
                <w:lang w:val="lt-LT" w:eastAsia="lt-LT"/>
              </w:rPr>
              <w:t>pirma</w:t>
            </w:r>
          </w:p>
        </w:tc>
      </w:tr>
      <w:tr w:rsidR="00421A54" w:rsidRPr="0006604A" w:rsidTr="00421A54">
        <w:trPr>
          <w:trHeight w:val="300"/>
          <w:jc w:val="center"/>
        </w:trPr>
        <w:tc>
          <w:tcPr>
            <w:tcW w:w="1190"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UNAMIC</w:t>
            </w:r>
          </w:p>
        </w:tc>
        <w:tc>
          <w:tcPr>
            <w:tcW w:w="4535"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Jungtinių Tautų misija Kambodžoje</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1991-10</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1992-03</w:t>
            </w:r>
          </w:p>
        </w:tc>
        <w:tc>
          <w:tcPr>
            <w:tcW w:w="158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platesnio masto</w:t>
            </w:r>
          </w:p>
        </w:tc>
        <w:tc>
          <w:tcPr>
            <w:tcW w:w="794" w:type="dxa"/>
            <w:tcBorders>
              <w:top w:val="single" w:sz="4" w:space="0" w:color="auto"/>
              <w:left w:val="nil"/>
              <w:bottom w:val="single" w:sz="4" w:space="0" w:color="auto"/>
              <w:right w:val="nil"/>
            </w:tcBorders>
          </w:tcPr>
          <w:p w:rsidR="00421A54" w:rsidRPr="0006604A" w:rsidRDefault="00024FF9" w:rsidP="00113D43">
            <w:pPr>
              <w:spacing w:line="240" w:lineRule="auto"/>
              <w:jc w:val="left"/>
              <w:rPr>
                <w:color w:val="333333"/>
                <w:sz w:val="20"/>
                <w:szCs w:val="20"/>
                <w:lang w:val="lt-LT" w:eastAsia="lt-LT"/>
              </w:rPr>
            </w:pPr>
            <w:r>
              <w:rPr>
                <w:color w:val="333333"/>
                <w:sz w:val="20"/>
                <w:szCs w:val="20"/>
                <w:lang w:val="lt-LT" w:eastAsia="lt-LT"/>
              </w:rPr>
              <w:t>antra</w:t>
            </w:r>
          </w:p>
        </w:tc>
      </w:tr>
      <w:tr w:rsidR="00421A54" w:rsidRPr="0006604A" w:rsidTr="00421A54">
        <w:trPr>
          <w:trHeight w:val="300"/>
          <w:jc w:val="center"/>
        </w:trPr>
        <w:tc>
          <w:tcPr>
            <w:tcW w:w="1190"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UNOSOM I</w:t>
            </w:r>
          </w:p>
        </w:tc>
        <w:tc>
          <w:tcPr>
            <w:tcW w:w="4535"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Jungtinių Tautų operacija Somalyje  I</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1992-04</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1993-03</w:t>
            </w:r>
          </w:p>
        </w:tc>
        <w:tc>
          <w:tcPr>
            <w:tcW w:w="158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platesnio masto</w:t>
            </w:r>
          </w:p>
        </w:tc>
        <w:tc>
          <w:tcPr>
            <w:tcW w:w="794" w:type="dxa"/>
            <w:tcBorders>
              <w:top w:val="single" w:sz="4" w:space="0" w:color="auto"/>
              <w:left w:val="nil"/>
              <w:bottom w:val="single" w:sz="4" w:space="0" w:color="auto"/>
              <w:right w:val="nil"/>
            </w:tcBorders>
          </w:tcPr>
          <w:p w:rsidR="00421A54" w:rsidRPr="0006604A" w:rsidRDefault="00024FF9" w:rsidP="00113D43">
            <w:pPr>
              <w:spacing w:line="240" w:lineRule="auto"/>
              <w:jc w:val="left"/>
              <w:rPr>
                <w:color w:val="333333"/>
                <w:sz w:val="20"/>
                <w:szCs w:val="20"/>
                <w:lang w:val="lt-LT" w:eastAsia="lt-LT"/>
              </w:rPr>
            </w:pPr>
            <w:r>
              <w:rPr>
                <w:color w:val="333333"/>
                <w:sz w:val="20"/>
                <w:szCs w:val="20"/>
                <w:lang w:val="lt-LT" w:eastAsia="lt-LT"/>
              </w:rPr>
              <w:t>antra</w:t>
            </w:r>
          </w:p>
        </w:tc>
      </w:tr>
      <w:tr w:rsidR="00421A54" w:rsidRPr="0006604A" w:rsidTr="00421A54">
        <w:trPr>
          <w:trHeight w:val="300"/>
          <w:jc w:val="center"/>
        </w:trPr>
        <w:tc>
          <w:tcPr>
            <w:tcW w:w="1190"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UNTAC</w:t>
            </w:r>
          </w:p>
        </w:tc>
        <w:tc>
          <w:tcPr>
            <w:tcW w:w="4535"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 xml:space="preserve">Jungtinių Tautų misija </w:t>
            </w:r>
            <w:r w:rsidR="00152A42" w:rsidRPr="0006604A">
              <w:rPr>
                <w:color w:val="333333"/>
                <w:sz w:val="20"/>
                <w:szCs w:val="20"/>
                <w:lang w:val="lt-LT" w:eastAsia="lt-LT"/>
              </w:rPr>
              <w:t>Kambodžoje</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1992-03</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1993-09</w:t>
            </w:r>
          </w:p>
        </w:tc>
        <w:tc>
          <w:tcPr>
            <w:tcW w:w="158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platesnio masto</w:t>
            </w:r>
          </w:p>
        </w:tc>
        <w:tc>
          <w:tcPr>
            <w:tcW w:w="794" w:type="dxa"/>
            <w:tcBorders>
              <w:top w:val="single" w:sz="4" w:space="0" w:color="auto"/>
              <w:left w:val="nil"/>
              <w:bottom w:val="single" w:sz="4" w:space="0" w:color="auto"/>
              <w:right w:val="nil"/>
            </w:tcBorders>
          </w:tcPr>
          <w:p w:rsidR="00421A54" w:rsidRPr="0006604A" w:rsidRDefault="00024FF9" w:rsidP="00113D43">
            <w:pPr>
              <w:spacing w:line="240" w:lineRule="auto"/>
              <w:jc w:val="left"/>
              <w:rPr>
                <w:color w:val="333333"/>
                <w:sz w:val="20"/>
                <w:szCs w:val="20"/>
                <w:lang w:val="lt-LT" w:eastAsia="lt-LT"/>
              </w:rPr>
            </w:pPr>
            <w:r>
              <w:rPr>
                <w:color w:val="333333"/>
                <w:sz w:val="20"/>
                <w:szCs w:val="20"/>
                <w:lang w:val="lt-LT" w:eastAsia="lt-LT"/>
              </w:rPr>
              <w:t>antra</w:t>
            </w:r>
          </w:p>
        </w:tc>
      </w:tr>
      <w:tr w:rsidR="00421A54" w:rsidRPr="0006604A" w:rsidTr="00421A54">
        <w:trPr>
          <w:trHeight w:val="300"/>
          <w:jc w:val="center"/>
        </w:trPr>
        <w:tc>
          <w:tcPr>
            <w:tcW w:w="1190"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UNASOG</w:t>
            </w:r>
          </w:p>
        </w:tc>
        <w:tc>
          <w:tcPr>
            <w:tcW w:w="4535"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 xml:space="preserve">Jungtinių Tautų stebėjimo grupė Aouzou  ruože (Čado Respublika) </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1994-05</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1994-06</w:t>
            </w:r>
          </w:p>
        </w:tc>
        <w:tc>
          <w:tcPr>
            <w:tcW w:w="158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tradicinė</w:t>
            </w:r>
          </w:p>
        </w:tc>
        <w:tc>
          <w:tcPr>
            <w:tcW w:w="794" w:type="dxa"/>
            <w:tcBorders>
              <w:top w:val="single" w:sz="4" w:space="0" w:color="auto"/>
              <w:left w:val="nil"/>
              <w:bottom w:val="single" w:sz="4" w:space="0" w:color="auto"/>
              <w:right w:val="nil"/>
            </w:tcBorders>
          </w:tcPr>
          <w:p w:rsidR="00421A54" w:rsidRPr="0006604A" w:rsidRDefault="00024FF9" w:rsidP="00113D43">
            <w:pPr>
              <w:spacing w:line="240" w:lineRule="auto"/>
              <w:jc w:val="left"/>
              <w:rPr>
                <w:color w:val="333333"/>
                <w:sz w:val="20"/>
                <w:szCs w:val="20"/>
                <w:lang w:val="lt-LT" w:eastAsia="lt-LT"/>
              </w:rPr>
            </w:pPr>
            <w:r>
              <w:rPr>
                <w:color w:val="333333"/>
                <w:sz w:val="20"/>
                <w:szCs w:val="20"/>
                <w:lang w:val="lt-LT" w:eastAsia="lt-LT"/>
              </w:rPr>
              <w:t>pirma</w:t>
            </w:r>
          </w:p>
        </w:tc>
      </w:tr>
      <w:tr w:rsidR="00421A54" w:rsidRPr="0006604A" w:rsidTr="00421A54">
        <w:trPr>
          <w:trHeight w:val="300"/>
          <w:jc w:val="center"/>
        </w:trPr>
        <w:tc>
          <w:tcPr>
            <w:tcW w:w="1190"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UNOMUR</w:t>
            </w:r>
          </w:p>
        </w:tc>
        <w:tc>
          <w:tcPr>
            <w:tcW w:w="4535"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Jungtinių Tautų stebėjimo misija Uganda-Ruanda</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1993-06</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1994-09</w:t>
            </w:r>
          </w:p>
        </w:tc>
        <w:tc>
          <w:tcPr>
            <w:tcW w:w="158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tradicinė</w:t>
            </w:r>
          </w:p>
        </w:tc>
        <w:tc>
          <w:tcPr>
            <w:tcW w:w="794" w:type="dxa"/>
            <w:tcBorders>
              <w:top w:val="single" w:sz="4" w:space="0" w:color="auto"/>
              <w:left w:val="nil"/>
              <w:bottom w:val="single" w:sz="4" w:space="0" w:color="auto"/>
              <w:right w:val="nil"/>
            </w:tcBorders>
          </w:tcPr>
          <w:p w:rsidR="00421A54" w:rsidRPr="0006604A" w:rsidRDefault="00024FF9" w:rsidP="00113D43">
            <w:pPr>
              <w:spacing w:line="240" w:lineRule="auto"/>
              <w:jc w:val="left"/>
              <w:rPr>
                <w:color w:val="333333"/>
                <w:sz w:val="20"/>
                <w:szCs w:val="20"/>
                <w:lang w:val="lt-LT" w:eastAsia="lt-LT"/>
              </w:rPr>
            </w:pPr>
            <w:r>
              <w:rPr>
                <w:color w:val="333333"/>
                <w:sz w:val="20"/>
                <w:szCs w:val="20"/>
                <w:lang w:val="lt-LT" w:eastAsia="lt-LT"/>
              </w:rPr>
              <w:t>pirma</w:t>
            </w:r>
          </w:p>
        </w:tc>
      </w:tr>
      <w:tr w:rsidR="00421A54" w:rsidRPr="0006604A" w:rsidTr="00421A54">
        <w:trPr>
          <w:trHeight w:val="300"/>
          <w:jc w:val="center"/>
        </w:trPr>
        <w:tc>
          <w:tcPr>
            <w:tcW w:w="1190"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ONUMOZ</w:t>
            </w:r>
          </w:p>
        </w:tc>
        <w:tc>
          <w:tcPr>
            <w:tcW w:w="4535"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 xml:space="preserve">Jungtinių Tautų operacija Mozambike </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1992-12</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1994-12</w:t>
            </w:r>
          </w:p>
        </w:tc>
        <w:tc>
          <w:tcPr>
            <w:tcW w:w="158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platesnio masto</w:t>
            </w:r>
          </w:p>
        </w:tc>
        <w:tc>
          <w:tcPr>
            <w:tcW w:w="794" w:type="dxa"/>
            <w:tcBorders>
              <w:top w:val="single" w:sz="4" w:space="0" w:color="auto"/>
              <w:left w:val="nil"/>
              <w:bottom w:val="single" w:sz="4" w:space="0" w:color="auto"/>
              <w:right w:val="nil"/>
            </w:tcBorders>
          </w:tcPr>
          <w:p w:rsidR="00421A54" w:rsidRPr="0006604A" w:rsidRDefault="00024FF9" w:rsidP="00113D43">
            <w:pPr>
              <w:spacing w:line="240" w:lineRule="auto"/>
              <w:jc w:val="left"/>
              <w:rPr>
                <w:color w:val="333333"/>
                <w:sz w:val="20"/>
                <w:szCs w:val="20"/>
                <w:lang w:val="lt-LT" w:eastAsia="lt-LT"/>
              </w:rPr>
            </w:pPr>
            <w:r>
              <w:rPr>
                <w:color w:val="333333"/>
                <w:sz w:val="20"/>
                <w:szCs w:val="20"/>
                <w:lang w:val="lt-LT" w:eastAsia="lt-LT"/>
              </w:rPr>
              <w:t>antra</w:t>
            </w:r>
          </w:p>
        </w:tc>
      </w:tr>
      <w:tr w:rsidR="00421A54" w:rsidRPr="0006604A" w:rsidTr="00421A54">
        <w:trPr>
          <w:trHeight w:val="300"/>
          <w:jc w:val="center"/>
        </w:trPr>
        <w:tc>
          <w:tcPr>
            <w:tcW w:w="1190"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UNAVEM II</w:t>
            </w:r>
          </w:p>
        </w:tc>
        <w:tc>
          <w:tcPr>
            <w:tcW w:w="4535"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Jungtinių Tautų misija Angoloje II</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1991-06</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1995-02</w:t>
            </w:r>
          </w:p>
        </w:tc>
        <w:tc>
          <w:tcPr>
            <w:tcW w:w="158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platesnio masto</w:t>
            </w:r>
          </w:p>
        </w:tc>
        <w:tc>
          <w:tcPr>
            <w:tcW w:w="794" w:type="dxa"/>
            <w:tcBorders>
              <w:top w:val="single" w:sz="4" w:space="0" w:color="auto"/>
              <w:left w:val="nil"/>
              <w:bottom w:val="single" w:sz="4" w:space="0" w:color="auto"/>
              <w:right w:val="nil"/>
            </w:tcBorders>
          </w:tcPr>
          <w:p w:rsidR="00421A54" w:rsidRPr="0006604A" w:rsidRDefault="00024FF9" w:rsidP="00113D43">
            <w:pPr>
              <w:spacing w:line="240" w:lineRule="auto"/>
              <w:jc w:val="left"/>
              <w:rPr>
                <w:color w:val="333333"/>
                <w:sz w:val="20"/>
                <w:szCs w:val="20"/>
                <w:lang w:val="lt-LT" w:eastAsia="lt-LT"/>
              </w:rPr>
            </w:pPr>
            <w:r>
              <w:rPr>
                <w:color w:val="333333"/>
                <w:sz w:val="20"/>
                <w:szCs w:val="20"/>
                <w:lang w:val="lt-LT" w:eastAsia="lt-LT"/>
              </w:rPr>
              <w:t>antra</w:t>
            </w:r>
          </w:p>
        </w:tc>
      </w:tr>
      <w:tr w:rsidR="00421A54" w:rsidRPr="0006604A" w:rsidTr="00421A54">
        <w:trPr>
          <w:trHeight w:val="300"/>
          <w:jc w:val="center"/>
        </w:trPr>
        <w:tc>
          <w:tcPr>
            <w:tcW w:w="1190"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UNPROFOR</w:t>
            </w:r>
          </w:p>
        </w:tc>
        <w:tc>
          <w:tcPr>
            <w:tcW w:w="4535"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Jungtinių Tautų pagalbos pajėgos buvusioje Jugoslavijoje</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1992-02</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1995-03</w:t>
            </w:r>
          </w:p>
        </w:tc>
        <w:tc>
          <w:tcPr>
            <w:tcW w:w="158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platesnio masto</w:t>
            </w:r>
          </w:p>
        </w:tc>
        <w:tc>
          <w:tcPr>
            <w:tcW w:w="794" w:type="dxa"/>
            <w:tcBorders>
              <w:top w:val="single" w:sz="4" w:space="0" w:color="auto"/>
              <w:left w:val="nil"/>
              <w:bottom w:val="single" w:sz="4" w:space="0" w:color="auto"/>
              <w:right w:val="nil"/>
            </w:tcBorders>
          </w:tcPr>
          <w:p w:rsidR="00421A54" w:rsidRPr="0006604A" w:rsidRDefault="00024FF9" w:rsidP="00113D43">
            <w:pPr>
              <w:spacing w:line="240" w:lineRule="auto"/>
              <w:jc w:val="left"/>
              <w:rPr>
                <w:color w:val="333333"/>
                <w:sz w:val="20"/>
                <w:szCs w:val="20"/>
                <w:lang w:val="lt-LT" w:eastAsia="lt-LT"/>
              </w:rPr>
            </w:pPr>
            <w:r>
              <w:rPr>
                <w:color w:val="333333"/>
                <w:sz w:val="20"/>
                <w:szCs w:val="20"/>
                <w:lang w:val="lt-LT" w:eastAsia="lt-LT"/>
              </w:rPr>
              <w:t>antra</w:t>
            </w:r>
          </w:p>
        </w:tc>
      </w:tr>
      <w:tr w:rsidR="00421A54" w:rsidRPr="0006604A" w:rsidTr="00421A54">
        <w:trPr>
          <w:trHeight w:val="300"/>
          <w:jc w:val="center"/>
        </w:trPr>
        <w:tc>
          <w:tcPr>
            <w:tcW w:w="1190"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UNOSOM II</w:t>
            </w:r>
          </w:p>
        </w:tc>
        <w:tc>
          <w:tcPr>
            <w:tcW w:w="4535"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 xml:space="preserve"> Jungtinių Tautų operacija Somalyje  II</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1993-03</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1995-03</w:t>
            </w:r>
          </w:p>
        </w:tc>
        <w:tc>
          <w:tcPr>
            <w:tcW w:w="158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priverstinis vykdymas</w:t>
            </w:r>
          </w:p>
        </w:tc>
        <w:tc>
          <w:tcPr>
            <w:tcW w:w="794" w:type="dxa"/>
            <w:tcBorders>
              <w:top w:val="single" w:sz="4" w:space="0" w:color="auto"/>
              <w:left w:val="nil"/>
              <w:bottom w:val="single" w:sz="4" w:space="0" w:color="auto"/>
              <w:right w:val="nil"/>
            </w:tcBorders>
          </w:tcPr>
          <w:p w:rsidR="00421A54" w:rsidRPr="0006604A" w:rsidRDefault="00024FF9" w:rsidP="00113D43">
            <w:pPr>
              <w:spacing w:line="240" w:lineRule="auto"/>
              <w:jc w:val="left"/>
              <w:rPr>
                <w:color w:val="333333"/>
                <w:sz w:val="20"/>
                <w:szCs w:val="20"/>
                <w:lang w:val="lt-LT" w:eastAsia="lt-LT"/>
              </w:rPr>
            </w:pPr>
            <w:r>
              <w:rPr>
                <w:color w:val="333333"/>
                <w:sz w:val="20"/>
                <w:szCs w:val="20"/>
                <w:lang w:val="lt-LT" w:eastAsia="lt-LT"/>
              </w:rPr>
              <w:t>treči</w:t>
            </w:r>
            <w:r w:rsidR="00621B99">
              <w:rPr>
                <w:color w:val="333333"/>
                <w:sz w:val="20"/>
                <w:szCs w:val="20"/>
                <w:lang w:val="lt-LT" w:eastAsia="lt-LT"/>
              </w:rPr>
              <w:t>a</w:t>
            </w:r>
          </w:p>
        </w:tc>
      </w:tr>
      <w:tr w:rsidR="00421A54" w:rsidRPr="0006604A" w:rsidTr="00421A54">
        <w:trPr>
          <w:trHeight w:val="300"/>
          <w:jc w:val="center"/>
        </w:trPr>
        <w:tc>
          <w:tcPr>
            <w:tcW w:w="1190"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ONUSAL</w:t>
            </w:r>
          </w:p>
        </w:tc>
        <w:tc>
          <w:tcPr>
            <w:tcW w:w="4535"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Jungtinių Tautų stebėjimo misija Salvadore</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1991-07</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1995-04</w:t>
            </w:r>
          </w:p>
        </w:tc>
        <w:tc>
          <w:tcPr>
            <w:tcW w:w="158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platesnio masto</w:t>
            </w:r>
          </w:p>
        </w:tc>
        <w:tc>
          <w:tcPr>
            <w:tcW w:w="794" w:type="dxa"/>
            <w:tcBorders>
              <w:top w:val="single" w:sz="4" w:space="0" w:color="auto"/>
              <w:left w:val="nil"/>
              <w:bottom w:val="single" w:sz="4" w:space="0" w:color="auto"/>
              <w:right w:val="nil"/>
            </w:tcBorders>
          </w:tcPr>
          <w:p w:rsidR="00421A54" w:rsidRPr="0006604A" w:rsidRDefault="00024FF9" w:rsidP="00113D43">
            <w:pPr>
              <w:spacing w:line="240" w:lineRule="auto"/>
              <w:jc w:val="left"/>
              <w:rPr>
                <w:color w:val="333333"/>
                <w:sz w:val="20"/>
                <w:szCs w:val="20"/>
                <w:lang w:val="lt-LT" w:eastAsia="lt-LT"/>
              </w:rPr>
            </w:pPr>
            <w:r>
              <w:rPr>
                <w:color w:val="333333"/>
                <w:sz w:val="20"/>
                <w:szCs w:val="20"/>
                <w:lang w:val="lt-LT" w:eastAsia="lt-LT"/>
              </w:rPr>
              <w:t>antra</w:t>
            </w:r>
          </w:p>
        </w:tc>
      </w:tr>
      <w:tr w:rsidR="00421A54" w:rsidRPr="0006604A" w:rsidTr="00421A54">
        <w:trPr>
          <w:trHeight w:val="300"/>
          <w:jc w:val="center"/>
        </w:trPr>
        <w:tc>
          <w:tcPr>
            <w:tcW w:w="1190"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UNCRO</w:t>
            </w:r>
          </w:p>
        </w:tc>
        <w:tc>
          <w:tcPr>
            <w:tcW w:w="4535"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 xml:space="preserve">Jungtinių Tautų pasitikėjimo atstatymo misija Kroatijoje </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1995-05</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1996-01</w:t>
            </w:r>
          </w:p>
        </w:tc>
        <w:tc>
          <w:tcPr>
            <w:tcW w:w="158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platesnio masto</w:t>
            </w:r>
          </w:p>
        </w:tc>
        <w:tc>
          <w:tcPr>
            <w:tcW w:w="794" w:type="dxa"/>
            <w:tcBorders>
              <w:top w:val="single" w:sz="4" w:space="0" w:color="auto"/>
              <w:left w:val="nil"/>
              <w:bottom w:val="single" w:sz="4" w:space="0" w:color="auto"/>
              <w:right w:val="nil"/>
            </w:tcBorders>
          </w:tcPr>
          <w:p w:rsidR="00421A54" w:rsidRPr="0006604A" w:rsidRDefault="00024FF9" w:rsidP="00113D43">
            <w:pPr>
              <w:spacing w:line="240" w:lineRule="auto"/>
              <w:jc w:val="left"/>
              <w:rPr>
                <w:color w:val="333333"/>
                <w:sz w:val="20"/>
                <w:szCs w:val="20"/>
                <w:lang w:val="lt-LT" w:eastAsia="lt-LT"/>
              </w:rPr>
            </w:pPr>
            <w:r>
              <w:rPr>
                <w:color w:val="333333"/>
                <w:sz w:val="20"/>
                <w:szCs w:val="20"/>
                <w:lang w:val="lt-LT" w:eastAsia="lt-LT"/>
              </w:rPr>
              <w:t>antra</w:t>
            </w:r>
          </w:p>
        </w:tc>
      </w:tr>
      <w:tr w:rsidR="00421A54" w:rsidRPr="0006604A" w:rsidTr="00421A54">
        <w:trPr>
          <w:trHeight w:val="300"/>
          <w:jc w:val="center"/>
        </w:trPr>
        <w:tc>
          <w:tcPr>
            <w:tcW w:w="1190"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UNAMIR</w:t>
            </w:r>
          </w:p>
        </w:tc>
        <w:tc>
          <w:tcPr>
            <w:tcW w:w="4535"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Jungtinių Tautų pagalbos misija Ruandai</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1993-10</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1996-03</w:t>
            </w:r>
          </w:p>
        </w:tc>
        <w:tc>
          <w:tcPr>
            <w:tcW w:w="158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platesnio masto</w:t>
            </w:r>
          </w:p>
        </w:tc>
        <w:tc>
          <w:tcPr>
            <w:tcW w:w="794" w:type="dxa"/>
            <w:tcBorders>
              <w:top w:val="single" w:sz="4" w:space="0" w:color="auto"/>
              <w:left w:val="nil"/>
              <w:bottom w:val="single" w:sz="4" w:space="0" w:color="auto"/>
              <w:right w:val="nil"/>
            </w:tcBorders>
          </w:tcPr>
          <w:p w:rsidR="00421A54" w:rsidRPr="0006604A" w:rsidRDefault="00024FF9" w:rsidP="00113D43">
            <w:pPr>
              <w:spacing w:line="240" w:lineRule="auto"/>
              <w:jc w:val="left"/>
              <w:rPr>
                <w:color w:val="333333"/>
                <w:sz w:val="20"/>
                <w:szCs w:val="20"/>
                <w:lang w:val="lt-LT" w:eastAsia="lt-LT"/>
              </w:rPr>
            </w:pPr>
            <w:r>
              <w:rPr>
                <w:color w:val="333333"/>
                <w:sz w:val="20"/>
                <w:szCs w:val="20"/>
                <w:lang w:val="lt-LT" w:eastAsia="lt-LT"/>
              </w:rPr>
              <w:t>antra</w:t>
            </w:r>
          </w:p>
        </w:tc>
      </w:tr>
      <w:tr w:rsidR="00421A54" w:rsidRPr="0006604A" w:rsidTr="00421A54">
        <w:trPr>
          <w:trHeight w:val="300"/>
          <w:jc w:val="center"/>
        </w:trPr>
        <w:tc>
          <w:tcPr>
            <w:tcW w:w="1190"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UNMIH</w:t>
            </w:r>
          </w:p>
        </w:tc>
        <w:tc>
          <w:tcPr>
            <w:tcW w:w="4535"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Jungtinių Tautų misija Haityje</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1993-09</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1996-06</w:t>
            </w:r>
          </w:p>
        </w:tc>
        <w:tc>
          <w:tcPr>
            <w:tcW w:w="158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platesnio masto</w:t>
            </w:r>
          </w:p>
        </w:tc>
        <w:tc>
          <w:tcPr>
            <w:tcW w:w="794" w:type="dxa"/>
            <w:tcBorders>
              <w:top w:val="single" w:sz="4" w:space="0" w:color="auto"/>
              <w:left w:val="nil"/>
              <w:bottom w:val="single" w:sz="4" w:space="0" w:color="auto"/>
              <w:right w:val="nil"/>
            </w:tcBorders>
          </w:tcPr>
          <w:p w:rsidR="00421A54" w:rsidRPr="0006604A" w:rsidRDefault="00024FF9" w:rsidP="00113D43">
            <w:pPr>
              <w:spacing w:line="240" w:lineRule="auto"/>
              <w:jc w:val="left"/>
              <w:rPr>
                <w:color w:val="333333"/>
                <w:sz w:val="20"/>
                <w:szCs w:val="20"/>
                <w:lang w:val="lt-LT" w:eastAsia="lt-LT"/>
              </w:rPr>
            </w:pPr>
            <w:r>
              <w:rPr>
                <w:color w:val="333333"/>
                <w:sz w:val="20"/>
                <w:szCs w:val="20"/>
                <w:lang w:val="lt-LT" w:eastAsia="lt-LT"/>
              </w:rPr>
              <w:t>antra</w:t>
            </w:r>
          </w:p>
        </w:tc>
      </w:tr>
      <w:tr w:rsidR="00421A54" w:rsidRPr="0006604A" w:rsidTr="00421A54">
        <w:trPr>
          <w:trHeight w:val="300"/>
          <w:jc w:val="center"/>
        </w:trPr>
        <w:tc>
          <w:tcPr>
            <w:tcW w:w="1190"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MINUGUA</w:t>
            </w:r>
          </w:p>
        </w:tc>
        <w:tc>
          <w:tcPr>
            <w:tcW w:w="4535"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Jungtinių Tautų misija Gvatemaloje</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1997-01</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1997-05</w:t>
            </w:r>
          </w:p>
        </w:tc>
        <w:tc>
          <w:tcPr>
            <w:tcW w:w="158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platesnio masto</w:t>
            </w:r>
          </w:p>
        </w:tc>
        <w:tc>
          <w:tcPr>
            <w:tcW w:w="794" w:type="dxa"/>
            <w:tcBorders>
              <w:top w:val="single" w:sz="4" w:space="0" w:color="auto"/>
              <w:left w:val="nil"/>
              <w:bottom w:val="single" w:sz="4" w:space="0" w:color="auto"/>
              <w:right w:val="nil"/>
            </w:tcBorders>
          </w:tcPr>
          <w:p w:rsidR="00421A54" w:rsidRPr="0006604A" w:rsidRDefault="00024FF9" w:rsidP="00113D43">
            <w:pPr>
              <w:spacing w:line="240" w:lineRule="auto"/>
              <w:jc w:val="left"/>
              <w:rPr>
                <w:color w:val="333333"/>
                <w:sz w:val="20"/>
                <w:szCs w:val="20"/>
                <w:lang w:val="lt-LT" w:eastAsia="lt-LT"/>
              </w:rPr>
            </w:pPr>
            <w:r>
              <w:rPr>
                <w:color w:val="333333"/>
                <w:sz w:val="20"/>
                <w:szCs w:val="20"/>
                <w:lang w:val="lt-LT" w:eastAsia="lt-LT"/>
              </w:rPr>
              <w:t>antra</w:t>
            </w:r>
          </w:p>
        </w:tc>
      </w:tr>
      <w:tr w:rsidR="00421A54" w:rsidRPr="0006604A" w:rsidTr="00421A54">
        <w:trPr>
          <w:trHeight w:val="300"/>
          <w:jc w:val="center"/>
        </w:trPr>
        <w:tc>
          <w:tcPr>
            <w:tcW w:w="1190"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lastRenderedPageBreak/>
              <w:t>UNAVEM III</w:t>
            </w:r>
          </w:p>
        </w:tc>
        <w:tc>
          <w:tcPr>
            <w:tcW w:w="4535"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Jungtinių Tautų misija Angoloje  III</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1995-02</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1997-06</w:t>
            </w:r>
          </w:p>
        </w:tc>
        <w:tc>
          <w:tcPr>
            <w:tcW w:w="158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platesnio masto</w:t>
            </w:r>
          </w:p>
        </w:tc>
        <w:tc>
          <w:tcPr>
            <w:tcW w:w="794" w:type="dxa"/>
            <w:tcBorders>
              <w:top w:val="single" w:sz="4" w:space="0" w:color="auto"/>
              <w:left w:val="nil"/>
              <w:bottom w:val="single" w:sz="4" w:space="0" w:color="auto"/>
              <w:right w:val="nil"/>
            </w:tcBorders>
          </w:tcPr>
          <w:p w:rsidR="00421A54" w:rsidRPr="0006604A" w:rsidRDefault="00024FF9" w:rsidP="00113D43">
            <w:pPr>
              <w:spacing w:line="240" w:lineRule="auto"/>
              <w:jc w:val="left"/>
              <w:rPr>
                <w:color w:val="333333"/>
                <w:sz w:val="20"/>
                <w:szCs w:val="20"/>
                <w:lang w:val="lt-LT" w:eastAsia="lt-LT"/>
              </w:rPr>
            </w:pPr>
            <w:r>
              <w:rPr>
                <w:color w:val="333333"/>
                <w:sz w:val="20"/>
                <w:szCs w:val="20"/>
                <w:lang w:val="lt-LT" w:eastAsia="lt-LT"/>
              </w:rPr>
              <w:t>antra</w:t>
            </w:r>
          </w:p>
        </w:tc>
      </w:tr>
      <w:tr w:rsidR="00421A54" w:rsidRPr="0006604A" w:rsidTr="00421A54">
        <w:trPr>
          <w:trHeight w:val="300"/>
          <w:jc w:val="center"/>
        </w:trPr>
        <w:tc>
          <w:tcPr>
            <w:tcW w:w="1190"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UNSMIH</w:t>
            </w:r>
          </w:p>
        </w:tc>
        <w:tc>
          <w:tcPr>
            <w:tcW w:w="4535"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Jungtinių Tautų pagalbos misija Haityje</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1996-07</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1997-07</w:t>
            </w:r>
          </w:p>
        </w:tc>
        <w:tc>
          <w:tcPr>
            <w:tcW w:w="158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platesnio masto</w:t>
            </w:r>
          </w:p>
        </w:tc>
        <w:tc>
          <w:tcPr>
            <w:tcW w:w="794" w:type="dxa"/>
            <w:tcBorders>
              <w:top w:val="single" w:sz="4" w:space="0" w:color="auto"/>
              <w:left w:val="nil"/>
              <w:bottom w:val="single" w:sz="4" w:space="0" w:color="auto"/>
              <w:right w:val="nil"/>
            </w:tcBorders>
          </w:tcPr>
          <w:p w:rsidR="00421A54" w:rsidRPr="0006604A" w:rsidRDefault="00024FF9" w:rsidP="00113D43">
            <w:pPr>
              <w:spacing w:line="240" w:lineRule="auto"/>
              <w:jc w:val="left"/>
              <w:rPr>
                <w:color w:val="333333"/>
                <w:sz w:val="20"/>
                <w:szCs w:val="20"/>
                <w:lang w:val="lt-LT" w:eastAsia="lt-LT"/>
              </w:rPr>
            </w:pPr>
            <w:r>
              <w:rPr>
                <w:color w:val="333333"/>
                <w:sz w:val="20"/>
                <w:szCs w:val="20"/>
                <w:lang w:val="lt-LT" w:eastAsia="lt-LT"/>
              </w:rPr>
              <w:t>antra</w:t>
            </w:r>
          </w:p>
        </w:tc>
      </w:tr>
      <w:tr w:rsidR="00421A54" w:rsidRPr="0006604A" w:rsidTr="00421A54">
        <w:trPr>
          <w:trHeight w:val="300"/>
          <w:jc w:val="center"/>
        </w:trPr>
        <w:tc>
          <w:tcPr>
            <w:tcW w:w="1190"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UNOMIL</w:t>
            </w:r>
          </w:p>
        </w:tc>
        <w:tc>
          <w:tcPr>
            <w:tcW w:w="4535"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Jungtinių Tautų stebėjimo misija  Liberijoje</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1993-09</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1997-09</w:t>
            </w:r>
          </w:p>
        </w:tc>
        <w:tc>
          <w:tcPr>
            <w:tcW w:w="158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platesnio masto</w:t>
            </w:r>
          </w:p>
        </w:tc>
        <w:tc>
          <w:tcPr>
            <w:tcW w:w="794" w:type="dxa"/>
            <w:tcBorders>
              <w:top w:val="single" w:sz="4" w:space="0" w:color="auto"/>
              <w:left w:val="nil"/>
              <w:bottom w:val="single" w:sz="4" w:space="0" w:color="auto"/>
              <w:right w:val="nil"/>
            </w:tcBorders>
          </w:tcPr>
          <w:p w:rsidR="00421A54" w:rsidRPr="0006604A" w:rsidRDefault="00024FF9" w:rsidP="00113D43">
            <w:pPr>
              <w:spacing w:line="240" w:lineRule="auto"/>
              <w:jc w:val="left"/>
              <w:rPr>
                <w:color w:val="333333"/>
                <w:sz w:val="20"/>
                <w:szCs w:val="20"/>
                <w:lang w:val="lt-LT" w:eastAsia="lt-LT"/>
              </w:rPr>
            </w:pPr>
            <w:r>
              <w:rPr>
                <w:color w:val="333333"/>
                <w:sz w:val="20"/>
                <w:szCs w:val="20"/>
                <w:lang w:val="lt-LT" w:eastAsia="lt-LT"/>
              </w:rPr>
              <w:t>antra</w:t>
            </w:r>
          </w:p>
        </w:tc>
      </w:tr>
      <w:tr w:rsidR="00421A54" w:rsidRPr="0006604A" w:rsidTr="00421A54">
        <w:trPr>
          <w:trHeight w:val="300"/>
          <w:jc w:val="center"/>
        </w:trPr>
        <w:tc>
          <w:tcPr>
            <w:tcW w:w="1190"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UNTMIH</w:t>
            </w:r>
          </w:p>
        </w:tc>
        <w:tc>
          <w:tcPr>
            <w:tcW w:w="4535"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Jungtinių Tautų  misija pereinamojo laikotarpio Haityje</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1997-08</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1997-12</w:t>
            </w:r>
          </w:p>
        </w:tc>
        <w:tc>
          <w:tcPr>
            <w:tcW w:w="158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platesnio masto</w:t>
            </w:r>
          </w:p>
        </w:tc>
        <w:tc>
          <w:tcPr>
            <w:tcW w:w="794" w:type="dxa"/>
            <w:tcBorders>
              <w:top w:val="single" w:sz="4" w:space="0" w:color="auto"/>
              <w:left w:val="nil"/>
              <w:bottom w:val="single" w:sz="4" w:space="0" w:color="auto"/>
              <w:right w:val="nil"/>
            </w:tcBorders>
          </w:tcPr>
          <w:p w:rsidR="00421A54" w:rsidRPr="0006604A" w:rsidRDefault="00024FF9" w:rsidP="00113D43">
            <w:pPr>
              <w:spacing w:line="240" w:lineRule="auto"/>
              <w:jc w:val="left"/>
              <w:rPr>
                <w:color w:val="333333"/>
                <w:sz w:val="20"/>
                <w:szCs w:val="20"/>
                <w:lang w:val="lt-LT" w:eastAsia="lt-LT"/>
              </w:rPr>
            </w:pPr>
            <w:r>
              <w:rPr>
                <w:color w:val="333333"/>
                <w:sz w:val="20"/>
                <w:szCs w:val="20"/>
                <w:lang w:val="lt-LT" w:eastAsia="lt-LT"/>
              </w:rPr>
              <w:t>antra</w:t>
            </w:r>
          </w:p>
        </w:tc>
      </w:tr>
      <w:tr w:rsidR="00421A54" w:rsidRPr="0006604A" w:rsidTr="00421A54">
        <w:trPr>
          <w:trHeight w:val="300"/>
          <w:jc w:val="center"/>
        </w:trPr>
        <w:tc>
          <w:tcPr>
            <w:tcW w:w="1190"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UNTAES</w:t>
            </w:r>
          </w:p>
        </w:tc>
        <w:tc>
          <w:tcPr>
            <w:tcW w:w="4535"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Jungtinių Tautų misija Rytų Slavonijoje, Baranja ir Vakarų Syrmium</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1996-01</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1998-01</w:t>
            </w:r>
          </w:p>
        </w:tc>
        <w:tc>
          <w:tcPr>
            <w:tcW w:w="158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platesnio masto</w:t>
            </w:r>
          </w:p>
        </w:tc>
        <w:tc>
          <w:tcPr>
            <w:tcW w:w="794" w:type="dxa"/>
            <w:tcBorders>
              <w:top w:val="single" w:sz="4" w:space="0" w:color="auto"/>
              <w:left w:val="nil"/>
              <w:bottom w:val="single" w:sz="4" w:space="0" w:color="auto"/>
              <w:right w:val="nil"/>
            </w:tcBorders>
          </w:tcPr>
          <w:p w:rsidR="00421A54" w:rsidRPr="0006604A" w:rsidRDefault="00024FF9" w:rsidP="00113D43">
            <w:pPr>
              <w:spacing w:line="240" w:lineRule="auto"/>
              <w:jc w:val="left"/>
              <w:rPr>
                <w:color w:val="333333"/>
                <w:sz w:val="20"/>
                <w:szCs w:val="20"/>
                <w:lang w:val="lt-LT" w:eastAsia="lt-LT"/>
              </w:rPr>
            </w:pPr>
            <w:r>
              <w:rPr>
                <w:color w:val="333333"/>
                <w:sz w:val="20"/>
                <w:szCs w:val="20"/>
                <w:lang w:val="lt-LT" w:eastAsia="lt-LT"/>
              </w:rPr>
              <w:t>antra</w:t>
            </w:r>
          </w:p>
        </w:tc>
      </w:tr>
      <w:tr w:rsidR="00421A54" w:rsidRPr="0006604A" w:rsidTr="00421A54">
        <w:trPr>
          <w:trHeight w:val="300"/>
          <w:jc w:val="center"/>
        </w:trPr>
        <w:tc>
          <w:tcPr>
            <w:tcW w:w="1190"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UNPREDEP</w:t>
            </w:r>
          </w:p>
        </w:tc>
        <w:tc>
          <w:tcPr>
            <w:tcW w:w="4535"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Jungtinių Tautų prevencinis pajėgų dislokavimas Makedonijoje</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1995-03</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1999-02</w:t>
            </w:r>
          </w:p>
        </w:tc>
        <w:tc>
          <w:tcPr>
            <w:tcW w:w="158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platesnio masto</w:t>
            </w:r>
          </w:p>
        </w:tc>
        <w:tc>
          <w:tcPr>
            <w:tcW w:w="794" w:type="dxa"/>
            <w:tcBorders>
              <w:top w:val="single" w:sz="4" w:space="0" w:color="auto"/>
              <w:left w:val="nil"/>
              <w:bottom w:val="single" w:sz="4" w:space="0" w:color="auto"/>
              <w:right w:val="nil"/>
            </w:tcBorders>
          </w:tcPr>
          <w:p w:rsidR="00421A54" w:rsidRPr="0006604A" w:rsidRDefault="00024FF9" w:rsidP="00113D43">
            <w:pPr>
              <w:spacing w:line="240" w:lineRule="auto"/>
              <w:jc w:val="left"/>
              <w:rPr>
                <w:color w:val="333333"/>
                <w:sz w:val="20"/>
                <w:szCs w:val="20"/>
                <w:lang w:val="lt-LT" w:eastAsia="lt-LT"/>
              </w:rPr>
            </w:pPr>
            <w:r>
              <w:rPr>
                <w:color w:val="333333"/>
                <w:sz w:val="20"/>
                <w:szCs w:val="20"/>
                <w:lang w:val="lt-LT" w:eastAsia="lt-LT"/>
              </w:rPr>
              <w:t>antra</w:t>
            </w:r>
          </w:p>
        </w:tc>
      </w:tr>
      <w:tr w:rsidR="00421A54" w:rsidRPr="0006604A" w:rsidTr="00421A54">
        <w:trPr>
          <w:trHeight w:val="300"/>
          <w:jc w:val="center"/>
        </w:trPr>
        <w:tc>
          <w:tcPr>
            <w:tcW w:w="1190"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MONUA</w:t>
            </w:r>
          </w:p>
        </w:tc>
        <w:tc>
          <w:tcPr>
            <w:tcW w:w="4535"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Jungtinių Tautų  misija Angoloje</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1997-06</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1999-02</w:t>
            </w:r>
          </w:p>
        </w:tc>
        <w:tc>
          <w:tcPr>
            <w:tcW w:w="158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platesnio masto</w:t>
            </w:r>
          </w:p>
        </w:tc>
        <w:tc>
          <w:tcPr>
            <w:tcW w:w="794" w:type="dxa"/>
            <w:tcBorders>
              <w:top w:val="single" w:sz="4" w:space="0" w:color="auto"/>
              <w:left w:val="nil"/>
              <w:bottom w:val="single" w:sz="4" w:space="0" w:color="auto"/>
              <w:right w:val="nil"/>
            </w:tcBorders>
          </w:tcPr>
          <w:p w:rsidR="00421A54" w:rsidRPr="0006604A" w:rsidRDefault="00024FF9" w:rsidP="00113D43">
            <w:pPr>
              <w:spacing w:line="240" w:lineRule="auto"/>
              <w:jc w:val="left"/>
              <w:rPr>
                <w:color w:val="333333"/>
                <w:sz w:val="20"/>
                <w:szCs w:val="20"/>
                <w:lang w:val="lt-LT" w:eastAsia="lt-LT"/>
              </w:rPr>
            </w:pPr>
            <w:r>
              <w:rPr>
                <w:color w:val="333333"/>
                <w:sz w:val="20"/>
                <w:szCs w:val="20"/>
                <w:lang w:val="lt-LT" w:eastAsia="lt-LT"/>
              </w:rPr>
              <w:t>antra</w:t>
            </w:r>
          </w:p>
        </w:tc>
      </w:tr>
      <w:tr w:rsidR="00421A54" w:rsidRPr="0006604A" w:rsidTr="00421A54">
        <w:trPr>
          <w:trHeight w:val="300"/>
          <w:jc w:val="center"/>
        </w:trPr>
        <w:tc>
          <w:tcPr>
            <w:tcW w:w="1190"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UNOMSIL</w:t>
            </w:r>
          </w:p>
        </w:tc>
        <w:tc>
          <w:tcPr>
            <w:tcW w:w="4535"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Jungtinių Tautų  misija Siera Leonėje</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1998-07</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1999-10</w:t>
            </w:r>
          </w:p>
        </w:tc>
        <w:tc>
          <w:tcPr>
            <w:tcW w:w="158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platesnio masto</w:t>
            </w:r>
          </w:p>
        </w:tc>
        <w:tc>
          <w:tcPr>
            <w:tcW w:w="794" w:type="dxa"/>
            <w:tcBorders>
              <w:top w:val="single" w:sz="4" w:space="0" w:color="auto"/>
              <w:left w:val="nil"/>
              <w:bottom w:val="single" w:sz="4" w:space="0" w:color="auto"/>
              <w:right w:val="nil"/>
            </w:tcBorders>
          </w:tcPr>
          <w:p w:rsidR="00421A54" w:rsidRPr="0006604A" w:rsidRDefault="00024FF9" w:rsidP="00113D43">
            <w:pPr>
              <w:spacing w:line="240" w:lineRule="auto"/>
              <w:jc w:val="left"/>
              <w:rPr>
                <w:color w:val="333333"/>
                <w:sz w:val="20"/>
                <w:szCs w:val="20"/>
                <w:lang w:val="lt-LT" w:eastAsia="lt-LT"/>
              </w:rPr>
            </w:pPr>
            <w:r>
              <w:rPr>
                <w:color w:val="333333"/>
                <w:sz w:val="20"/>
                <w:szCs w:val="20"/>
                <w:lang w:val="lt-LT" w:eastAsia="lt-LT"/>
              </w:rPr>
              <w:t>antra</w:t>
            </w:r>
          </w:p>
        </w:tc>
      </w:tr>
      <w:tr w:rsidR="00421A54" w:rsidRPr="0006604A" w:rsidTr="00421A54">
        <w:trPr>
          <w:trHeight w:val="300"/>
          <w:jc w:val="center"/>
        </w:trPr>
        <w:tc>
          <w:tcPr>
            <w:tcW w:w="1190"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MINURCA</w:t>
            </w:r>
          </w:p>
        </w:tc>
        <w:tc>
          <w:tcPr>
            <w:tcW w:w="4535"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Jungtinių Tautų misija Centrinėje Afrikos Respublikoje</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1998-04</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2000-02</w:t>
            </w:r>
          </w:p>
        </w:tc>
        <w:tc>
          <w:tcPr>
            <w:tcW w:w="158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platesnio masto</w:t>
            </w:r>
          </w:p>
        </w:tc>
        <w:tc>
          <w:tcPr>
            <w:tcW w:w="794" w:type="dxa"/>
            <w:tcBorders>
              <w:top w:val="single" w:sz="4" w:space="0" w:color="auto"/>
              <w:left w:val="nil"/>
              <w:bottom w:val="single" w:sz="4" w:space="0" w:color="auto"/>
              <w:right w:val="nil"/>
            </w:tcBorders>
          </w:tcPr>
          <w:p w:rsidR="00421A54" w:rsidRPr="0006604A" w:rsidRDefault="00024FF9" w:rsidP="00113D43">
            <w:pPr>
              <w:spacing w:line="240" w:lineRule="auto"/>
              <w:jc w:val="left"/>
              <w:rPr>
                <w:color w:val="333333"/>
                <w:sz w:val="20"/>
                <w:szCs w:val="20"/>
                <w:lang w:val="lt-LT" w:eastAsia="lt-LT"/>
              </w:rPr>
            </w:pPr>
            <w:r>
              <w:rPr>
                <w:color w:val="333333"/>
                <w:sz w:val="20"/>
                <w:szCs w:val="20"/>
                <w:lang w:val="lt-LT" w:eastAsia="lt-LT"/>
              </w:rPr>
              <w:t>antra</w:t>
            </w:r>
          </w:p>
        </w:tc>
      </w:tr>
      <w:tr w:rsidR="00421A54" w:rsidRPr="0006604A" w:rsidTr="00421A54">
        <w:trPr>
          <w:trHeight w:val="300"/>
          <w:jc w:val="center"/>
        </w:trPr>
        <w:tc>
          <w:tcPr>
            <w:tcW w:w="1190"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MIPONUH</w:t>
            </w:r>
          </w:p>
        </w:tc>
        <w:tc>
          <w:tcPr>
            <w:tcW w:w="4535"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Jungtinių Tautų civilinės policijos misija Haityje</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1997-12</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2000-03</w:t>
            </w:r>
          </w:p>
        </w:tc>
        <w:tc>
          <w:tcPr>
            <w:tcW w:w="158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platesnio masto</w:t>
            </w:r>
          </w:p>
        </w:tc>
        <w:tc>
          <w:tcPr>
            <w:tcW w:w="794" w:type="dxa"/>
            <w:tcBorders>
              <w:top w:val="single" w:sz="4" w:space="0" w:color="auto"/>
              <w:left w:val="nil"/>
              <w:bottom w:val="single" w:sz="4" w:space="0" w:color="auto"/>
              <w:right w:val="nil"/>
            </w:tcBorders>
          </w:tcPr>
          <w:p w:rsidR="00421A54" w:rsidRPr="0006604A" w:rsidRDefault="00024FF9" w:rsidP="00113D43">
            <w:pPr>
              <w:spacing w:line="240" w:lineRule="auto"/>
              <w:jc w:val="left"/>
              <w:rPr>
                <w:color w:val="333333"/>
                <w:sz w:val="20"/>
                <w:szCs w:val="20"/>
                <w:lang w:val="lt-LT" w:eastAsia="lt-LT"/>
              </w:rPr>
            </w:pPr>
            <w:r>
              <w:rPr>
                <w:color w:val="333333"/>
                <w:sz w:val="20"/>
                <w:szCs w:val="20"/>
                <w:lang w:val="lt-LT" w:eastAsia="lt-LT"/>
              </w:rPr>
              <w:t>antra</w:t>
            </w:r>
          </w:p>
        </w:tc>
      </w:tr>
      <w:tr w:rsidR="00421A54" w:rsidRPr="0006604A" w:rsidTr="00421A54">
        <w:trPr>
          <w:trHeight w:val="300"/>
          <w:jc w:val="center"/>
        </w:trPr>
        <w:tc>
          <w:tcPr>
            <w:tcW w:w="1190"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UNMOT</w:t>
            </w:r>
          </w:p>
        </w:tc>
        <w:tc>
          <w:tcPr>
            <w:tcW w:w="4535"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Jungtinių Tautų stebėjimo misija Tadžikistane</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1994-12</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2000-05</w:t>
            </w:r>
          </w:p>
        </w:tc>
        <w:tc>
          <w:tcPr>
            <w:tcW w:w="158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tradicinė</w:t>
            </w:r>
          </w:p>
        </w:tc>
        <w:tc>
          <w:tcPr>
            <w:tcW w:w="794" w:type="dxa"/>
            <w:tcBorders>
              <w:top w:val="single" w:sz="4" w:space="0" w:color="auto"/>
              <w:left w:val="nil"/>
              <w:bottom w:val="single" w:sz="4" w:space="0" w:color="auto"/>
              <w:right w:val="nil"/>
            </w:tcBorders>
          </w:tcPr>
          <w:p w:rsidR="00421A54" w:rsidRPr="0006604A" w:rsidRDefault="00024FF9" w:rsidP="00113D43">
            <w:pPr>
              <w:spacing w:line="240" w:lineRule="auto"/>
              <w:jc w:val="left"/>
              <w:rPr>
                <w:color w:val="333333"/>
                <w:sz w:val="20"/>
                <w:szCs w:val="20"/>
                <w:lang w:val="lt-LT" w:eastAsia="lt-LT"/>
              </w:rPr>
            </w:pPr>
            <w:r>
              <w:rPr>
                <w:color w:val="333333"/>
                <w:sz w:val="20"/>
                <w:szCs w:val="20"/>
                <w:lang w:val="lt-LT" w:eastAsia="lt-LT"/>
              </w:rPr>
              <w:t>pirma</w:t>
            </w:r>
          </w:p>
        </w:tc>
      </w:tr>
      <w:tr w:rsidR="00421A54" w:rsidRPr="0006604A" w:rsidTr="00421A54">
        <w:trPr>
          <w:trHeight w:val="300"/>
          <w:jc w:val="center"/>
        </w:trPr>
        <w:tc>
          <w:tcPr>
            <w:tcW w:w="1190"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UNTAET</w:t>
            </w:r>
          </w:p>
        </w:tc>
        <w:tc>
          <w:tcPr>
            <w:tcW w:w="4535"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Jungtinių Tautų misija Rytų Timore</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1999-10</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2002-05</w:t>
            </w:r>
          </w:p>
        </w:tc>
        <w:tc>
          <w:tcPr>
            <w:tcW w:w="158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platesnio masto</w:t>
            </w:r>
          </w:p>
        </w:tc>
        <w:tc>
          <w:tcPr>
            <w:tcW w:w="794" w:type="dxa"/>
            <w:tcBorders>
              <w:top w:val="single" w:sz="4" w:space="0" w:color="auto"/>
              <w:left w:val="nil"/>
              <w:bottom w:val="single" w:sz="4" w:space="0" w:color="auto"/>
              <w:right w:val="nil"/>
            </w:tcBorders>
          </w:tcPr>
          <w:p w:rsidR="00421A54" w:rsidRPr="0006604A" w:rsidRDefault="00024FF9" w:rsidP="00113D43">
            <w:pPr>
              <w:spacing w:line="240" w:lineRule="auto"/>
              <w:jc w:val="left"/>
              <w:rPr>
                <w:color w:val="333333"/>
                <w:sz w:val="20"/>
                <w:szCs w:val="20"/>
                <w:lang w:val="lt-LT" w:eastAsia="lt-LT"/>
              </w:rPr>
            </w:pPr>
            <w:r>
              <w:rPr>
                <w:color w:val="333333"/>
                <w:sz w:val="20"/>
                <w:szCs w:val="20"/>
                <w:lang w:val="lt-LT" w:eastAsia="lt-LT"/>
              </w:rPr>
              <w:t>antra</w:t>
            </w:r>
          </w:p>
        </w:tc>
      </w:tr>
      <w:tr w:rsidR="00421A54" w:rsidRPr="0006604A" w:rsidTr="00421A54">
        <w:trPr>
          <w:trHeight w:val="300"/>
          <w:jc w:val="center"/>
        </w:trPr>
        <w:tc>
          <w:tcPr>
            <w:tcW w:w="1190"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UNMIBH</w:t>
            </w:r>
          </w:p>
        </w:tc>
        <w:tc>
          <w:tcPr>
            <w:tcW w:w="4535"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Jungtinių Tautų misija Bosnijoje ir Hercegovinoje</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1995-12</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2002-12</w:t>
            </w:r>
          </w:p>
        </w:tc>
        <w:tc>
          <w:tcPr>
            <w:tcW w:w="158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platesnio masto</w:t>
            </w:r>
          </w:p>
        </w:tc>
        <w:tc>
          <w:tcPr>
            <w:tcW w:w="794" w:type="dxa"/>
            <w:tcBorders>
              <w:top w:val="single" w:sz="4" w:space="0" w:color="auto"/>
              <w:left w:val="nil"/>
              <w:bottom w:val="single" w:sz="4" w:space="0" w:color="auto"/>
              <w:right w:val="nil"/>
            </w:tcBorders>
          </w:tcPr>
          <w:p w:rsidR="00421A54" w:rsidRPr="0006604A" w:rsidRDefault="00024FF9" w:rsidP="00113D43">
            <w:pPr>
              <w:spacing w:line="240" w:lineRule="auto"/>
              <w:jc w:val="left"/>
              <w:rPr>
                <w:color w:val="333333"/>
                <w:sz w:val="20"/>
                <w:szCs w:val="20"/>
                <w:lang w:val="lt-LT" w:eastAsia="lt-LT"/>
              </w:rPr>
            </w:pPr>
            <w:r>
              <w:rPr>
                <w:color w:val="333333"/>
                <w:sz w:val="20"/>
                <w:szCs w:val="20"/>
                <w:lang w:val="lt-LT" w:eastAsia="lt-LT"/>
              </w:rPr>
              <w:t>antra</w:t>
            </w:r>
          </w:p>
        </w:tc>
      </w:tr>
      <w:tr w:rsidR="00421A54" w:rsidRPr="0006604A" w:rsidTr="00421A54">
        <w:trPr>
          <w:trHeight w:val="300"/>
          <w:jc w:val="center"/>
        </w:trPr>
        <w:tc>
          <w:tcPr>
            <w:tcW w:w="1190"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UNMOP</w:t>
            </w:r>
          </w:p>
        </w:tc>
        <w:tc>
          <w:tcPr>
            <w:tcW w:w="4535"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Jungtinių Tautų stebėjimo misija Prevlakoje</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1996-01</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2002-12</w:t>
            </w:r>
          </w:p>
        </w:tc>
        <w:tc>
          <w:tcPr>
            <w:tcW w:w="158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tradicinė</w:t>
            </w:r>
          </w:p>
        </w:tc>
        <w:tc>
          <w:tcPr>
            <w:tcW w:w="794" w:type="dxa"/>
            <w:tcBorders>
              <w:top w:val="single" w:sz="4" w:space="0" w:color="auto"/>
              <w:left w:val="nil"/>
              <w:bottom w:val="single" w:sz="4" w:space="0" w:color="auto"/>
              <w:right w:val="nil"/>
            </w:tcBorders>
          </w:tcPr>
          <w:p w:rsidR="00421A54" w:rsidRPr="0006604A" w:rsidRDefault="00024FF9" w:rsidP="00113D43">
            <w:pPr>
              <w:spacing w:line="240" w:lineRule="auto"/>
              <w:jc w:val="left"/>
              <w:rPr>
                <w:color w:val="333333"/>
                <w:sz w:val="20"/>
                <w:szCs w:val="20"/>
                <w:lang w:val="lt-LT" w:eastAsia="lt-LT"/>
              </w:rPr>
            </w:pPr>
            <w:r>
              <w:rPr>
                <w:color w:val="333333"/>
                <w:sz w:val="20"/>
                <w:szCs w:val="20"/>
                <w:lang w:val="lt-LT" w:eastAsia="lt-LT"/>
              </w:rPr>
              <w:t>pirma</w:t>
            </w:r>
          </w:p>
        </w:tc>
      </w:tr>
      <w:tr w:rsidR="00421A54" w:rsidRPr="0006604A" w:rsidTr="00421A54">
        <w:trPr>
          <w:trHeight w:val="300"/>
          <w:jc w:val="center"/>
        </w:trPr>
        <w:tc>
          <w:tcPr>
            <w:tcW w:w="1190"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UNIKOM</w:t>
            </w:r>
          </w:p>
        </w:tc>
        <w:tc>
          <w:tcPr>
            <w:tcW w:w="4535"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 xml:space="preserve">Jungtinių Tautų stebėjimo misija Irake-Kuveite </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1991-04</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2003-10</w:t>
            </w:r>
          </w:p>
        </w:tc>
        <w:tc>
          <w:tcPr>
            <w:tcW w:w="158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tradicinė</w:t>
            </w:r>
          </w:p>
        </w:tc>
        <w:tc>
          <w:tcPr>
            <w:tcW w:w="794" w:type="dxa"/>
            <w:tcBorders>
              <w:top w:val="single" w:sz="4" w:space="0" w:color="auto"/>
              <w:left w:val="nil"/>
              <w:bottom w:val="single" w:sz="4" w:space="0" w:color="auto"/>
              <w:right w:val="nil"/>
            </w:tcBorders>
          </w:tcPr>
          <w:p w:rsidR="00421A54" w:rsidRPr="0006604A" w:rsidRDefault="00024FF9" w:rsidP="00113D43">
            <w:pPr>
              <w:spacing w:line="240" w:lineRule="auto"/>
              <w:jc w:val="left"/>
              <w:rPr>
                <w:color w:val="333333"/>
                <w:sz w:val="20"/>
                <w:szCs w:val="20"/>
                <w:lang w:val="lt-LT" w:eastAsia="lt-LT"/>
              </w:rPr>
            </w:pPr>
            <w:r>
              <w:rPr>
                <w:color w:val="333333"/>
                <w:sz w:val="20"/>
                <w:szCs w:val="20"/>
                <w:lang w:val="lt-LT" w:eastAsia="lt-LT"/>
              </w:rPr>
              <w:t>pirma</w:t>
            </w:r>
          </w:p>
        </w:tc>
      </w:tr>
      <w:tr w:rsidR="00421A54" w:rsidRPr="0006604A" w:rsidTr="00421A54">
        <w:trPr>
          <w:trHeight w:val="300"/>
          <w:jc w:val="center"/>
        </w:trPr>
        <w:tc>
          <w:tcPr>
            <w:tcW w:w="1190"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UNMISET</w:t>
            </w:r>
          </w:p>
        </w:tc>
        <w:tc>
          <w:tcPr>
            <w:tcW w:w="4535"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 xml:space="preserve">Jungtinių Tautų paramos misija Rytų Timore </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2002-05</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2005-05</w:t>
            </w:r>
          </w:p>
        </w:tc>
        <w:tc>
          <w:tcPr>
            <w:tcW w:w="158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platesnio masto</w:t>
            </w:r>
          </w:p>
        </w:tc>
        <w:tc>
          <w:tcPr>
            <w:tcW w:w="794" w:type="dxa"/>
            <w:tcBorders>
              <w:top w:val="single" w:sz="4" w:space="0" w:color="auto"/>
              <w:left w:val="nil"/>
              <w:bottom w:val="single" w:sz="4" w:space="0" w:color="auto"/>
              <w:right w:val="nil"/>
            </w:tcBorders>
          </w:tcPr>
          <w:p w:rsidR="00421A54" w:rsidRPr="0006604A" w:rsidRDefault="00024FF9" w:rsidP="00113D43">
            <w:pPr>
              <w:spacing w:line="240" w:lineRule="auto"/>
              <w:jc w:val="left"/>
              <w:rPr>
                <w:color w:val="333333"/>
                <w:sz w:val="20"/>
                <w:szCs w:val="20"/>
                <w:lang w:val="lt-LT" w:eastAsia="lt-LT"/>
              </w:rPr>
            </w:pPr>
            <w:r>
              <w:rPr>
                <w:color w:val="333333"/>
                <w:sz w:val="20"/>
                <w:szCs w:val="20"/>
                <w:lang w:val="lt-LT" w:eastAsia="lt-LT"/>
              </w:rPr>
              <w:t>antra</w:t>
            </w:r>
          </w:p>
        </w:tc>
      </w:tr>
      <w:tr w:rsidR="00421A54" w:rsidRPr="0006604A" w:rsidTr="00421A54">
        <w:trPr>
          <w:trHeight w:val="300"/>
          <w:jc w:val="center"/>
        </w:trPr>
        <w:tc>
          <w:tcPr>
            <w:tcW w:w="1190"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UNAMSIL</w:t>
            </w:r>
          </w:p>
        </w:tc>
        <w:tc>
          <w:tcPr>
            <w:tcW w:w="4535"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 xml:space="preserve">Jungtinių Tautų misija Siera Leonėje </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1999-10</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2005-12</w:t>
            </w:r>
          </w:p>
        </w:tc>
        <w:tc>
          <w:tcPr>
            <w:tcW w:w="158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platesnio masto</w:t>
            </w:r>
          </w:p>
        </w:tc>
        <w:tc>
          <w:tcPr>
            <w:tcW w:w="794" w:type="dxa"/>
            <w:tcBorders>
              <w:top w:val="single" w:sz="4" w:space="0" w:color="auto"/>
              <w:left w:val="nil"/>
              <w:bottom w:val="single" w:sz="4" w:space="0" w:color="auto"/>
              <w:right w:val="nil"/>
            </w:tcBorders>
          </w:tcPr>
          <w:p w:rsidR="00421A54" w:rsidRPr="0006604A" w:rsidRDefault="00024FF9" w:rsidP="00113D43">
            <w:pPr>
              <w:spacing w:line="240" w:lineRule="auto"/>
              <w:jc w:val="left"/>
              <w:rPr>
                <w:color w:val="333333"/>
                <w:sz w:val="20"/>
                <w:szCs w:val="20"/>
                <w:lang w:val="lt-LT" w:eastAsia="lt-LT"/>
              </w:rPr>
            </w:pPr>
            <w:r>
              <w:rPr>
                <w:color w:val="333333"/>
                <w:sz w:val="20"/>
                <w:szCs w:val="20"/>
                <w:lang w:val="lt-LT" w:eastAsia="lt-LT"/>
              </w:rPr>
              <w:t>antra</w:t>
            </w:r>
          </w:p>
        </w:tc>
      </w:tr>
      <w:tr w:rsidR="00421A54" w:rsidRPr="0006604A" w:rsidTr="00421A54">
        <w:trPr>
          <w:trHeight w:val="300"/>
          <w:jc w:val="center"/>
        </w:trPr>
        <w:tc>
          <w:tcPr>
            <w:tcW w:w="1190"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ONUB</w:t>
            </w:r>
          </w:p>
        </w:tc>
        <w:tc>
          <w:tcPr>
            <w:tcW w:w="4535"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Jungtinių Tautų operacija Burundyje</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2004-06</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2006-12</w:t>
            </w:r>
          </w:p>
        </w:tc>
        <w:tc>
          <w:tcPr>
            <w:tcW w:w="158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platesnio masto</w:t>
            </w:r>
          </w:p>
        </w:tc>
        <w:tc>
          <w:tcPr>
            <w:tcW w:w="794" w:type="dxa"/>
            <w:tcBorders>
              <w:top w:val="single" w:sz="4" w:space="0" w:color="auto"/>
              <w:left w:val="nil"/>
              <w:bottom w:val="single" w:sz="4" w:space="0" w:color="auto"/>
              <w:right w:val="nil"/>
            </w:tcBorders>
          </w:tcPr>
          <w:p w:rsidR="00421A54" w:rsidRPr="0006604A" w:rsidRDefault="00024FF9" w:rsidP="00113D43">
            <w:pPr>
              <w:spacing w:line="240" w:lineRule="auto"/>
              <w:jc w:val="left"/>
              <w:rPr>
                <w:color w:val="333333"/>
                <w:sz w:val="20"/>
                <w:szCs w:val="20"/>
                <w:lang w:val="lt-LT" w:eastAsia="lt-LT"/>
              </w:rPr>
            </w:pPr>
            <w:r>
              <w:rPr>
                <w:color w:val="333333"/>
                <w:sz w:val="20"/>
                <w:szCs w:val="20"/>
                <w:lang w:val="lt-LT" w:eastAsia="lt-LT"/>
              </w:rPr>
              <w:t>antra</w:t>
            </w:r>
          </w:p>
        </w:tc>
      </w:tr>
      <w:tr w:rsidR="00421A54" w:rsidRPr="0006604A" w:rsidTr="00421A54">
        <w:trPr>
          <w:trHeight w:val="300"/>
          <w:jc w:val="center"/>
        </w:trPr>
        <w:tc>
          <w:tcPr>
            <w:tcW w:w="1190"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UNMEE</w:t>
            </w:r>
          </w:p>
        </w:tc>
        <w:tc>
          <w:tcPr>
            <w:tcW w:w="4535"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 xml:space="preserve">Jungtinių Tautų misija Etiopijoje ir Eritrėjoje </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2000-07</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2008-07</w:t>
            </w:r>
          </w:p>
        </w:tc>
        <w:tc>
          <w:tcPr>
            <w:tcW w:w="158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tradicinė</w:t>
            </w:r>
          </w:p>
        </w:tc>
        <w:tc>
          <w:tcPr>
            <w:tcW w:w="794" w:type="dxa"/>
            <w:tcBorders>
              <w:top w:val="single" w:sz="4" w:space="0" w:color="auto"/>
              <w:left w:val="nil"/>
              <w:bottom w:val="single" w:sz="4" w:space="0" w:color="auto"/>
              <w:right w:val="nil"/>
            </w:tcBorders>
          </w:tcPr>
          <w:p w:rsidR="00421A54" w:rsidRPr="0006604A" w:rsidRDefault="00024FF9" w:rsidP="00113D43">
            <w:pPr>
              <w:spacing w:line="240" w:lineRule="auto"/>
              <w:jc w:val="left"/>
              <w:rPr>
                <w:color w:val="333333"/>
                <w:sz w:val="20"/>
                <w:szCs w:val="20"/>
                <w:lang w:val="lt-LT" w:eastAsia="lt-LT"/>
              </w:rPr>
            </w:pPr>
            <w:r>
              <w:rPr>
                <w:color w:val="333333"/>
                <w:sz w:val="20"/>
                <w:szCs w:val="20"/>
                <w:lang w:val="lt-LT" w:eastAsia="lt-LT"/>
              </w:rPr>
              <w:t>pirma</w:t>
            </w:r>
          </w:p>
        </w:tc>
      </w:tr>
      <w:tr w:rsidR="00421A54" w:rsidRPr="0006604A" w:rsidTr="00421A54">
        <w:trPr>
          <w:trHeight w:val="300"/>
          <w:jc w:val="center"/>
        </w:trPr>
        <w:tc>
          <w:tcPr>
            <w:tcW w:w="1190"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UNOMIG</w:t>
            </w:r>
          </w:p>
        </w:tc>
        <w:tc>
          <w:tcPr>
            <w:tcW w:w="4535"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Jungtinių Tautų  stebėjimo misija Gruzijoje</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1993-08</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2009-06</w:t>
            </w:r>
          </w:p>
        </w:tc>
        <w:tc>
          <w:tcPr>
            <w:tcW w:w="158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tradicinė</w:t>
            </w:r>
          </w:p>
        </w:tc>
        <w:tc>
          <w:tcPr>
            <w:tcW w:w="794" w:type="dxa"/>
            <w:tcBorders>
              <w:top w:val="single" w:sz="4" w:space="0" w:color="auto"/>
              <w:left w:val="nil"/>
              <w:bottom w:val="single" w:sz="4" w:space="0" w:color="auto"/>
              <w:right w:val="nil"/>
            </w:tcBorders>
          </w:tcPr>
          <w:p w:rsidR="00421A54" w:rsidRPr="0006604A" w:rsidRDefault="00024FF9" w:rsidP="00113D43">
            <w:pPr>
              <w:spacing w:line="240" w:lineRule="auto"/>
              <w:jc w:val="left"/>
              <w:rPr>
                <w:color w:val="333333"/>
                <w:sz w:val="20"/>
                <w:szCs w:val="20"/>
                <w:lang w:val="lt-LT" w:eastAsia="lt-LT"/>
              </w:rPr>
            </w:pPr>
            <w:r>
              <w:rPr>
                <w:color w:val="333333"/>
                <w:sz w:val="20"/>
                <w:szCs w:val="20"/>
                <w:lang w:val="lt-LT" w:eastAsia="lt-LT"/>
              </w:rPr>
              <w:t>pirma</w:t>
            </w:r>
          </w:p>
        </w:tc>
      </w:tr>
      <w:tr w:rsidR="00421A54" w:rsidRPr="0006604A" w:rsidTr="00421A54">
        <w:trPr>
          <w:trHeight w:val="300"/>
          <w:jc w:val="center"/>
        </w:trPr>
        <w:tc>
          <w:tcPr>
            <w:tcW w:w="1190"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MONUC</w:t>
            </w:r>
          </w:p>
        </w:tc>
        <w:tc>
          <w:tcPr>
            <w:tcW w:w="4535"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Jungtinių Tautų  misija Demokratinėje Kongo Respublikoje</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1999-11</w:t>
            </w:r>
          </w:p>
        </w:tc>
        <w:tc>
          <w:tcPr>
            <w:tcW w:w="90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jc w:val="right"/>
              <w:rPr>
                <w:color w:val="333333"/>
                <w:sz w:val="20"/>
                <w:szCs w:val="20"/>
                <w:lang w:val="lt-LT"/>
              </w:rPr>
            </w:pPr>
            <w:r w:rsidRPr="0006604A">
              <w:rPr>
                <w:color w:val="333333"/>
                <w:sz w:val="20"/>
                <w:szCs w:val="20"/>
                <w:lang w:val="lt-LT"/>
              </w:rPr>
              <w:t>2010-06</w:t>
            </w:r>
          </w:p>
        </w:tc>
        <w:tc>
          <w:tcPr>
            <w:tcW w:w="1587" w:type="dxa"/>
            <w:tcBorders>
              <w:top w:val="single" w:sz="4" w:space="0" w:color="auto"/>
              <w:left w:val="nil"/>
              <w:bottom w:val="single" w:sz="4" w:space="0" w:color="auto"/>
              <w:right w:val="nil"/>
            </w:tcBorders>
            <w:shd w:val="clear" w:color="auto" w:fill="auto"/>
            <w:noWrap/>
            <w:hideMark/>
          </w:tcPr>
          <w:p w:rsidR="00421A54" w:rsidRPr="0006604A" w:rsidRDefault="00421A54" w:rsidP="00113D43">
            <w:pPr>
              <w:spacing w:line="240" w:lineRule="auto"/>
              <w:jc w:val="left"/>
              <w:rPr>
                <w:color w:val="333333"/>
                <w:sz w:val="20"/>
                <w:szCs w:val="20"/>
                <w:lang w:val="lt-LT" w:eastAsia="lt-LT"/>
              </w:rPr>
            </w:pPr>
            <w:r w:rsidRPr="0006604A">
              <w:rPr>
                <w:color w:val="333333"/>
                <w:sz w:val="20"/>
                <w:szCs w:val="20"/>
                <w:lang w:val="lt-LT" w:eastAsia="lt-LT"/>
              </w:rPr>
              <w:t>tradicinė</w:t>
            </w:r>
          </w:p>
        </w:tc>
        <w:tc>
          <w:tcPr>
            <w:tcW w:w="794" w:type="dxa"/>
            <w:tcBorders>
              <w:top w:val="single" w:sz="4" w:space="0" w:color="auto"/>
              <w:left w:val="nil"/>
              <w:bottom w:val="single" w:sz="4" w:space="0" w:color="auto"/>
              <w:right w:val="nil"/>
            </w:tcBorders>
          </w:tcPr>
          <w:p w:rsidR="00421A54" w:rsidRPr="0006604A" w:rsidRDefault="00024FF9" w:rsidP="00113D43">
            <w:pPr>
              <w:spacing w:line="240" w:lineRule="auto"/>
              <w:jc w:val="left"/>
              <w:rPr>
                <w:color w:val="333333"/>
                <w:sz w:val="20"/>
                <w:szCs w:val="20"/>
                <w:lang w:val="lt-LT" w:eastAsia="lt-LT"/>
              </w:rPr>
            </w:pPr>
            <w:r>
              <w:rPr>
                <w:color w:val="333333"/>
                <w:sz w:val="20"/>
                <w:szCs w:val="20"/>
                <w:lang w:val="lt-LT" w:eastAsia="lt-LT"/>
              </w:rPr>
              <w:t>pirma</w:t>
            </w:r>
          </w:p>
        </w:tc>
      </w:tr>
    </w:tbl>
    <w:p w:rsidR="00453A30" w:rsidRPr="0006604A" w:rsidRDefault="00453A30" w:rsidP="0099290C">
      <w:pPr>
        <w:spacing w:before="240"/>
        <w:rPr>
          <w:b/>
          <w:lang w:val="lt-LT"/>
        </w:rPr>
      </w:pPr>
    </w:p>
    <w:p w:rsidR="0099290C" w:rsidRPr="00D22DCA" w:rsidRDefault="00D66CA4" w:rsidP="00A766E9">
      <w:pPr>
        <w:spacing w:before="240"/>
        <w:jc w:val="center"/>
        <w:rPr>
          <w:b/>
          <w:lang w:val="lt-LT"/>
        </w:rPr>
      </w:pPr>
      <w:r w:rsidRPr="00D22DCA">
        <w:rPr>
          <w:b/>
          <w:lang w:val="lt-LT"/>
        </w:rPr>
        <w:t>Šiuo metu vykstančios taikos misijos</w:t>
      </w:r>
    </w:p>
    <w:p w:rsidR="00A766E9" w:rsidRPr="00A766E9" w:rsidRDefault="00A766E9" w:rsidP="00A766E9">
      <w:pPr>
        <w:spacing w:before="240"/>
        <w:jc w:val="center"/>
        <w:rPr>
          <w:b/>
          <w:lang w:val="lt-LT"/>
        </w:rPr>
      </w:pPr>
    </w:p>
    <w:tbl>
      <w:tblPr>
        <w:tblW w:w="5004" w:type="pct"/>
        <w:tblLayout w:type="fixed"/>
        <w:tblLook w:val="04A0"/>
      </w:tblPr>
      <w:tblGrid>
        <w:gridCol w:w="1304"/>
        <w:gridCol w:w="5273"/>
        <w:gridCol w:w="907"/>
        <w:gridCol w:w="1587"/>
        <w:gridCol w:w="792"/>
      </w:tblGrid>
      <w:tr w:rsidR="00113D43" w:rsidRPr="0006604A" w:rsidTr="00CB5AAB">
        <w:trPr>
          <w:trHeight w:val="330"/>
          <w:tblHeader/>
        </w:trPr>
        <w:tc>
          <w:tcPr>
            <w:tcW w:w="1304" w:type="dxa"/>
            <w:tcBorders>
              <w:top w:val="single" w:sz="12" w:space="0" w:color="333333"/>
              <w:left w:val="nil"/>
              <w:bottom w:val="single" w:sz="8" w:space="0" w:color="333333"/>
              <w:right w:val="nil"/>
            </w:tcBorders>
            <w:shd w:val="clear" w:color="auto" w:fill="auto"/>
            <w:noWrap/>
            <w:hideMark/>
          </w:tcPr>
          <w:p w:rsidR="00113D43" w:rsidRPr="00113D43" w:rsidRDefault="00113D43" w:rsidP="00113D43">
            <w:pPr>
              <w:spacing w:line="240" w:lineRule="auto"/>
              <w:jc w:val="left"/>
              <w:rPr>
                <w:b/>
                <w:bCs/>
                <w:color w:val="525252"/>
                <w:sz w:val="20"/>
                <w:szCs w:val="20"/>
                <w:lang w:val="lt-LT" w:eastAsia="lt-LT"/>
              </w:rPr>
            </w:pPr>
            <w:r w:rsidRPr="00113D43">
              <w:rPr>
                <w:b/>
                <w:bCs/>
                <w:color w:val="525252"/>
                <w:sz w:val="20"/>
                <w:szCs w:val="20"/>
                <w:lang w:val="lt-LT" w:eastAsia="lt-LT"/>
              </w:rPr>
              <w:t>Santrumpa</w:t>
            </w:r>
          </w:p>
        </w:tc>
        <w:tc>
          <w:tcPr>
            <w:tcW w:w="5273" w:type="dxa"/>
            <w:tcBorders>
              <w:top w:val="single" w:sz="12" w:space="0" w:color="333333"/>
              <w:left w:val="nil"/>
              <w:bottom w:val="single" w:sz="8" w:space="0" w:color="333333"/>
              <w:right w:val="nil"/>
            </w:tcBorders>
            <w:shd w:val="clear" w:color="auto" w:fill="auto"/>
            <w:noWrap/>
            <w:hideMark/>
          </w:tcPr>
          <w:p w:rsidR="00113D43" w:rsidRPr="00113D43" w:rsidRDefault="00113D43" w:rsidP="00113D43">
            <w:pPr>
              <w:spacing w:line="240" w:lineRule="auto"/>
              <w:jc w:val="left"/>
              <w:rPr>
                <w:b/>
                <w:bCs/>
                <w:color w:val="525252"/>
                <w:sz w:val="20"/>
                <w:szCs w:val="20"/>
                <w:lang w:val="lt-LT" w:eastAsia="lt-LT"/>
              </w:rPr>
            </w:pPr>
            <w:r w:rsidRPr="00113D43">
              <w:rPr>
                <w:b/>
                <w:bCs/>
                <w:color w:val="525252"/>
                <w:sz w:val="20"/>
                <w:szCs w:val="20"/>
                <w:lang w:val="lt-LT" w:eastAsia="lt-LT"/>
              </w:rPr>
              <w:t>Misijos pavadinimas</w:t>
            </w:r>
          </w:p>
        </w:tc>
        <w:tc>
          <w:tcPr>
            <w:tcW w:w="907" w:type="dxa"/>
            <w:tcBorders>
              <w:top w:val="single" w:sz="12" w:space="0" w:color="333333"/>
              <w:left w:val="nil"/>
              <w:bottom w:val="single" w:sz="8" w:space="0" w:color="333333"/>
              <w:right w:val="nil"/>
            </w:tcBorders>
            <w:shd w:val="clear" w:color="auto" w:fill="auto"/>
            <w:noWrap/>
            <w:hideMark/>
          </w:tcPr>
          <w:p w:rsidR="00113D43" w:rsidRPr="00113D43" w:rsidRDefault="00113D43" w:rsidP="00113D43">
            <w:pPr>
              <w:spacing w:line="240" w:lineRule="auto"/>
              <w:jc w:val="left"/>
              <w:rPr>
                <w:b/>
                <w:bCs/>
                <w:color w:val="525252"/>
                <w:sz w:val="20"/>
                <w:szCs w:val="20"/>
                <w:lang w:val="lt-LT" w:eastAsia="lt-LT"/>
              </w:rPr>
            </w:pPr>
            <w:r w:rsidRPr="00113D43">
              <w:rPr>
                <w:b/>
                <w:bCs/>
                <w:color w:val="525252"/>
                <w:sz w:val="20"/>
                <w:szCs w:val="20"/>
                <w:lang w:val="lt-LT" w:eastAsia="lt-LT"/>
              </w:rPr>
              <w:t>Pradžia</w:t>
            </w:r>
          </w:p>
        </w:tc>
        <w:tc>
          <w:tcPr>
            <w:tcW w:w="1587" w:type="dxa"/>
            <w:tcBorders>
              <w:top w:val="single" w:sz="12" w:space="0" w:color="333333"/>
              <w:left w:val="nil"/>
              <w:bottom w:val="single" w:sz="8" w:space="0" w:color="333333"/>
              <w:right w:val="nil"/>
            </w:tcBorders>
            <w:shd w:val="clear" w:color="auto" w:fill="auto"/>
            <w:noWrap/>
            <w:hideMark/>
          </w:tcPr>
          <w:p w:rsidR="00113D43" w:rsidRPr="00113D43" w:rsidRDefault="00113D43" w:rsidP="00113D43">
            <w:pPr>
              <w:spacing w:line="240" w:lineRule="auto"/>
              <w:jc w:val="left"/>
              <w:rPr>
                <w:b/>
                <w:bCs/>
                <w:color w:val="525252"/>
                <w:sz w:val="20"/>
                <w:szCs w:val="20"/>
                <w:lang w:val="lt-LT" w:eastAsia="lt-LT"/>
              </w:rPr>
            </w:pPr>
            <w:r w:rsidRPr="00113D43">
              <w:rPr>
                <w:b/>
                <w:bCs/>
                <w:color w:val="525252"/>
                <w:sz w:val="20"/>
                <w:szCs w:val="20"/>
                <w:lang w:val="lt-LT" w:eastAsia="lt-LT"/>
              </w:rPr>
              <w:t>Rūšis</w:t>
            </w:r>
          </w:p>
        </w:tc>
        <w:tc>
          <w:tcPr>
            <w:tcW w:w="792" w:type="dxa"/>
            <w:tcBorders>
              <w:top w:val="single" w:sz="12" w:space="0" w:color="333333"/>
              <w:left w:val="nil"/>
              <w:bottom w:val="single" w:sz="8" w:space="0" w:color="333333"/>
              <w:right w:val="nil"/>
            </w:tcBorders>
          </w:tcPr>
          <w:p w:rsidR="00113D43" w:rsidRPr="0006604A" w:rsidRDefault="00113D43" w:rsidP="00113D43">
            <w:pPr>
              <w:spacing w:line="240" w:lineRule="auto"/>
              <w:jc w:val="left"/>
              <w:rPr>
                <w:b/>
                <w:bCs/>
                <w:color w:val="525252"/>
                <w:sz w:val="20"/>
                <w:szCs w:val="20"/>
                <w:lang w:val="lt-LT" w:eastAsia="lt-LT"/>
              </w:rPr>
            </w:pPr>
            <w:r w:rsidRPr="0006604A">
              <w:rPr>
                <w:b/>
                <w:bCs/>
                <w:color w:val="525252"/>
                <w:sz w:val="20"/>
                <w:szCs w:val="20"/>
                <w:lang w:val="lt-LT" w:eastAsia="lt-LT"/>
              </w:rPr>
              <w:t>Karta</w:t>
            </w:r>
          </w:p>
        </w:tc>
      </w:tr>
      <w:tr w:rsidR="00113D43" w:rsidRPr="0006604A" w:rsidTr="00CB5AAB">
        <w:trPr>
          <w:trHeight w:val="300"/>
        </w:trPr>
        <w:tc>
          <w:tcPr>
            <w:tcW w:w="1304" w:type="dxa"/>
            <w:tcBorders>
              <w:top w:val="nil"/>
              <w:left w:val="nil"/>
              <w:bottom w:val="single" w:sz="4" w:space="0" w:color="auto"/>
              <w:right w:val="nil"/>
            </w:tcBorders>
            <w:shd w:val="clear" w:color="auto" w:fill="auto"/>
            <w:noWrap/>
            <w:hideMark/>
          </w:tcPr>
          <w:p w:rsidR="00113D43" w:rsidRPr="0006604A" w:rsidRDefault="00113D43" w:rsidP="00113D43">
            <w:pPr>
              <w:spacing w:line="240" w:lineRule="auto"/>
              <w:jc w:val="left"/>
              <w:rPr>
                <w:sz w:val="20"/>
                <w:szCs w:val="20"/>
                <w:lang w:val="lt-LT" w:eastAsia="lt-LT"/>
              </w:rPr>
            </w:pPr>
            <w:r w:rsidRPr="0006604A">
              <w:rPr>
                <w:sz w:val="20"/>
                <w:szCs w:val="20"/>
                <w:lang w:val="lt-LT" w:eastAsia="lt-LT"/>
              </w:rPr>
              <w:t>UNTSO</w:t>
            </w:r>
          </w:p>
        </w:tc>
        <w:tc>
          <w:tcPr>
            <w:tcW w:w="5273" w:type="dxa"/>
            <w:tcBorders>
              <w:top w:val="nil"/>
              <w:left w:val="nil"/>
              <w:bottom w:val="single" w:sz="4" w:space="0" w:color="auto"/>
              <w:right w:val="nil"/>
            </w:tcBorders>
            <w:shd w:val="clear" w:color="auto" w:fill="auto"/>
            <w:noWrap/>
            <w:hideMark/>
          </w:tcPr>
          <w:p w:rsidR="00113D43" w:rsidRPr="0006604A" w:rsidRDefault="00113D43" w:rsidP="00113D43">
            <w:pPr>
              <w:spacing w:line="240" w:lineRule="auto"/>
              <w:jc w:val="left"/>
              <w:rPr>
                <w:sz w:val="20"/>
                <w:szCs w:val="20"/>
                <w:lang w:val="lt-LT" w:eastAsia="lt-LT"/>
              </w:rPr>
            </w:pPr>
            <w:r w:rsidRPr="0006604A">
              <w:rPr>
                <w:sz w:val="20"/>
                <w:szCs w:val="20"/>
                <w:lang w:val="lt-LT" w:eastAsia="lt-LT"/>
              </w:rPr>
              <w:t>Jungtinių Tautų  paliaubų stebėjimo misija Viduriniuose Rytuose</w:t>
            </w:r>
          </w:p>
        </w:tc>
        <w:tc>
          <w:tcPr>
            <w:tcW w:w="907" w:type="dxa"/>
            <w:tcBorders>
              <w:top w:val="nil"/>
              <w:left w:val="nil"/>
              <w:bottom w:val="single" w:sz="4" w:space="0" w:color="auto"/>
              <w:right w:val="nil"/>
            </w:tcBorders>
            <w:shd w:val="clear" w:color="auto" w:fill="auto"/>
            <w:noWrap/>
            <w:hideMark/>
          </w:tcPr>
          <w:p w:rsidR="00113D43" w:rsidRPr="0006604A" w:rsidRDefault="00113D43" w:rsidP="00113D43">
            <w:pPr>
              <w:jc w:val="left"/>
              <w:rPr>
                <w:color w:val="333333"/>
                <w:sz w:val="20"/>
                <w:szCs w:val="20"/>
                <w:lang w:val="lt-LT"/>
              </w:rPr>
            </w:pPr>
            <w:r w:rsidRPr="0006604A">
              <w:rPr>
                <w:color w:val="333333"/>
                <w:sz w:val="20"/>
                <w:szCs w:val="20"/>
                <w:lang w:val="lt-LT"/>
              </w:rPr>
              <w:t>1948-05</w:t>
            </w:r>
          </w:p>
        </w:tc>
        <w:tc>
          <w:tcPr>
            <w:tcW w:w="1587" w:type="dxa"/>
            <w:tcBorders>
              <w:top w:val="nil"/>
              <w:left w:val="nil"/>
              <w:bottom w:val="single" w:sz="4" w:space="0" w:color="auto"/>
              <w:right w:val="nil"/>
            </w:tcBorders>
            <w:shd w:val="clear" w:color="auto" w:fill="auto"/>
            <w:noWrap/>
            <w:hideMark/>
          </w:tcPr>
          <w:p w:rsidR="00113D43" w:rsidRPr="0006604A" w:rsidRDefault="00113D43" w:rsidP="00113D43">
            <w:pPr>
              <w:spacing w:line="240" w:lineRule="auto"/>
              <w:jc w:val="left"/>
              <w:rPr>
                <w:sz w:val="20"/>
                <w:szCs w:val="20"/>
                <w:lang w:val="lt-LT" w:eastAsia="lt-LT"/>
              </w:rPr>
            </w:pPr>
            <w:r w:rsidRPr="0006604A">
              <w:rPr>
                <w:sz w:val="20"/>
                <w:szCs w:val="20"/>
                <w:lang w:val="lt-LT" w:eastAsia="lt-LT"/>
              </w:rPr>
              <w:t>tradicinė</w:t>
            </w:r>
          </w:p>
        </w:tc>
        <w:tc>
          <w:tcPr>
            <w:tcW w:w="792" w:type="dxa"/>
            <w:tcBorders>
              <w:top w:val="nil"/>
              <w:left w:val="nil"/>
              <w:bottom w:val="single" w:sz="4" w:space="0" w:color="auto"/>
              <w:right w:val="nil"/>
            </w:tcBorders>
          </w:tcPr>
          <w:p w:rsidR="00113D43" w:rsidRPr="0006604A" w:rsidRDefault="00024FF9" w:rsidP="005835DD">
            <w:pPr>
              <w:spacing w:line="240" w:lineRule="auto"/>
              <w:jc w:val="left"/>
              <w:rPr>
                <w:color w:val="333333"/>
                <w:sz w:val="20"/>
                <w:szCs w:val="20"/>
                <w:lang w:val="lt-LT" w:eastAsia="lt-LT"/>
              </w:rPr>
            </w:pPr>
            <w:r>
              <w:rPr>
                <w:color w:val="333333"/>
                <w:sz w:val="20"/>
                <w:szCs w:val="20"/>
                <w:lang w:val="lt-LT" w:eastAsia="lt-LT"/>
              </w:rPr>
              <w:t>pirma</w:t>
            </w:r>
          </w:p>
        </w:tc>
      </w:tr>
      <w:tr w:rsidR="00113D43" w:rsidRPr="0006604A" w:rsidTr="00CB5AAB">
        <w:trPr>
          <w:trHeight w:val="300"/>
        </w:trPr>
        <w:tc>
          <w:tcPr>
            <w:tcW w:w="1304"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spacing w:line="240" w:lineRule="auto"/>
              <w:jc w:val="left"/>
              <w:rPr>
                <w:sz w:val="20"/>
                <w:szCs w:val="20"/>
                <w:lang w:val="lt-LT" w:eastAsia="lt-LT"/>
              </w:rPr>
            </w:pPr>
            <w:r w:rsidRPr="0006604A">
              <w:rPr>
                <w:sz w:val="20"/>
                <w:szCs w:val="20"/>
                <w:lang w:val="lt-LT" w:eastAsia="lt-LT"/>
              </w:rPr>
              <w:t>UNMOGIP</w:t>
            </w:r>
          </w:p>
        </w:tc>
        <w:tc>
          <w:tcPr>
            <w:tcW w:w="5273"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spacing w:line="240" w:lineRule="auto"/>
              <w:jc w:val="left"/>
              <w:rPr>
                <w:sz w:val="20"/>
                <w:szCs w:val="20"/>
                <w:lang w:val="lt-LT" w:eastAsia="lt-LT"/>
              </w:rPr>
            </w:pPr>
            <w:r w:rsidRPr="0006604A">
              <w:rPr>
                <w:sz w:val="20"/>
                <w:szCs w:val="20"/>
                <w:lang w:val="lt-LT" w:eastAsia="lt-LT"/>
              </w:rPr>
              <w:t xml:space="preserve">Jungtinių Tautų  karinė stebėjimo grupė Indijoje ir Pakistane </w:t>
            </w:r>
          </w:p>
        </w:tc>
        <w:tc>
          <w:tcPr>
            <w:tcW w:w="907"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jc w:val="left"/>
              <w:rPr>
                <w:color w:val="333333"/>
                <w:sz w:val="20"/>
                <w:szCs w:val="20"/>
                <w:lang w:val="lt-LT"/>
              </w:rPr>
            </w:pPr>
            <w:r w:rsidRPr="0006604A">
              <w:rPr>
                <w:color w:val="333333"/>
                <w:sz w:val="20"/>
                <w:szCs w:val="20"/>
                <w:lang w:val="lt-LT"/>
              </w:rPr>
              <w:t>1949-01</w:t>
            </w:r>
          </w:p>
        </w:tc>
        <w:tc>
          <w:tcPr>
            <w:tcW w:w="1587"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spacing w:line="240" w:lineRule="auto"/>
              <w:jc w:val="left"/>
              <w:rPr>
                <w:sz w:val="20"/>
                <w:szCs w:val="20"/>
                <w:lang w:val="lt-LT" w:eastAsia="lt-LT"/>
              </w:rPr>
            </w:pPr>
            <w:r w:rsidRPr="0006604A">
              <w:rPr>
                <w:sz w:val="20"/>
                <w:szCs w:val="20"/>
                <w:lang w:val="lt-LT" w:eastAsia="lt-LT"/>
              </w:rPr>
              <w:t>tradicinė</w:t>
            </w:r>
          </w:p>
        </w:tc>
        <w:tc>
          <w:tcPr>
            <w:tcW w:w="792" w:type="dxa"/>
            <w:tcBorders>
              <w:top w:val="single" w:sz="4" w:space="0" w:color="auto"/>
              <w:left w:val="nil"/>
              <w:bottom w:val="single" w:sz="4" w:space="0" w:color="auto"/>
              <w:right w:val="nil"/>
            </w:tcBorders>
          </w:tcPr>
          <w:p w:rsidR="00113D43" w:rsidRPr="0006604A" w:rsidRDefault="00024FF9" w:rsidP="00113D43">
            <w:pPr>
              <w:spacing w:line="240" w:lineRule="auto"/>
              <w:jc w:val="left"/>
              <w:rPr>
                <w:sz w:val="20"/>
                <w:szCs w:val="20"/>
                <w:lang w:val="lt-LT" w:eastAsia="lt-LT"/>
              </w:rPr>
            </w:pPr>
            <w:r>
              <w:rPr>
                <w:sz w:val="20"/>
                <w:szCs w:val="20"/>
                <w:lang w:val="lt-LT" w:eastAsia="lt-LT"/>
              </w:rPr>
              <w:t>pirma</w:t>
            </w:r>
          </w:p>
        </w:tc>
      </w:tr>
      <w:tr w:rsidR="00113D43" w:rsidRPr="0006604A" w:rsidTr="00CB5AAB">
        <w:trPr>
          <w:trHeight w:val="300"/>
        </w:trPr>
        <w:tc>
          <w:tcPr>
            <w:tcW w:w="1304"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spacing w:line="240" w:lineRule="auto"/>
              <w:jc w:val="left"/>
              <w:rPr>
                <w:sz w:val="20"/>
                <w:szCs w:val="20"/>
                <w:lang w:val="lt-LT" w:eastAsia="lt-LT"/>
              </w:rPr>
            </w:pPr>
            <w:r w:rsidRPr="0006604A">
              <w:rPr>
                <w:sz w:val="20"/>
                <w:szCs w:val="20"/>
                <w:lang w:val="lt-LT" w:eastAsia="lt-LT"/>
              </w:rPr>
              <w:t>UNFICYP</w:t>
            </w:r>
          </w:p>
        </w:tc>
        <w:tc>
          <w:tcPr>
            <w:tcW w:w="5273"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spacing w:line="240" w:lineRule="auto"/>
              <w:jc w:val="left"/>
              <w:rPr>
                <w:sz w:val="20"/>
                <w:szCs w:val="20"/>
                <w:lang w:val="lt-LT" w:eastAsia="lt-LT"/>
              </w:rPr>
            </w:pPr>
            <w:r w:rsidRPr="0006604A">
              <w:rPr>
                <w:sz w:val="20"/>
                <w:szCs w:val="20"/>
                <w:lang w:val="lt-LT" w:eastAsia="lt-LT"/>
              </w:rPr>
              <w:t>Jungtinių Tautų taikos misijos pajėgos Kipre</w:t>
            </w:r>
          </w:p>
        </w:tc>
        <w:tc>
          <w:tcPr>
            <w:tcW w:w="907"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jc w:val="left"/>
              <w:rPr>
                <w:color w:val="333333"/>
                <w:sz w:val="20"/>
                <w:szCs w:val="20"/>
                <w:lang w:val="lt-LT"/>
              </w:rPr>
            </w:pPr>
            <w:r w:rsidRPr="0006604A">
              <w:rPr>
                <w:color w:val="333333"/>
                <w:sz w:val="20"/>
                <w:szCs w:val="20"/>
                <w:lang w:val="lt-LT"/>
              </w:rPr>
              <w:t>1964-03</w:t>
            </w:r>
          </w:p>
        </w:tc>
        <w:tc>
          <w:tcPr>
            <w:tcW w:w="1587"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spacing w:line="240" w:lineRule="auto"/>
              <w:jc w:val="left"/>
              <w:rPr>
                <w:sz w:val="20"/>
                <w:szCs w:val="20"/>
                <w:lang w:val="lt-LT" w:eastAsia="lt-LT"/>
              </w:rPr>
            </w:pPr>
            <w:r w:rsidRPr="0006604A">
              <w:rPr>
                <w:sz w:val="20"/>
                <w:szCs w:val="20"/>
                <w:lang w:val="lt-LT" w:eastAsia="lt-LT"/>
              </w:rPr>
              <w:t>tradicinė</w:t>
            </w:r>
          </w:p>
        </w:tc>
        <w:tc>
          <w:tcPr>
            <w:tcW w:w="792" w:type="dxa"/>
            <w:tcBorders>
              <w:top w:val="single" w:sz="4" w:space="0" w:color="auto"/>
              <w:left w:val="nil"/>
              <w:bottom w:val="single" w:sz="4" w:space="0" w:color="auto"/>
              <w:right w:val="nil"/>
            </w:tcBorders>
          </w:tcPr>
          <w:p w:rsidR="00113D43" w:rsidRPr="0006604A" w:rsidRDefault="00024FF9" w:rsidP="00113D43">
            <w:pPr>
              <w:spacing w:line="240" w:lineRule="auto"/>
              <w:jc w:val="left"/>
              <w:rPr>
                <w:sz w:val="20"/>
                <w:szCs w:val="20"/>
                <w:lang w:val="lt-LT" w:eastAsia="lt-LT"/>
              </w:rPr>
            </w:pPr>
            <w:r>
              <w:rPr>
                <w:sz w:val="20"/>
                <w:szCs w:val="20"/>
                <w:lang w:val="lt-LT" w:eastAsia="lt-LT"/>
              </w:rPr>
              <w:t>pirma</w:t>
            </w:r>
          </w:p>
        </w:tc>
      </w:tr>
      <w:tr w:rsidR="00113D43" w:rsidRPr="0006604A" w:rsidTr="00CB5AAB">
        <w:trPr>
          <w:trHeight w:val="300"/>
        </w:trPr>
        <w:tc>
          <w:tcPr>
            <w:tcW w:w="1304"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spacing w:line="240" w:lineRule="auto"/>
              <w:jc w:val="left"/>
              <w:rPr>
                <w:sz w:val="20"/>
                <w:szCs w:val="20"/>
                <w:lang w:val="lt-LT" w:eastAsia="lt-LT"/>
              </w:rPr>
            </w:pPr>
            <w:r w:rsidRPr="0006604A">
              <w:rPr>
                <w:sz w:val="20"/>
                <w:szCs w:val="20"/>
                <w:lang w:val="lt-LT" w:eastAsia="lt-LT"/>
              </w:rPr>
              <w:t>UNDOF</w:t>
            </w:r>
          </w:p>
        </w:tc>
        <w:tc>
          <w:tcPr>
            <w:tcW w:w="5273"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spacing w:line="240" w:lineRule="auto"/>
              <w:jc w:val="left"/>
              <w:rPr>
                <w:sz w:val="20"/>
                <w:szCs w:val="20"/>
                <w:lang w:val="lt-LT" w:eastAsia="lt-LT"/>
              </w:rPr>
            </w:pPr>
            <w:r w:rsidRPr="0006604A">
              <w:rPr>
                <w:sz w:val="20"/>
                <w:szCs w:val="20"/>
                <w:lang w:val="lt-LT" w:eastAsia="lt-LT"/>
              </w:rPr>
              <w:t>Jungtinių Tautų stebėjimo pajėgos Sirijoje</w:t>
            </w:r>
          </w:p>
        </w:tc>
        <w:tc>
          <w:tcPr>
            <w:tcW w:w="907"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jc w:val="left"/>
              <w:rPr>
                <w:color w:val="333333"/>
                <w:sz w:val="20"/>
                <w:szCs w:val="20"/>
                <w:lang w:val="lt-LT"/>
              </w:rPr>
            </w:pPr>
            <w:r w:rsidRPr="0006604A">
              <w:rPr>
                <w:color w:val="333333"/>
                <w:sz w:val="20"/>
                <w:szCs w:val="20"/>
                <w:lang w:val="lt-LT"/>
              </w:rPr>
              <w:t>1974-06</w:t>
            </w:r>
          </w:p>
        </w:tc>
        <w:tc>
          <w:tcPr>
            <w:tcW w:w="1587"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spacing w:line="240" w:lineRule="auto"/>
              <w:jc w:val="left"/>
              <w:rPr>
                <w:sz w:val="20"/>
                <w:szCs w:val="20"/>
                <w:lang w:val="lt-LT" w:eastAsia="lt-LT"/>
              </w:rPr>
            </w:pPr>
            <w:r w:rsidRPr="0006604A">
              <w:rPr>
                <w:sz w:val="20"/>
                <w:szCs w:val="20"/>
                <w:lang w:val="lt-LT" w:eastAsia="lt-LT"/>
              </w:rPr>
              <w:t>tradicinė</w:t>
            </w:r>
          </w:p>
        </w:tc>
        <w:tc>
          <w:tcPr>
            <w:tcW w:w="792" w:type="dxa"/>
            <w:tcBorders>
              <w:top w:val="single" w:sz="4" w:space="0" w:color="auto"/>
              <w:left w:val="nil"/>
              <w:bottom w:val="single" w:sz="4" w:space="0" w:color="auto"/>
              <w:right w:val="nil"/>
            </w:tcBorders>
          </w:tcPr>
          <w:p w:rsidR="00113D43" w:rsidRPr="0006604A" w:rsidRDefault="00024FF9" w:rsidP="00113D43">
            <w:pPr>
              <w:spacing w:line="240" w:lineRule="auto"/>
              <w:jc w:val="left"/>
              <w:rPr>
                <w:sz w:val="20"/>
                <w:szCs w:val="20"/>
                <w:lang w:val="lt-LT" w:eastAsia="lt-LT"/>
              </w:rPr>
            </w:pPr>
            <w:r>
              <w:rPr>
                <w:sz w:val="20"/>
                <w:szCs w:val="20"/>
                <w:lang w:val="lt-LT" w:eastAsia="lt-LT"/>
              </w:rPr>
              <w:t>pirma</w:t>
            </w:r>
          </w:p>
        </w:tc>
      </w:tr>
      <w:tr w:rsidR="00113D43" w:rsidRPr="0006604A" w:rsidTr="00CB5AAB">
        <w:trPr>
          <w:trHeight w:val="300"/>
        </w:trPr>
        <w:tc>
          <w:tcPr>
            <w:tcW w:w="1304"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spacing w:line="240" w:lineRule="auto"/>
              <w:jc w:val="left"/>
              <w:rPr>
                <w:sz w:val="20"/>
                <w:szCs w:val="20"/>
                <w:lang w:val="lt-LT" w:eastAsia="lt-LT"/>
              </w:rPr>
            </w:pPr>
            <w:r w:rsidRPr="0006604A">
              <w:rPr>
                <w:sz w:val="20"/>
                <w:szCs w:val="20"/>
                <w:lang w:val="lt-LT" w:eastAsia="lt-LT"/>
              </w:rPr>
              <w:t>UNIFIL</w:t>
            </w:r>
          </w:p>
        </w:tc>
        <w:tc>
          <w:tcPr>
            <w:tcW w:w="5273"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spacing w:line="240" w:lineRule="auto"/>
              <w:jc w:val="left"/>
              <w:rPr>
                <w:sz w:val="20"/>
                <w:szCs w:val="20"/>
                <w:lang w:val="lt-LT" w:eastAsia="lt-LT"/>
              </w:rPr>
            </w:pPr>
            <w:r w:rsidRPr="0006604A">
              <w:rPr>
                <w:sz w:val="20"/>
                <w:szCs w:val="20"/>
                <w:lang w:val="lt-LT" w:eastAsia="lt-LT"/>
              </w:rPr>
              <w:t>Jungtinių Tautų  misija  Libane</w:t>
            </w:r>
          </w:p>
        </w:tc>
        <w:tc>
          <w:tcPr>
            <w:tcW w:w="907"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jc w:val="left"/>
              <w:rPr>
                <w:color w:val="333333"/>
                <w:sz w:val="20"/>
                <w:szCs w:val="20"/>
                <w:lang w:val="lt-LT"/>
              </w:rPr>
            </w:pPr>
            <w:r w:rsidRPr="0006604A">
              <w:rPr>
                <w:color w:val="333333"/>
                <w:sz w:val="20"/>
                <w:szCs w:val="20"/>
                <w:lang w:val="lt-LT"/>
              </w:rPr>
              <w:t>1978-03</w:t>
            </w:r>
          </w:p>
        </w:tc>
        <w:tc>
          <w:tcPr>
            <w:tcW w:w="1587"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spacing w:line="240" w:lineRule="auto"/>
              <w:jc w:val="left"/>
              <w:rPr>
                <w:sz w:val="20"/>
                <w:szCs w:val="20"/>
                <w:lang w:val="lt-LT" w:eastAsia="lt-LT"/>
              </w:rPr>
            </w:pPr>
            <w:r w:rsidRPr="0006604A">
              <w:rPr>
                <w:sz w:val="20"/>
                <w:szCs w:val="20"/>
                <w:lang w:val="lt-LT" w:eastAsia="lt-LT"/>
              </w:rPr>
              <w:t>platesnio masto</w:t>
            </w:r>
          </w:p>
        </w:tc>
        <w:tc>
          <w:tcPr>
            <w:tcW w:w="792" w:type="dxa"/>
            <w:tcBorders>
              <w:top w:val="single" w:sz="4" w:space="0" w:color="auto"/>
              <w:left w:val="nil"/>
              <w:bottom w:val="single" w:sz="4" w:space="0" w:color="auto"/>
              <w:right w:val="nil"/>
            </w:tcBorders>
          </w:tcPr>
          <w:p w:rsidR="00113D43" w:rsidRPr="0006604A" w:rsidRDefault="00024FF9" w:rsidP="00113D43">
            <w:pPr>
              <w:spacing w:line="240" w:lineRule="auto"/>
              <w:jc w:val="left"/>
              <w:rPr>
                <w:sz w:val="20"/>
                <w:szCs w:val="20"/>
                <w:lang w:val="lt-LT" w:eastAsia="lt-LT"/>
              </w:rPr>
            </w:pPr>
            <w:r>
              <w:rPr>
                <w:sz w:val="20"/>
                <w:szCs w:val="20"/>
                <w:lang w:val="lt-LT" w:eastAsia="lt-LT"/>
              </w:rPr>
              <w:t>antra</w:t>
            </w:r>
          </w:p>
        </w:tc>
      </w:tr>
      <w:tr w:rsidR="00113D43" w:rsidRPr="0006604A" w:rsidTr="00CB5AAB">
        <w:trPr>
          <w:trHeight w:val="300"/>
        </w:trPr>
        <w:tc>
          <w:tcPr>
            <w:tcW w:w="1304"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spacing w:line="240" w:lineRule="auto"/>
              <w:jc w:val="left"/>
              <w:rPr>
                <w:sz w:val="20"/>
                <w:szCs w:val="20"/>
                <w:lang w:val="lt-LT" w:eastAsia="lt-LT"/>
              </w:rPr>
            </w:pPr>
            <w:r w:rsidRPr="0006604A">
              <w:rPr>
                <w:sz w:val="20"/>
                <w:szCs w:val="20"/>
                <w:lang w:val="lt-LT" w:eastAsia="lt-LT"/>
              </w:rPr>
              <w:t>MINURSO</w:t>
            </w:r>
          </w:p>
        </w:tc>
        <w:tc>
          <w:tcPr>
            <w:tcW w:w="5273"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spacing w:line="240" w:lineRule="auto"/>
              <w:jc w:val="left"/>
              <w:rPr>
                <w:sz w:val="20"/>
                <w:szCs w:val="20"/>
                <w:lang w:val="lt-LT" w:eastAsia="lt-LT"/>
              </w:rPr>
            </w:pPr>
            <w:r w:rsidRPr="0006604A">
              <w:rPr>
                <w:sz w:val="20"/>
                <w:szCs w:val="20"/>
                <w:lang w:val="lt-LT" w:eastAsia="lt-LT"/>
              </w:rPr>
              <w:t xml:space="preserve">Jungtinių Tautų misija Vakarų Sacharoje </w:t>
            </w:r>
          </w:p>
        </w:tc>
        <w:tc>
          <w:tcPr>
            <w:tcW w:w="907"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jc w:val="left"/>
              <w:rPr>
                <w:color w:val="333333"/>
                <w:sz w:val="20"/>
                <w:szCs w:val="20"/>
                <w:lang w:val="lt-LT"/>
              </w:rPr>
            </w:pPr>
            <w:r w:rsidRPr="0006604A">
              <w:rPr>
                <w:color w:val="333333"/>
                <w:sz w:val="20"/>
                <w:szCs w:val="20"/>
                <w:lang w:val="lt-LT"/>
              </w:rPr>
              <w:t>1991-04</w:t>
            </w:r>
          </w:p>
        </w:tc>
        <w:tc>
          <w:tcPr>
            <w:tcW w:w="1587"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spacing w:line="240" w:lineRule="auto"/>
              <w:jc w:val="left"/>
              <w:rPr>
                <w:sz w:val="20"/>
                <w:szCs w:val="20"/>
                <w:lang w:val="lt-LT" w:eastAsia="lt-LT"/>
              </w:rPr>
            </w:pPr>
            <w:r w:rsidRPr="0006604A">
              <w:rPr>
                <w:sz w:val="20"/>
                <w:szCs w:val="20"/>
                <w:lang w:val="lt-LT" w:eastAsia="lt-LT"/>
              </w:rPr>
              <w:t>platesnio masto</w:t>
            </w:r>
          </w:p>
        </w:tc>
        <w:tc>
          <w:tcPr>
            <w:tcW w:w="792" w:type="dxa"/>
            <w:tcBorders>
              <w:top w:val="single" w:sz="4" w:space="0" w:color="auto"/>
              <w:left w:val="nil"/>
              <w:bottom w:val="single" w:sz="4" w:space="0" w:color="auto"/>
              <w:right w:val="nil"/>
            </w:tcBorders>
          </w:tcPr>
          <w:p w:rsidR="00113D43" w:rsidRPr="0006604A" w:rsidRDefault="00024FF9" w:rsidP="00113D43">
            <w:pPr>
              <w:spacing w:line="240" w:lineRule="auto"/>
              <w:jc w:val="left"/>
              <w:rPr>
                <w:sz w:val="20"/>
                <w:szCs w:val="20"/>
                <w:lang w:val="lt-LT" w:eastAsia="lt-LT"/>
              </w:rPr>
            </w:pPr>
            <w:r>
              <w:rPr>
                <w:sz w:val="20"/>
                <w:szCs w:val="20"/>
                <w:lang w:val="lt-LT" w:eastAsia="lt-LT"/>
              </w:rPr>
              <w:t>antra</w:t>
            </w:r>
          </w:p>
        </w:tc>
      </w:tr>
      <w:tr w:rsidR="00113D43" w:rsidRPr="0006604A" w:rsidTr="00CB5AAB">
        <w:trPr>
          <w:trHeight w:val="300"/>
        </w:trPr>
        <w:tc>
          <w:tcPr>
            <w:tcW w:w="1304"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spacing w:line="240" w:lineRule="auto"/>
              <w:jc w:val="left"/>
              <w:rPr>
                <w:sz w:val="20"/>
                <w:szCs w:val="20"/>
                <w:lang w:val="lt-LT" w:eastAsia="lt-LT"/>
              </w:rPr>
            </w:pPr>
            <w:r w:rsidRPr="0006604A">
              <w:rPr>
                <w:sz w:val="20"/>
                <w:szCs w:val="20"/>
                <w:lang w:val="lt-LT" w:eastAsia="lt-LT"/>
              </w:rPr>
              <w:t>UNMIK</w:t>
            </w:r>
          </w:p>
        </w:tc>
        <w:tc>
          <w:tcPr>
            <w:tcW w:w="5273"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spacing w:line="240" w:lineRule="auto"/>
              <w:jc w:val="left"/>
              <w:rPr>
                <w:sz w:val="20"/>
                <w:szCs w:val="20"/>
                <w:lang w:val="lt-LT" w:eastAsia="lt-LT"/>
              </w:rPr>
            </w:pPr>
            <w:r w:rsidRPr="0006604A">
              <w:rPr>
                <w:sz w:val="20"/>
                <w:szCs w:val="20"/>
                <w:lang w:val="lt-LT" w:eastAsia="lt-LT"/>
              </w:rPr>
              <w:t xml:space="preserve">Jungtinių Tautų laikinosios administracijos misija Kosove </w:t>
            </w:r>
          </w:p>
        </w:tc>
        <w:tc>
          <w:tcPr>
            <w:tcW w:w="907"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jc w:val="left"/>
              <w:rPr>
                <w:color w:val="333333"/>
                <w:sz w:val="20"/>
                <w:szCs w:val="20"/>
                <w:lang w:val="lt-LT"/>
              </w:rPr>
            </w:pPr>
            <w:r w:rsidRPr="0006604A">
              <w:rPr>
                <w:color w:val="333333"/>
                <w:sz w:val="20"/>
                <w:szCs w:val="20"/>
                <w:lang w:val="lt-LT"/>
              </w:rPr>
              <w:t>1999-06</w:t>
            </w:r>
          </w:p>
        </w:tc>
        <w:tc>
          <w:tcPr>
            <w:tcW w:w="1587"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spacing w:line="240" w:lineRule="auto"/>
              <w:jc w:val="left"/>
              <w:rPr>
                <w:sz w:val="20"/>
                <w:szCs w:val="20"/>
                <w:lang w:val="lt-LT" w:eastAsia="lt-LT"/>
              </w:rPr>
            </w:pPr>
            <w:r w:rsidRPr="0006604A">
              <w:rPr>
                <w:sz w:val="20"/>
                <w:szCs w:val="20"/>
                <w:lang w:val="lt-LT" w:eastAsia="lt-LT"/>
              </w:rPr>
              <w:t>platesnio masto</w:t>
            </w:r>
          </w:p>
        </w:tc>
        <w:tc>
          <w:tcPr>
            <w:tcW w:w="792" w:type="dxa"/>
            <w:tcBorders>
              <w:top w:val="single" w:sz="4" w:space="0" w:color="auto"/>
              <w:left w:val="nil"/>
              <w:bottom w:val="single" w:sz="4" w:space="0" w:color="auto"/>
              <w:right w:val="nil"/>
            </w:tcBorders>
          </w:tcPr>
          <w:p w:rsidR="00113D43" w:rsidRPr="0006604A" w:rsidRDefault="00024FF9" w:rsidP="00113D43">
            <w:pPr>
              <w:spacing w:line="240" w:lineRule="auto"/>
              <w:jc w:val="left"/>
              <w:rPr>
                <w:sz w:val="20"/>
                <w:szCs w:val="20"/>
                <w:lang w:val="lt-LT" w:eastAsia="lt-LT"/>
              </w:rPr>
            </w:pPr>
            <w:r>
              <w:rPr>
                <w:sz w:val="20"/>
                <w:szCs w:val="20"/>
                <w:lang w:val="lt-LT" w:eastAsia="lt-LT"/>
              </w:rPr>
              <w:t>antra</w:t>
            </w:r>
          </w:p>
        </w:tc>
      </w:tr>
      <w:tr w:rsidR="00113D43" w:rsidRPr="0006604A" w:rsidTr="00CB5AAB">
        <w:trPr>
          <w:trHeight w:val="300"/>
        </w:trPr>
        <w:tc>
          <w:tcPr>
            <w:tcW w:w="1304"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spacing w:line="240" w:lineRule="auto"/>
              <w:jc w:val="left"/>
              <w:rPr>
                <w:sz w:val="20"/>
                <w:szCs w:val="20"/>
                <w:lang w:val="lt-LT" w:eastAsia="lt-LT"/>
              </w:rPr>
            </w:pPr>
            <w:r w:rsidRPr="0006604A">
              <w:rPr>
                <w:sz w:val="20"/>
                <w:szCs w:val="20"/>
                <w:lang w:val="lt-LT" w:eastAsia="lt-LT"/>
              </w:rPr>
              <w:t>UNMIL</w:t>
            </w:r>
          </w:p>
        </w:tc>
        <w:tc>
          <w:tcPr>
            <w:tcW w:w="5273"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spacing w:line="240" w:lineRule="auto"/>
              <w:jc w:val="left"/>
              <w:rPr>
                <w:sz w:val="20"/>
                <w:szCs w:val="20"/>
                <w:lang w:val="lt-LT" w:eastAsia="lt-LT"/>
              </w:rPr>
            </w:pPr>
            <w:r w:rsidRPr="0006604A">
              <w:rPr>
                <w:sz w:val="20"/>
                <w:szCs w:val="20"/>
                <w:lang w:val="lt-LT" w:eastAsia="lt-LT"/>
              </w:rPr>
              <w:t xml:space="preserve">Jungtinių Tautų  misija Liberijoje </w:t>
            </w:r>
          </w:p>
        </w:tc>
        <w:tc>
          <w:tcPr>
            <w:tcW w:w="907"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jc w:val="left"/>
              <w:rPr>
                <w:color w:val="333333"/>
                <w:sz w:val="20"/>
                <w:szCs w:val="20"/>
                <w:lang w:val="lt-LT"/>
              </w:rPr>
            </w:pPr>
            <w:r w:rsidRPr="0006604A">
              <w:rPr>
                <w:color w:val="333333"/>
                <w:sz w:val="20"/>
                <w:szCs w:val="20"/>
                <w:lang w:val="lt-LT"/>
              </w:rPr>
              <w:t>2003-09</w:t>
            </w:r>
          </w:p>
        </w:tc>
        <w:tc>
          <w:tcPr>
            <w:tcW w:w="1587"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spacing w:line="240" w:lineRule="auto"/>
              <w:jc w:val="left"/>
              <w:rPr>
                <w:sz w:val="20"/>
                <w:szCs w:val="20"/>
                <w:lang w:val="lt-LT" w:eastAsia="lt-LT"/>
              </w:rPr>
            </w:pPr>
            <w:r w:rsidRPr="0006604A">
              <w:rPr>
                <w:sz w:val="20"/>
                <w:szCs w:val="20"/>
                <w:lang w:val="lt-LT" w:eastAsia="lt-LT"/>
              </w:rPr>
              <w:t>platesnio masto</w:t>
            </w:r>
          </w:p>
        </w:tc>
        <w:tc>
          <w:tcPr>
            <w:tcW w:w="792" w:type="dxa"/>
            <w:tcBorders>
              <w:top w:val="single" w:sz="4" w:space="0" w:color="auto"/>
              <w:left w:val="nil"/>
              <w:bottom w:val="single" w:sz="4" w:space="0" w:color="auto"/>
              <w:right w:val="nil"/>
            </w:tcBorders>
          </w:tcPr>
          <w:p w:rsidR="00113D43" w:rsidRPr="0006604A" w:rsidRDefault="00024FF9" w:rsidP="00113D43">
            <w:pPr>
              <w:spacing w:line="240" w:lineRule="auto"/>
              <w:jc w:val="left"/>
              <w:rPr>
                <w:sz w:val="20"/>
                <w:szCs w:val="20"/>
                <w:lang w:val="lt-LT" w:eastAsia="lt-LT"/>
              </w:rPr>
            </w:pPr>
            <w:r>
              <w:rPr>
                <w:sz w:val="20"/>
                <w:szCs w:val="20"/>
                <w:lang w:val="lt-LT" w:eastAsia="lt-LT"/>
              </w:rPr>
              <w:t>antra</w:t>
            </w:r>
          </w:p>
        </w:tc>
      </w:tr>
      <w:tr w:rsidR="00113D43" w:rsidRPr="0006604A" w:rsidTr="00CB5AAB">
        <w:trPr>
          <w:trHeight w:val="300"/>
        </w:trPr>
        <w:tc>
          <w:tcPr>
            <w:tcW w:w="1304"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spacing w:line="240" w:lineRule="auto"/>
              <w:jc w:val="left"/>
              <w:rPr>
                <w:sz w:val="20"/>
                <w:szCs w:val="20"/>
                <w:lang w:val="lt-LT" w:eastAsia="lt-LT"/>
              </w:rPr>
            </w:pPr>
            <w:r w:rsidRPr="0006604A">
              <w:rPr>
                <w:sz w:val="20"/>
                <w:szCs w:val="20"/>
                <w:lang w:val="lt-LT" w:eastAsia="lt-LT"/>
              </w:rPr>
              <w:lastRenderedPageBreak/>
              <w:t>UNOCI</w:t>
            </w:r>
          </w:p>
        </w:tc>
        <w:tc>
          <w:tcPr>
            <w:tcW w:w="5273"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spacing w:line="240" w:lineRule="auto"/>
              <w:jc w:val="left"/>
              <w:rPr>
                <w:sz w:val="20"/>
                <w:szCs w:val="20"/>
                <w:lang w:val="lt-LT" w:eastAsia="lt-LT"/>
              </w:rPr>
            </w:pPr>
            <w:r w:rsidRPr="0006604A">
              <w:rPr>
                <w:sz w:val="20"/>
                <w:szCs w:val="20"/>
                <w:lang w:val="lt-LT" w:eastAsia="lt-LT"/>
              </w:rPr>
              <w:t xml:space="preserve">Jungtinių Tautų operacija Dramblio Kaulo Krante </w:t>
            </w:r>
          </w:p>
        </w:tc>
        <w:tc>
          <w:tcPr>
            <w:tcW w:w="907"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jc w:val="left"/>
              <w:rPr>
                <w:color w:val="333333"/>
                <w:sz w:val="20"/>
                <w:szCs w:val="20"/>
                <w:lang w:val="lt-LT"/>
              </w:rPr>
            </w:pPr>
            <w:r w:rsidRPr="0006604A">
              <w:rPr>
                <w:color w:val="333333"/>
                <w:sz w:val="20"/>
                <w:szCs w:val="20"/>
                <w:lang w:val="lt-LT"/>
              </w:rPr>
              <w:t>2004-04</w:t>
            </w:r>
          </w:p>
        </w:tc>
        <w:tc>
          <w:tcPr>
            <w:tcW w:w="1587"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spacing w:line="240" w:lineRule="auto"/>
              <w:jc w:val="left"/>
              <w:rPr>
                <w:sz w:val="20"/>
                <w:szCs w:val="20"/>
                <w:lang w:val="lt-LT" w:eastAsia="lt-LT"/>
              </w:rPr>
            </w:pPr>
            <w:r w:rsidRPr="0006604A">
              <w:rPr>
                <w:sz w:val="20"/>
                <w:szCs w:val="20"/>
                <w:lang w:val="lt-LT" w:eastAsia="lt-LT"/>
              </w:rPr>
              <w:t>platesnio masto</w:t>
            </w:r>
          </w:p>
        </w:tc>
        <w:tc>
          <w:tcPr>
            <w:tcW w:w="792" w:type="dxa"/>
            <w:tcBorders>
              <w:top w:val="single" w:sz="4" w:space="0" w:color="auto"/>
              <w:left w:val="nil"/>
              <w:bottom w:val="single" w:sz="4" w:space="0" w:color="auto"/>
              <w:right w:val="nil"/>
            </w:tcBorders>
          </w:tcPr>
          <w:p w:rsidR="00113D43" w:rsidRPr="0006604A" w:rsidRDefault="00024FF9" w:rsidP="00113D43">
            <w:pPr>
              <w:spacing w:line="240" w:lineRule="auto"/>
              <w:jc w:val="left"/>
              <w:rPr>
                <w:sz w:val="20"/>
                <w:szCs w:val="20"/>
                <w:lang w:val="lt-LT" w:eastAsia="lt-LT"/>
              </w:rPr>
            </w:pPr>
            <w:r>
              <w:rPr>
                <w:sz w:val="20"/>
                <w:szCs w:val="20"/>
                <w:lang w:val="lt-LT" w:eastAsia="lt-LT"/>
              </w:rPr>
              <w:t>antra</w:t>
            </w:r>
          </w:p>
        </w:tc>
      </w:tr>
      <w:tr w:rsidR="00113D43" w:rsidRPr="0006604A" w:rsidTr="00CB5AAB">
        <w:trPr>
          <w:trHeight w:val="300"/>
        </w:trPr>
        <w:tc>
          <w:tcPr>
            <w:tcW w:w="1304"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spacing w:line="240" w:lineRule="auto"/>
              <w:jc w:val="left"/>
              <w:rPr>
                <w:sz w:val="20"/>
                <w:szCs w:val="20"/>
                <w:lang w:val="lt-LT" w:eastAsia="lt-LT"/>
              </w:rPr>
            </w:pPr>
            <w:r w:rsidRPr="0006604A">
              <w:rPr>
                <w:sz w:val="20"/>
                <w:szCs w:val="20"/>
                <w:lang w:val="lt-LT" w:eastAsia="lt-LT"/>
              </w:rPr>
              <w:t>MINUSTAH</w:t>
            </w:r>
          </w:p>
        </w:tc>
        <w:tc>
          <w:tcPr>
            <w:tcW w:w="5273"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spacing w:line="240" w:lineRule="auto"/>
              <w:jc w:val="left"/>
              <w:rPr>
                <w:sz w:val="20"/>
                <w:szCs w:val="20"/>
                <w:lang w:val="lt-LT" w:eastAsia="lt-LT"/>
              </w:rPr>
            </w:pPr>
            <w:r w:rsidRPr="0006604A">
              <w:rPr>
                <w:sz w:val="20"/>
                <w:szCs w:val="20"/>
                <w:lang w:val="lt-LT" w:eastAsia="lt-LT"/>
              </w:rPr>
              <w:t xml:space="preserve">Jungtinių Tautų stabilizavimo misija Haityje </w:t>
            </w:r>
          </w:p>
        </w:tc>
        <w:tc>
          <w:tcPr>
            <w:tcW w:w="907"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jc w:val="left"/>
              <w:rPr>
                <w:color w:val="333333"/>
                <w:sz w:val="20"/>
                <w:szCs w:val="20"/>
                <w:lang w:val="lt-LT"/>
              </w:rPr>
            </w:pPr>
            <w:r w:rsidRPr="0006604A">
              <w:rPr>
                <w:color w:val="333333"/>
                <w:sz w:val="20"/>
                <w:szCs w:val="20"/>
                <w:lang w:val="lt-LT"/>
              </w:rPr>
              <w:t>2004-06</w:t>
            </w:r>
          </w:p>
        </w:tc>
        <w:tc>
          <w:tcPr>
            <w:tcW w:w="1587"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spacing w:line="240" w:lineRule="auto"/>
              <w:jc w:val="left"/>
              <w:rPr>
                <w:sz w:val="20"/>
                <w:szCs w:val="20"/>
                <w:lang w:val="lt-LT" w:eastAsia="lt-LT"/>
              </w:rPr>
            </w:pPr>
            <w:r w:rsidRPr="0006604A">
              <w:rPr>
                <w:sz w:val="20"/>
                <w:szCs w:val="20"/>
                <w:lang w:val="lt-LT" w:eastAsia="lt-LT"/>
              </w:rPr>
              <w:t>platesnio masto</w:t>
            </w:r>
          </w:p>
        </w:tc>
        <w:tc>
          <w:tcPr>
            <w:tcW w:w="792" w:type="dxa"/>
            <w:tcBorders>
              <w:top w:val="single" w:sz="4" w:space="0" w:color="auto"/>
              <w:left w:val="nil"/>
              <w:bottom w:val="single" w:sz="4" w:space="0" w:color="auto"/>
              <w:right w:val="nil"/>
            </w:tcBorders>
          </w:tcPr>
          <w:p w:rsidR="00113D43" w:rsidRPr="0006604A" w:rsidRDefault="00024FF9" w:rsidP="00113D43">
            <w:pPr>
              <w:spacing w:line="240" w:lineRule="auto"/>
              <w:jc w:val="left"/>
              <w:rPr>
                <w:sz w:val="20"/>
                <w:szCs w:val="20"/>
                <w:lang w:val="lt-LT" w:eastAsia="lt-LT"/>
              </w:rPr>
            </w:pPr>
            <w:r>
              <w:rPr>
                <w:sz w:val="20"/>
                <w:szCs w:val="20"/>
                <w:lang w:val="lt-LT" w:eastAsia="lt-LT"/>
              </w:rPr>
              <w:t>antra</w:t>
            </w:r>
          </w:p>
        </w:tc>
      </w:tr>
      <w:tr w:rsidR="00113D43" w:rsidRPr="0006604A" w:rsidTr="00CB5AAB">
        <w:trPr>
          <w:trHeight w:val="300"/>
        </w:trPr>
        <w:tc>
          <w:tcPr>
            <w:tcW w:w="1304"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spacing w:line="240" w:lineRule="auto"/>
              <w:jc w:val="left"/>
              <w:rPr>
                <w:sz w:val="20"/>
                <w:szCs w:val="20"/>
                <w:lang w:val="lt-LT" w:eastAsia="lt-LT"/>
              </w:rPr>
            </w:pPr>
            <w:r w:rsidRPr="0006604A">
              <w:rPr>
                <w:sz w:val="20"/>
                <w:szCs w:val="20"/>
                <w:lang w:val="lt-LT" w:eastAsia="lt-LT"/>
              </w:rPr>
              <w:t>UNMIS</w:t>
            </w:r>
          </w:p>
        </w:tc>
        <w:tc>
          <w:tcPr>
            <w:tcW w:w="5273"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spacing w:line="240" w:lineRule="auto"/>
              <w:jc w:val="left"/>
              <w:rPr>
                <w:sz w:val="20"/>
                <w:szCs w:val="20"/>
                <w:lang w:val="lt-LT" w:eastAsia="lt-LT"/>
              </w:rPr>
            </w:pPr>
            <w:r w:rsidRPr="0006604A">
              <w:rPr>
                <w:sz w:val="20"/>
                <w:szCs w:val="20"/>
                <w:lang w:val="lt-LT" w:eastAsia="lt-LT"/>
              </w:rPr>
              <w:t xml:space="preserve">Jungtinų Tautų misija Sudane  </w:t>
            </w:r>
          </w:p>
        </w:tc>
        <w:tc>
          <w:tcPr>
            <w:tcW w:w="907"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jc w:val="left"/>
              <w:rPr>
                <w:color w:val="333333"/>
                <w:sz w:val="20"/>
                <w:szCs w:val="20"/>
                <w:lang w:val="lt-LT"/>
              </w:rPr>
            </w:pPr>
            <w:r w:rsidRPr="0006604A">
              <w:rPr>
                <w:color w:val="333333"/>
                <w:sz w:val="20"/>
                <w:szCs w:val="20"/>
                <w:lang w:val="lt-LT"/>
              </w:rPr>
              <w:t>2005-03</w:t>
            </w:r>
          </w:p>
        </w:tc>
        <w:tc>
          <w:tcPr>
            <w:tcW w:w="1587"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spacing w:line="240" w:lineRule="auto"/>
              <w:jc w:val="left"/>
              <w:rPr>
                <w:sz w:val="20"/>
                <w:szCs w:val="20"/>
                <w:lang w:val="lt-LT" w:eastAsia="lt-LT"/>
              </w:rPr>
            </w:pPr>
            <w:r w:rsidRPr="0006604A">
              <w:rPr>
                <w:sz w:val="20"/>
                <w:szCs w:val="20"/>
                <w:lang w:val="lt-LT" w:eastAsia="lt-LT"/>
              </w:rPr>
              <w:t>platesnio masto</w:t>
            </w:r>
          </w:p>
        </w:tc>
        <w:tc>
          <w:tcPr>
            <w:tcW w:w="792" w:type="dxa"/>
            <w:tcBorders>
              <w:top w:val="single" w:sz="4" w:space="0" w:color="auto"/>
              <w:left w:val="nil"/>
              <w:bottom w:val="single" w:sz="4" w:space="0" w:color="auto"/>
              <w:right w:val="nil"/>
            </w:tcBorders>
          </w:tcPr>
          <w:p w:rsidR="00113D43" w:rsidRPr="0006604A" w:rsidRDefault="00024FF9" w:rsidP="00113D43">
            <w:pPr>
              <w:spacing w:line="240" w:lineRule="auto"/>
              <w:jc w:val="left"/>
              <w:rPr>
                <w:sz w:val="20"/>
                <w:szCs w:val="20"/>
                <w:lang w:val="lt-LT" w:eastAsia="lt-LT"/>
              </w:rPr>
            </w:pPr>
            <w:r>
              <w:rPr>
                <w:sz w:val="20"/>
                <w:szCs w:val="20"/>
                <w:lang w:val="lt-LT" w:eastAsia="lt-LT"/>
              </w:rPr>
              <w:t>antra</w:t>
            </w:r>
          </w:p>
        </w:tc>
      </w:tr>
      <w:tr w:rsidR="00113D43" w:rsidRPr="0006604A" w:rsidTr="00CB5AAB">
        <w:trPr>
          <w:trHeight w:val="300"/>
        </w:trPr>
        <w:tc>
          <w:tcPr>
            <w:tcW w:w="1304"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spacing w:line="240" w:lineRule="auto"/>
              <w:jc w:val="left"/>
              <w:rPr>
                <w:sz w:val="20"/>
                <w:szCs w:val="20"/>
                <w:lang w:val="lt-LT" w:eastAsia="lt-LT"/>
              </w:rPr>
            </w:pPr>
            <w:r w:rsidRPr="0006604A">
              <w:rPr>
                <w:sz w:val="20"/>
                <w:szCs w:val="20"/>
                <w:lang w:val="lt-LT" w:eastAsia="lt-LT"/>
              </w:rPr>
              <w:t>UNMIT</w:t>
            </w:r>
          </w:p>
        </w:tc>
        <w:tc>
          <w:tcPr>
            <w:tcW w:w="5273"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spacing w:line="240" w:lineRule="auto"/>
              <w:jc w:val="left"/>
              <w:rPr>
                <w:sz w:val="20"/>
                <w:szCs w:val="20"/>
                <w:lang w:val="lt-LT" w:eastAsia="lt-LT"/>
              </w:rPr>
            </w:pPr>
            <w:r w:rsidRPr="0006604A">
              <w:rPr>
                <w:sz w:val="20"/>
                <w:szCs w:val="20"/>
                <w:lang w:val="lt-LT" w:eastAsia="lt-LT"/>
              </w:rPr>
              <w:t xml:space="preserve">Jungtinių Tautų  integruota misija Timor-Leste </w:t>
            </w:r>
          </w:p>
        </w:tc>
        <w:tc>
          <w:tcPr>
            <w:tcW w:w="907"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jc w:val="left"/>
              <w:rPr>
                <w:color w:val="333333"/>
                <w:sz w:val="20"/>
                <w:szCs w:val="20"/>
                <w:lang w:val="lt-LT"/>
              </w:rPr>
            </w:pPr>
            <w:r w:rsidRPr="0006604A">
              <w:rPr>
                <w:color w:val="333333"/>
                <w:sz w:val="20"/>
                <w:szCs w:val="20"/>
                <w:lang w:val="lt-LT"/>
              </w:rPr>
              <w:t>2006-08</w:t>
            </w:r>
          </w:p>
        </w:tc>
        <w:tc>
          <w:tcPr>
            <w:tcW w:w="1587"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spacing w:line="240" w:lineRule="auto"/>
              <w:jc w:val="left"/>
              <w:rPr>
                <w:sz w:val="20"/>
                <w:szCs w:val="20"/>
                <w:lang w:val="lt-LT" w:eastAsia="lt-LT"/>
              </w:rPr>
            </w:pPr>
            <w:r w:rsidRPr="0006604A">
              <w:rPr>
                <w:sz w:val="20"/>
                <w:szCs w:val="20"/>
                <w:lang w:val="lt-LT" w:eastAsia="lt-LT"/>
              </w:rPr>
              <w:t>platesnio masto</w:t>
            </w:r>
          </w:p>
        </w:tc>
        <w:tc>
          <w:tcPr>
            <w:tcW w:w="792" w:type="dxa"/>
            <w:tcBorders>
              <w:top w:val="single" w:sz="4" w:space="0" w:color="auto"/>
              <w:left w:val="nil"/>
              <w:bottom w:val="single" w:sz="4" w:space="0" w:color="auto"/>
              <w:right w:val="nil"/>
            </w:tcBorders>
          </w:tcPr>
          <w:p w:rsidR="00113D43" w:rsidRPr="0006604A" w:rsidRDefault="00024FF9" w:rsidP="00113D43">
            <w:pPr>
              <w:spacing w:line="240" w:lineRule="auto"/>
              <w:jc w:val="left"/>
              <w:rPr>
                <w:sz w:val="20"/>
                <w:szCs w:val="20"/>
                <w:lang w:val="lt-LT" w:eastAsia="lt-LT"/>
              </w:rPr>
            </w:pPr>
            <w:r>
              <w:rPr>
                <w:sz w:val="20"/>
                <w:szCs w:val="20"/>
                <w:lang w:val="lt-LT" w:eastAsia="lt-LT"/>
              </w:rPr>
              <w:t>antra</w:t>
            </w:r>
          </w:p>
        </w:tc>
      </w:tr>
      <w:tr w:rsidR="00113D43" w:rsidRPr="0006604A" w:rsidTr="00CB5AAB">
        <w:trPr>
          <w:trHeight w:val="300"/>
        </w:trPr>
        <w:tc>
          <w:tcPr>
            <w:tcW w:w="1304"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spacing w:line="240" w:lineRule="auto"/>
              <w:jc w:val="left"/>
              <w:rPr>
                <w:sz w:val="20"/>
                <w:szCs w:val="20"/>
                <w:lang w:val="lt-LT" w:eastAsia="lt-LT"/>
              </w:rPr>
            </w:pPr>
            <w:r w:rsidRPr="0006604A">
              <w:rPr>
                <w:sz w:val="20"/>
                <w:szCs w:val="20"/>
                <w:lang w:val="lt-LT" w:eastAsia="lt-LT"/>
              </w:rPr>
              <w:t>UNAMID</w:t>
            </w:r>
          </w:p>
        </w:tc>
        <w:tc>
          <w:tcPr>
            <w:tcW w:w="5273"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spacing w:line="240" w:lineRule="auto"/>
              <w:jc w:val="left"/>
              <w:rPr>
                <w:sz w:val="20"/>
                <w:szCs w:val="20"/>
                <w:lang w:val="lt-LT" w:eastAsia="lt-LT"/>
              </w:rPr>
            </w:pPr>
            <w:r w:rsidRPr="0006604A">
              <w:rPr>
                <w:sz w:val="20"/>
                <w:szCs w:val="20"/>
                <w:lang w:val="lt-LT" w:eastAsia="lt-LT"/>
              </w:rPr>
              <w:t>Afrikos Sąjungos-Jungtinių Tautų hibridinė operacija Darfure</w:t>
            </w:r>
          </w:p>
        </w:tc>
        <w:tc>
          <w:tcPr>
            <w:tcW w:w="907"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jc w:val="left"/>
              <w:rPr>
                <w:color w:val="333333"/>
                <w:sz w:val="20"/>
                <w:szCs w:val="20"/>
                <w:lang w:val="lt-LT"/>
              </w:rPr>
            </w:pPr>
            <w:r w:rsidRPr="0006604A">
              <w:rPr>
                <w:color w:val="333333"/>
                <w:sz w:val="20"/>
                <w:szCs w:val="20"/>
                <w:lang w:val="lt-LT"/>
              </w:rPr>
              <w:t>2007-07</w:t>
            </w:r>
          </w:p>
        </w:tc>
        <w:tc>
          <w:tcPr>
            <w:tcW w:w="1587"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spacing w:line="240" w:lineRule="auto"/>
              <w:jc w:val="left"/>
              <w:rPr>
                <w:sz w:val="20"/>
                <w:szCs w:val="20"/>
                <w:lang w:val="lt-LT" w:eastAsia="lt-LT"/>
              </w:rPr>
            </w:pPr>
            <w:r w:rsidRPr="0006604A">
              <w:rPr>
                <w:sz w:val="20"/>
                <w:szCs w:val="20"/>
                <w:lang w:val="lt-LT" w:eastAsia="lt-LT"/>
              </w:rPr>
              <w:t>platesnio masto</w:t>
            </w:r>
          </w:p>
        </w:tc>
        <w:tc>
          <w:tcPr>
            <w:tcW w:w="792" w:type="dxa"/>
            <w:tcBorders>
              <w:top w:val="single" w:sz="4" w:space="0" w:color="auto"/>
              <w:left w:val="nil"/>
              <w:bottom w:val="single" w:sz="4" w:space="0" w:color="auto"/>
              <w:right w:val="nil"/>
            </w:tcBorders>
          </w:tcPr>
          <w:p w:rsidR="00113D43" w:rsidRPr="0006604A" w:rsidRDefault="00024FF9" w:rsidP="00113D43">
            <w:pPr>
              <w:spacing w:line="240" w:lineRule="auto"/>
              <w:jc w:val="left"/>
              <w:rPr>
                <w:sz w:val="20"/>
                <w:szCs w:val="20"/>
                <w:lang w:val="lt-LT" w:eastAsia="lt-LT"/>
              </w:rPr>
            </w:pPr>
            <w:r>
              <w:rPr>
                <w:sz w:val="20"/>
                <w:szCs w:val="20"/>
                <w:lang w:val="lt-LT" w:eastAsia="lt-LT"/>
              </w:rPr>
              <w:t>antra</w:t>
            </w:r>
          </w:p>
        </w:tc>
      </w:tr>
      <w:tr w:rsidR="00113D43" w:rsidRPr="0006604A" w:rsidTr="00CB5AAB">
        <w:trPr>
          <w:trHeight w:val="300"/>
        </w:trPr>
        <w:tc>
          <w:tcPr>
            <w:tcW w:w="1304"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spacing w:line="240" w:lineRule="auto"/>
              <w:jc w:val="left"/>
              <w:rPr>
                <w:sz w:val="20"/>
                <w:szCs w:val="20"/>
                <w:lang w:val="lt-LT" w:eastAsia="lt-LT"/>
              </w:rPr>
            </w:pPr>
            <w:r w:rsidRPr="0006604A">
              <w:rPr>
                <w:sz w:val="20"/>
                <w:szCs w:val="20"/>
                <w:lang w:val="lt-LT" w:eastAsia="lt-LT"/>
              </w:rPr>
              <w:t>MINURCAT</w:t>
            </w:r>
          </w:p>
        </w:tc>
        <w:tc>
          <w:tcPr>
            <w:tcW w:w="5273"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spacing w:line="240" w:lineRule="auto"/>
              <w:jc w:val="left"/>
              <w:rPr>
                <w:sz w:val="20"/>
                <w:szCs w:val="20"/>
                <w:lang w:val="lt-LT" w:eastAsia="lt-LT"/>
              </w:rPr>
            </w:pPr>
            <w:r w:rsidRPr="0006604A">
              <w:rPr>
                <w:sz w:val="20"/>
                <w:szCs w:val="20"/>
                <w:lang w:val="lt-LT" w:eastAsia="lt-LT"/>
              </w:rPr>
              <w:t xml:space="preserve">Jungtinių Tautų  misija Centrinėje Afrikos Respublikoje ir Čade </w:t>
            </w:r>
          </w:p>
        </w:tc>
        <w:tc>
          <w:tcPr>
            <w:tcW w:w="907"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jc w:val="left"/>
              <w:rPr>
                <w:color w:val="333333"/>
                <w:sz w:val="20"/>
                <w:szCs w:val="20"/>
                <w:lang w:val="lt-LT"/>
              </w:rPr>
            </w:pPr>
            <w:r w:rsidRPr="0006604A">
              <w:rPr>
                <w:color w:val="333333"/>
                <w:sz w:val="20"/>
                <w:szCs w:val="20"/>
                <w:lang w:val="lt-LT"/>
              </w:rPr>
              <w:t>2007-09</w:t>
            </w:r>
          </w:p>
        </w:tc>
        <w:tc>
          <w:tcPr>
            <w:tcW w:w="1587"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spacing w:line="240" w:lineRule="auto"/>
              <w:jc w:val="left"/>
              <w:rPr>
                <w:sz w:val="20"/>
                <w:szCs w:val="20"/>
                <w:lang w:val="lt-LT" w:eastAsia="lt-LT"/>
              </w:rPr>
            </w:pPr>
            <w:r w:rsidRPr="0006604A">
              <w:rPr>
                <w:sz w:val="20"/>
                <w:szCs w:val="20"/>
                <w:lang w:val="lt-LT" w:eastAsia="lt-LT"/>
              </w:rPr>
              <w:t>platesnio masto</w:t>
            </w:r>
          </w:p>
        </w:tc>
        <w:tc>
          <w:tcPr>
            <w:tcW w:w="792" w:type="dxa"/>
            <w:tcBorders>
              <w:top w:val="single" w:sz="4" w:space="0" w:color="auto"/>
              <w:left w:val="nil"/>
              <w:bottom w:val="single" w:sz="4" w:space="0" w:color="auto"/>
              <w:right w:val="nil"/>
            </w:tcBorders>
          </w:tcPr>
          <w:p w:rsidR="00113D43" w:rsidRPr="0006604A" w:rsidRDefault="00024FF9" w:rsidP="00113D43">
            <w:pPr>
              <w:spacing w:line="240" w:lineRule="auto"/>
              <w:jc w:val="left"/>
              <w:rPr>
                <w:sz w:val="20"/>
                <w:szCs w:val="20"/>
                <w:lang w:val="lt-LT" w:eastAsia="lt-LT"/>
              </w:rPr>
            </w:pPr>
            <w:r>
              <w:rPr>
                <w:sz w:val="20"/>
                <w:szCs w:val="20"/>
                <w:lang w:val="lt-LT" w:eastAsia="lt-LT"/>
              </w:rPr>
              <w:t>antra</w:t>
            </w:r>
          </w:p>
        </w:tc>
      </w:tr>
      <w:tr w:rsidR="00113D43" w:rsidRPr="0006604A" w:rsidTr="00CB5AAB">
        <w:trPr>
          <w:trHeight w:val="300"/>
        </w:trPr>
        <w:tc>
          <w:tcPr>
            <w:tcW w:w="1304"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spacing w:line="240" w:lineRule="auto"/>
              <w:jc w:val="left"/>
              <w:rPr>
                <w:sz w:val="20"/>
                <w:szCs w:val="20"/>
                <w:lang w:val="lt-LT" w:eastAsia="lt-LT"/>
              </w:rPr>
            </w:pPr>
            <w:r w:rsidRPr="0006604A">
              <w:rPr>
                <w:sz w:val="20"/>
                <w:szCs w:val="20"/>
                <w:lang w:val="lt-LT" w:eastAsia="lt-LT"/>
              </w:rPr>
              <w:t>MONUSCO</w:t>
            </w:r>
          </w:p>
        </w:tc>
        <w:tc>
          <w:tcPr>
            <w:tcW w:w="5273"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spacing w:line="240" w:lineRule="auto"/>
              <w:jc w:val="left"/>
              <w:rPr>
                <w:sz w:val="20"/>
                <w:szCs w:val="20"/>
                <w:lang w:val="lt-LT" w:eastAsia="lt-LT"/>
              </w:rPr>
            </w:pPr>
            <w:r w:rsidRPr="0006604A">
              <w:rPr>
                <w:sz w:val="20"/>
                <w:szCs w:val="20"/>
                <w:lang w:val="lt-LT" w:eastAsia="lt-LT"/>
              </w:rPr>
              <w:t xml:space="preserve">Jungtinių Tautų stabilizavimo misija Kongo Demokratinėje Respublikoje </w:t>
            </w:r>
          </w:p>
        </w:tc>
        <w:tc>
          <w:tcPr>
            <w:tcW w:w="907"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jc w:val="left"/>
              <w:rPr>
                <w:color w:val="333333"/>
                <w:sz w:val="20"/>
                <w:szCs w:val="20"/>
                <w:lang w:val="lt-LT"/>
              </w:rPr>
            </w:pPr>
            <w:r w:rsidRPr="0006604A">
              <w:rPr>
                <w:color w:val="333333"/>
                <w:sz w:val="20"/>
                <w:szCs w:val="20"/>
                <w:lang w:val="lt-LT"/>
              </w:rPr>
              <w:t>2010-07</w:t>
            </w:r>
          </w:p>
        </w:tc>
        <w:tc>
          <w:tcPr>
            <w:tcW w:w="1587" w:type="dxa"/>
            <w:tcBorders>
              <w:top w:val="single" w:sz="4" w:space="0" w:color="auto"/>
              <w:left w:val="nil"/>
              <w:bottom w:val="single" w:sz="4" w:space="0" w:color="auto"/>
              <w:right w:val="nil"/>
            </w:tcBorders>
            <w:shd w:val="clear" w:color="auto" w:fill="auto"/>
            <w:noWrap/>
            <w:hideMark/>
          </w:tcPr>
          <w:p w:rsidR="00113D43" w:rsidRPr="0006604A" w:rsidRDefault="00113D43" w:rsidP="00113D43">
            <w:pPr>
              <w:spacing w:line="240" w:lineRule="auto"/>
              <w:jc w:val="left"/>
              <w:rPr>
                <w:sz w:val="20"/>
                <w:szCs w:val="20"/>
                <w:lang w:val="lt-LT" w:eastAsia="lt-LT"/>
              </w:rPr>
            </w:pPr>
            <w:r w:rsidRPr="0006604A">
              <w:rPr>
                <w:sz w:val="20"/>
                <w:szCs w:val="20"/>
                <w:lang w:val="lt-LT" w:eastAsia="lt-LT"/>
              </w:rPr>
              <w:t>platesnio masto</w:t>
            </w:r>
          </w:p>
        </w:tc>
        <w:tc>
          <w:tcPr>
            <w:tcW w:w="792" w:type="dxa"/>
            <w:tcBorders>
              <w:top w:val="single" w:sz="4" w:space="0" w:color="auto"/>
              <w:left w:val="nil"/>
              <w:bottom w:val="single" w:sz="4" w:space="0" w:color="auto"/>
              <w:right w:val="nil"/>
            </w:tcBorders>
          </w:tcPr>
          <w:p w:rsidR="00113D43" w:rsidRPr="0006604A" w:rsidRDefault="00024FF9" w:rsidP="00113D43">
            <w:pPr>
              <w:spacing w:line="240" w:lineRule="auto"/>
              <w:jc w:val="left"/>
              <w:rPr>
                <w:sz w:val="20"/>
                <w:szCs w:val="20"/>
                <w:lang w:val="lt-LT" w:eastAsia="lt-LT"/>
              </w:rPr>
            </w:pPr>
            <w:r>
              <w:rPr>
                <w:sz w:val="20"/>
                <w:szCs w:val="20"/>
                <w:lang w:val="lt-LT" w:eastAsia="lt-LT"/>
              </w:rPr>
              <w:t>antra</w:t>
            </w:r>
          </w:p>
        </w:tc>
      </w:tr>
    </w:tbl>
    <w:p w:rsidR="00644ADD" w:rsidRDefault="00644ADD" w:rsidP="00113D43">
      <w:pPr>
        <w:rPr>
          <w:lang w:val="lt-LT"/>
        </w:rPr>
      </w:pPr>
    </w:p>
    <w:p w:rsidR="001E5300" w:rsidRDefault="001E5300" w:rsidP="00113D43">
      <w:pPr>
        <w:rPr>
          <w:lang w:val="lt-LT"/>
        </w:rPr>
      </w:pPr>
    </w:p>
    <w:p w:rsidR="001E5300" w:rsidRDefault="001E5300" w:rsidP="00113D43">
      <w:pPr>
        <w:rPr>
          <w:lang w:val="lt-LT"/>
        </w:rPr>
      </w:pPr>
    </w:p>
    <w:p w:rsidR="001E5300" w:rsidRDefault="001E5300" w:rsidP="00113D43">
      <w:pPr>
        <w:rPr>
          <w:lang w:val="lt-LT"/>
        </w:rPr>
      </w:pPr>
    </w:p>
    <w:p w:rsidR="001E5300" w:rsidRDefault="001E5300" w:rsidP="00113D43">
      <w:pPr>
        <w:rPr>
          <w:lang w:val="lt-LT"/>
        </w:rPr>
      </w:pPr>
    </w:p>
    <w:p w:rsidR="001E5300" w:rsidRDefault="001E5300" w:rsidP="00113D43">
      <w:pPr>
        <w:rPr>
          <w:lang w:val="lt-LT"/>
        </w:rPr>
      </w:pPr>
    </w:p>
    <w:p w:rsidR="001E5300" w:rsidRDefault="001E5300" w:rsidP="00113D43">
      <w:pPr>
        <w:rPr>
          <w:lang w:val="lt-LT"/>
        </w:rPr>
      </w:pPr>
    </w:p>
    <w:p w:rsidR="001E5300" w:rsidRDefault="001E5300" w:rsidP="00113D43">
      <w:pPr>
        <w:rPr>
          <w:lang w:val="lt-LT"/>
        </w:rPr>
      </w:pPr>
    </w:p>
    <w:p w:rsidR="001E5300" w:rsidRDefault="001E5300" w:rsidP="00113D43">
      <w:pPr>
        <w:rPr>
          <w:lang w:val="lt-LT"/>
        </w:rPr>
      </w:pPr>
    </w:p>
    <w:p w:rsidR="001E5300" w:rsidRDefault="001E5300" w:rsidP="00113D43">
      <w:pPr>
        <w:rPr>
          <w:lang w:val="lt-LT"/>
        </w:rPr>
      </w:pPr>
    </w:p>
    <w:p w:rsidR="001E5300" w:rsidRDefault="001E5300" w:rsidP="00113D43">
      <w:pPr>
        <w:rPr>
          <w:lang w:val="lt-LT"/>
        </w:rPr>
      </w:pPr>
    </w:p>
    <w:p w:rsidR="001E5300" w:rsidRDefault="001E5300" w:rsidP="00113D43">
      <w:pPr>
        <w:rPr>
          <w:lang w:val="lt-LT"/>
        </w:rPr>
      </w:pPr>
    </w:p>
    <w:p w:rsidR="001E5300" w:rsidRDefault="001E5300" w:rsidP="00113D43">
      <w:pPr>
        <w:rPr>
          <w:lang w:val="lt-LT"/>
        </w:rPr>
      </w:pPr>
    </w:p>
    <w:p w:rsidR="001E5300" w:rsidRDefault="001E5300" w:rsidP="00113D43">
      <w:pPr>
        <w:rPr>
          <w:lang w:val="lt-LT"/>
        </w:rPr>
      </w:pPr>
    </w:p>
    <w:p w:rsidR="001E5300" w:rsidRDefault="001E5300" w:rsidP="00113D43">
      <w:pPr>
        <w:rPr>
          <w:lang w:val="lt-LT"/>
        </w:rPr>
      </w:pPr>
    </w:p>
    <w:p w:rsidR="001E5300" w:rsidRDefault="001E5300" w:rsidP="00113D43">
      <w:pPr>
        <w:rPr>
          <w:lang w:val="lt-LT"/>
        </w:rPr>
      </w:pPr>
    </w:p>
    <w:p w:rsidR="001E5300" w:rsidRDefault="001E5300" w:rsidP="00113D43">
      <w:pPr>
        <w:rPr>
          <w:lang w:val="lt-LT"/>
        </w:rPr>
      </w:pPr>
    </w:p>
    <w:p w:rsidR="001E5300" w:rsidRDefault="001E5300" w:rsidP="00113D43">
      <w:pPr>
        <w:rPr>
          <w:lang w:val="lt-LT"/>
        </w:rPr>
      </w:pPr>
    </w:p>
    <w:p w:rsidR="001E5300" w:rsidRDefault="001E5300" w:rsidP="00113D43">
      <w:pPr>
        <w:rPr>
          <w:lang w:val="lt-LT"/>
        </w:rPr>
      </w:pPr>
    </w:p>
    <w:p w:rsidR="001E5300" w:rsidRDefault="001E5300" w:rsidP="00113D43">
      <w:pPr>
        <w:rPr>
          <w:lang w:val="lt-LT"/>
        </w:rPr>
      </w:pPr>
    </w:p>
    <w:p w:rsidR="001E5300" w:rsidRDefault="001E5300" w:rsidP="00113D43">
      <w:pPr>
        <w:rPr>
          <w:lang w:val="lt-LT"/>
        </w:rPr>
      </w:pPr>
    </w:p>
    <w:p w:rsidR="001E5300" w:rsidRDefault="001E5300" w:rsidP="00113D43">
      <w:pPr>
        <w:rPr>
          <w:lang w:val="lt-LT"/>
        </w:rPr>
      </w:pPr>
    </w:p>
    <w:p w:rsidR="001E5300" w:rsidRDefault="001E5300" w:rsidP="00113D43">
      <w:pPr>
        <w:rPr>
          <w:lang w:val="lt-LT"/>
        </w:rPr>
      </w:pPr>
    </w:p>
    <w:p w:rsidR="001E5300" w:rsidRDefault="001E5300" w:rsidP="00113D43">
      <w:pPr>
        <w:rPr>
          <w:lang w:val="lt-LT"/>
        </w:rPr>
      </w:pPr>
    </w:p>
    <w:p w:rsidR="001E5300" w:rsidRDefault="001E5300" w:rsidP="00113D43">
      <w:pPr>
        <w:rPr>
          <w:lang w:val="lt-LT"/>
        </w:rPr>
      </w:pPr>
    </w:p>
    <w:p w:rsidR="001E5300" w:rsidRPr="0006604A" w:rsidRDefault="001E5300" w:rsidP="00113D43">
      <w:pPr>
        <w:rPr>
          <w:lang w:val="lt-LT"/>
        </w:rPr>
      </w:pPr>
    </w:p>
    <w:sectPr w:rsidR="001E5300" w:rsidRPr="0006604A" w:rsidSect="00113D43">
      <w:footerReference w:type="default" r:id="rId66"/>
      <w:footerReference w:type="first" r:id="rId67"/>
      <w:pgSz w:w="11907" w:h="16839" w:code="9"/>
      <w:pgMar w:top="1418" w:right="567"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908" w:rsidRDefault="00C33908" w:rsidP="00F234E7">
      <w:r>
        <w:separator/>
      </w:r>
    </w:p>
  </w:endnote>
  <w:endnote w:type="continuationSeparator" w:id="0">
    <w:p w:rsidR="00C33908" w:rsidRDefault="00C33908" w:rsidP="00F234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A00002EF" w:usb1="4000004B" w:usb2="00000000" w:usb3="00000000" w:csb0="0000019F" w:csb1="00000000"/>
  </w:font>
  <w:font w:name="Lucida Grande">
    <w:altName w:val="Courier New"/>
    <w:charset w:val="00"/>
    <w:family w:val="auto"/>
    <w:pitch w:val="variable"/>
    <w:sig w:usb0="00000003" w:usb1="00000000" w:usb2="00000000" w:usb3="00000000" w:csb0="00000001" w:csb1="00000000"/>
  </w:font>
  <w:font w:name="Century-Book">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CC2" w:rsidRDefault="00275463" w:rsidP="00F234E7">
    <w:pPr>
      <w:pStyle w:val="Footer"/>
      <w:framePr w:wrap="around" w:vAnchor="text" w:hAnchor="margin" w:xAlign="right" w:y="1"/>
      <w:rPr>
        <w:rStyle w:val="PageNumber"/>
      </w:rPr>
    </w:pPr>
    <w:r>
      <w:rPr>
        <w:rStyle w:val="PageNumber"/>
      </w:rPr>
      <w:fldChar w:fldCharType="begin"/>
    </w:r>
    <w:r w:rsidR="00F63CC2">
      <w:rPr>
        <w:rStyle w:val="PageNumber"/>
      </w:rPr>
      <w:instrText xml:space="preserve">PAGE  </w:instrText>
    </w:r>
    <w:r>
      <w:rPr>
        <w:rStyle w:val="PageNumber"/>
      </w:rPr>
      <w:fldChar w:fldCharType="end"/>
    </w:r>
  </w:p>
  <w:p w:rsidR="00F63CC2" w:rsidRDefault="00F63CC2" w:rsidP="00F234E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4217962"/>
      <w:docPartObj>
        <w:docPartGallery w:val="Page Numbers (Bottom of Page)"/>
        <w:docPartUnique/>
      </w:docPartObj>
    </w:sdtPr>
    <w:sdtContent>
      <w:p w:rsidR="00F63CC2" w:rsidRDefault="00275463">
        <w:pPr>
          <w:pStyle w:val="Footer"/>
          <w:jc w:val="right"/>
        </w:pPr>
        <w:fldSimple w:instr=" PAGE   \* MERGEFORMAT ">
          <w:r w:rsidR="00A54114">
            <w:rPr>
              <w:noProof/>
            </w:rPr>
            <w:t>2</w:t>
          </w:r>
        </w:fldSimple>
      </w:p>
    </w:sdtContent>
  </w:sdt>
  <w:p w:rsidR="00F63CC2" w:rsidRDefault="00F63CC2" w:rsidP="00F234E7">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CC2" w:rsidRDefault="00F63CC2">
    <w:pPr>
      <w:pStyle w:val="Footer"/>
      <w:jc w:val="right"/>
    </w:pPr>
  </w:p>
  <w:p w:rsidR="00F63CC2" w:rsidRDefault="00F63CC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CC2" w:rsidRDefault="00F63CC2">
    <w:pPr>
      <w:pStyle w:val="Footer"/>
      <w:jc w:val="right"/>
    </w:pPr>
  </w:p>
  <w:p w:rsidR="00F63CC2" w:rsidRDefault="00F63CC2" w:rsidP="00F234E7">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41154"/>
      <w:docPartObj>
        <w:docPartGallery w:val="Page Numbers (Bottom of Page)"/>
        <w:docPartUnique/>
      </w:docPartObj>
    </w:sdtPr>
    <w:sdtContent>
      <w:p w:rsidR="00F63CC2" w:rsidRDefault="00275463">
        <w:pPr>
          <w:pStyle w:val="Footer"/>
          <w:jc w:val="right"/>
        </w:pPr>
        <w:fldSimple w:instr=" PAGE   \* MERGEFORMAT ">
          <w:r w:rsidR="00C764B7">
            <w:rPr>
              <w:noProof/>
            </w:rPr>
            <w:t>60</w:t>
          </w:r>
        </w:fldSimple>
      </w:p>
    </w:sdtContent>
  </w:sdt>
  <w:p w:rsidR="00F63CC2" w:rsidRDefault="00F63CC2" w:rsidP="00F234E7">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41145"/>
      <w:docPartObj>
        <w:docPartGallery w:val="Page Numbers (Bottom of Page)"/>
        <w:docPartUnique/>
      </w:docPartObj>
    </w:sdtPr>
    <w:sdtContent>
      <w:p w:rsidR="00F63CC2" w:rsidRDefault="00275463">
        <w:pPr>
          <w:pStyle w:val="Footer"/>
          <w:jc w:val="right"/>
        </w:pPr>
        <w:fldSimple w:instr=" PAGE   \* MERGEFORMAT ">
          <w:r w:rsidR="00F63CC2">
            <w:rPr>
              <w:noProof/>
            </w:rPr>
            <w:t>3</w:t>
          </w:r>
        </w:fldSimple>
      </w:p>
    </w:sdtContent>
  </w:sdt>
  <w:p w:rsidR="00F63CC2" w:rsidRDefault="00F63C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908" w:rsidRDefault="00C33908" w:rsidP="00F234E7">
      <w:r>
        <w:separator/>
      </w:r>
    </w:p>
  </w:footnote>
  <w:footnote w:type="continuationSeparator" w:id="0">
    <w:p w:rsidR="00C33908" w:rsidRDefault="00C33908" w:rsidP="00F234E7">
      <w:r>
        <w:continuationSeparator/>
      </w:r>
    </w:p>
  </w:footnote>
  <w:footnote w:id="1">
    <w:p w:rsidR="00F63CC2" w:rsidRPr="00152A42" w:rsidRDefault="00F63CC2" w:rsidP="006D5F99">
      <w:pPr>
        <w:pStyle w:val="FootnoteText"/>
        <w:spacing w:line="240" w:lineRule="auto"/>
        <w:ind w:left="113" w:hanging="113"/>
        <w:jc w:val="left"/>
        <w:rPr>
          <w:lang w:val="lt-LT"/>
        </w:rPr>
      </w:pPr>
      <w:r w:rsidRPr="00152A42">
        <w:rPr>
          <w:rStyle w:val="FootnoteReference"/>
          <w:rFonts w:eastAsiaTheme="majorEastAsia"/>
          <w:lang w:val="lt-LT"/>
        </w:rPr>
        <w:footnoteRef/>
      </w:r>
      <w:r>
        <w:rPr>
          <w:lang w:val="lt-LT"/>
        </w:rPr>
        <w:t xml:space="preserve"> </w:t>
      </w:r>
      <w:r w:rsidRPr="00152A42">
        <w:rPr>
          <w:lang w:val="lt-LT"/>
        </w:rPr>
        <w:t xml:space="preserve">Krašto apsaugos ministerija. Baltoji Lietuvos gynybos </w:t>
      </w:r>
      <w:r w:rsidR="00EC3854">
        <w:rPr>
          <w:lang w:val="lt-LT"/>
        </w:rPr>
        <w:t xml:space="preserve">politikos knyga. Vilnius, 2006. </w:t>
      </w:r>
      <w:r w:rsidRPr="00152A42">
        <w:rPr>
          <w:lang w:val="lt-LT"/>
        </w:rPr>
        <w:t>//</w:t>
      </w:r>
    </w:p>
    <w:p w:rsidR="00F63CC2" w:rsidRPr="00152A42" w:rsidRDefault="00275463" w:rsidP="006D5F99">
      <w:pPr>
        <w:pStyle w:val="FootnoteText"/>
        <w:spacing w:line="240" w:lineRule="auto"/>
        <w:ind w:left="113" w:hanging="113"/>
        <w:jc w:val="left"/>
        <w:rPr>
          <w:lang w:val="lt-LT"/>
        </w:rPr>
      </w:pPr>
      <w:hyperlink r:id="rId1" w:history="1">
        <w:r w:rsidR="00F63CC2" w:rsidRPr="00152A42">
          <w:rPr>
            <w:rStyle w:val="Hyperlink"/>
            <w:rFonts w:eastAsiaTheme="majorEastAsia"/>
            <w:lang w:val="lt-LT"/>
          </w:rPr>
          <w:t>http://www.kam.lt/lt/naujienos_874/leidiniai_876.html</w:t>
        </w:r>
      </w:hyperlink>
      <w:r w:rsidR="00F63CC2" w:rsidRPr="00152A42">
        <w:rPr>
          <w:lang w:val="lt-LT"/>
        </w:rPr>
        <w:t>; prisijungimo laikas: 2010-01-20.</w:t>
      </w:r>
    </w:p>
  </w:footnote>
  <w:footnote w:id="2">
    <w:p w:rsidR="00F63CC2" w:rsidRPr="00152A42" w:rsidRDefault="00F63CC2" w:rsidP="006D5F99">
      <w:pPr>
        <w:pStyle w:val="FootnoteText"/>
        <w:spacing w:line="240" w:lineRule="auto"/>
        <w:ind w:left="113" w:hanging="113"/>
        <w:jc w:val="left"/>
        <w:rPr>
          <w:lang w:val="lt-LT"/>
        </w:rPr>
      </w:pPr>
      <w:r w:rsidRPr="00152A42">
        <w:rPr>
          <w:rStyle w:val="FootnoteReference"/>
          <w:lang w:val="lt-LT"/>
        </w:rPr>
        <w:footnoteRef/>
      </w:r>
      <w:r w:rsidRPr="00152A42">
        <w:rPr>
          <w:lang w:val="lt-LT"/>
        </w:rPr>
        <w:t xml:space="preserve"> Lietuv</w:t>
      </w:r>
      <w:r>
        <w:rPr>
          <w:lang w:val="lt-LT"/>
        </w:rPr>
        <w:t>os gynybos politika //</w:t>
      </w:r>
      <w:r w:rsidR="00EC3854">
        <w:rPr>
          <w:lang w:val="lt-LT"/>
        </w:rPr>
        <w:t xml:space="preserve"> </w:t>
      </w:r>
      <w:hyperlink r:id="rId2" w:history="1">
        <w:r w:rsidRPr="00152A42">
          <w:rPr>
            <w:rStyle w:val="Hyperlink"/>
            <w:rFonts w:eastAsiaTheme="majorEastAsia"/>
            <w:lang w:val="lt-LT"/>
          </w:rPr>
          <w:t>http://www.kam.lt/lt/gynybos_politika_490/lietuvos_gynybos_politika_491.html</w:t>
        </w:r>
      </w:hyperlink>
      <w:r w:rsidRPr="00152A42">
        <w:rPr>
          <w:lang w:val="lt-LT"/>
        </w:rPr>
        <w:t>; prisijungimo laikas: 2010-11-26.</w:t>
      </w:r>
    </w:p>
  </w:footnote>
  <w:footnote w:id="3">
    <w:p w:rsidR="00F63CC2" w:rsidRPr="00152A42" w:rsidRDefault="00F63CC2" w:rsidP="006D5F99">
      <w:pPr>
        <w:pStyle w:val="FootnoteText"/>
        <w:spacing w:line="240" w:lineRule="auto"/>
        <w:ind w:left="113" w:hanging="113"/>
        <w:jc w:val="left"/>
        <w:rPr>
          <w:lang w:val="lt-LT"/>
        </w:rPr>
      </w:pPr>
      <w:r w:rsidRPr="00152A42">
        <w:rPr>
          <w:rStyle w:val="FootnoteReference"/>
          <w:rFonts w:eastAsiaTheme="majorEastAsia"/>
          <w:lang w:val="lt-LT"/>
        </w:rPr>
        <w:footnoteRef/>
      </w:r>
      <w:r>
        <w:rPr>
          <w:lang w:val="lt-LT"/>
        </w:rPr>
        <w:t xml:space="preserve"> </w:t>
      </w:r>
      <w:r w:rsidRPr="00152A42">
        <w:rPr>
          <w:lang w:val="lt-LT"/>
        </w:rPr>
        <w:t>United Nations</w:t>
      </w:r>
      <w:r w:rsidRPr="00152A42">
        <w:rPr>
          <w:lang w:val="en-AU"/>
        </w:rPr>
        <w:t xml:space="preserve"> Department</w:t>
      </w:r>
      <w:r w:rsidRPr="00152A42">
        <w:rPr>
          <w:lang w:val="lt-LT"/>
        </w:rPr>
        <w:t xml:space="preserve"> of</w:t>
      </w:r>
      <w:r w:rsidRPr="00152A42">
        <w:rPr>
          <w:lang w:val="en-AU"/>
        </w:rPr>
        <w:t xml:space="preserve"> Peacekeeping</w:t>
      </w:r>
      <w:r w:rsidRPr="00152A42">
        <w:rPr>
          <w:lang w:val="lt-LT"/>
        </w:rPr>
        <w:t xml:space="preserve">  </w:t>
      </w:r>
      <w:r w:rsidRPr="00152A42">
        <w:rPr>
          <w:lang w:val="en-AU"/>
        </w:rPr>
        <w:t>Operations</w:t>
      </w:r>
      <w:r w:rsidRPr="00152A42">
        <w:rPr>
          <w:lang w:val="lt-LT"/>
        </w:rPr>
        <w:t>.</w:t>
      </w:r>
      <w:r w:rsidRPr="00152A42">
        <w:rPr>
          <w:lang w:val="en-AU"/>
        </w:rPr>
        <w:t xml:space="preserve"> Department</w:t>
      </w:r>
      <w:r w:rsidRPr="00152A42">
        <w:rPr>
          <w:lang w:val="lt-LT"/>
        </w:rPr>
        <w:t xml:space="preserve"> of</w:t>
      </w:r>
      <w:r w:rsidRPr="00152A42">
        <w:rPr>
          <w:lang w:val="en-AU"/>
        </w:rPr>
        <w:t xml:space="preserve"> Field Support</w:t>
      </w:r>
      <w:r w:rsidRPr="00152A42">
        <w:rPr>
          <w:lang w:val="lt-LT"/>
        </w:rPr>
        <w:t>. United Nations</w:t>
      </w:r>
      <w:r w:rsidRPr="00152A42">
        <w:rPr>
          <w:lang w:val="en-AU"/>
        </w:rPr>
        <w:t xml:space="preserve"> Peacekeeping operations</w:t>
      </w:r>
      <w:r w:rsidRPr="00152A42">
        <w:rPr>
          <w:lang w:val="lt-LT"/>
        </w:rPr>
        <w:t>.</w:t>
      </w:r>
      <w:r w:rsidRPr="00152A42">
        <w:rPr>
          <w:lang w:val="en-AU"/>
        </w:rPr>
        <w:t xml:space="preserve"> Principles</w:t>
      </w:r>
      <w:r w:rsidRPr="00152A42">
        <w:rPr>
          <w:lang w:val="lt-LT"/>
        </w:rPr>
        <w:t xml:space="preserve"> and</w:t>
      </w:r>
      <w:r w:rsidRPr="00152A42">
        <w:rPr>
          <w:lang w:val="en-AU"/>
        </w:rPr>
        <w:t xml:space="preserve"> Guidelines</w:t>
      </w:r>
      <w:r w:rsidR="00A651CB">
        <w:rPr>
          <w:lang w:val="lt-LT"/>
        </w:rPr>
        <w:t xml:space="preserve">. 2008. P. </w:t>
      </w:r>
      <w:r w:rsidRPr="00152A42">
        <w:rPr>
          <w:lang w:val="lt-LT"/>
        </w:rPr>
        <w:t xml:space="preserve">13. // </w:t>
      </w:r>
      <w:hyperlink r:id="rId3" w:history="1">
        <w:r w:rsidRPr="00152A42">
          <w:rPr>
            <w:rStyle w:val="Hyperlink"/>
            <w:rFonts w:eastAsiaTheme="majorEastAsia"/>
            <w:lang w:val="lt-LT"/>
          </w:rPr>
          <w:t>http://pbpu.unlb.org</w:t>
        </w:r>
      </w:hyperlink>
      <w:r w:rsidRPr="00152A42">
        <w:rPr>
          <w:lang w:val="lt-LT"/>
        </w:rPr>
        <w:t>; prisijungimo laikas: 2010-11-02.</w:t>
      </w:r>
    </w:p>
  </w:footnote>
  <w:footnote w:id="4">
    <w:p w:rsidR="00F63CC2" w:rsidRPr="00152A42" w:rsidRDefault="00F63CC2" w:rsidP="006D5F99">
      <w:pPr>
        <w:pStyle w:val="FootnoteText"/>
        <w:spacing w:line="240" w:lineRule="auto"/>
        <w:ind w:left="113" w:hanging="113"/>
        <w:jc w:val="left"/>
        <w:rPr>
          <w:lang w:val="lt-LT"/>
        </w:rPr>
      </w:pPr>
      <w:r w:rsidRPr="00152A42">
        <w:rPr>
          <w:rStyle w:val="FootnoteReference"/>
          <w:rFonts w:eastAsiaTheme="majorEastAsia"/>
          <w:lang w:val="lt-LT"/>
        </w:rPr>
        <w:footnoteRef/>
      </w:r>
      <w:r w:rsidRPr="00152A42">
        <w:rPr>
          <w:lang w:val="lt-LT"/>
        </w:rPr>
        <w:t xml:space="preserve"> Paliaubų susitarimas tarp Izraelio ir Egipto, Libano, Jordanijos bei Sirijos įtakotas Jungtinių Tautų Saugumo Tarybos raginimo, paremto 1948 lapkričio 16 d. rezoliucija. Joje raginama iš dabartinių paliaubų pasiekti pastovią Palestinos taiką. (Maoz A.</w:t>
      </w:r>
      <w:r w:rsidRPr="00152A42">
        <w:rPr>
          <w:lang w:val="en-AU"/>
        </w:rPr>
        <w:t xml:space="preserve"> War</w:t>
      </w:r>
      <w:r w:rsidRPr="00152A42">
        <w:rPr>
          <w:lang w:val="lt-LT"/>
        </w:rPr>
        <w:t xml:space="preserve"> and</w:t>
      </w:r>
      <w:r w:rsidRPr="00152A42">
        <w:rPr>
          <w:lang w:val="en-AU"/>
        </w:rPr>
        <w:t xml:space="preserve"> Peace</w:t>
      </w:r>
      <w:r w:rsidRPr="00152A42">
        <w:rPr>
          <w:lang w:val="lt-LT"/>
        </w:rPr>
        <w:t xml:space="preserve"> –</w:t>
      </w:r>
      <w:r w:rsidRPr="00152A42">
        <w:rPr>
          <w:lang w:val="en-AU"/>
        </w:rPr>
        <w:t xml:space="preserve"> as Israeli Perspective</w:t>
      </w:r>
      <w:r w:rsidRPr="00152A42">
        <w:rPr>
          <w:lang w:val="lt-LT"/>
        </w:rPr>
        <w:t>.</w:t>
      </w:r>
      <w:r w:rsidRPr="00152A42">
        <w:rPr>
          <w:lang w:val="en-AU"/>
        </w:rPr>
        <w:t xml:space="preserve"> Constitutional Forum</w:t>
      </w:r>
      <w:r w:rsidRPr="00152A42">
        <w:rPr>
          <w:lang w:val="lt-LT"/>
        </w:rPr>
        <w:t>,</w:t>
      </w:r>
      <w:r w:rsidRPr="00152A42">
        <w:rPr>
          <w:lang w:val="en-AU"/>
        </w:rPr>
        <w:t xml:space="preserve"> Vol</w:t>
      </w:r>
      <w:r w:rsidRPr="00152A42">
        <w:rPr>
          <w:lang w:val="lt-LT"/>
        </w:rPr>
        <w:t>. 24,</w:t>
      </w:r>
      <w:r w:rsidRPr="00152A42">
        <w:rPr>
          <w:lang w:val="en-AU"/>
        </w:rPr>
        <w:t xml:space="preserve"> No</w:t>
      </w:r>
      <w:r w:rsidRPr="00152A42">
        <w:rPr>
          <w:lang w:val="lt-LT"/>
        </w:rPr>
        <w:t xml:space="preserve">. 2, 2005. P. 3. // </w:t>
      </w:r>
      <w:hyperlink r:id="rId4" w:history="1">
        <w:r w:rsidRPr="00152A42">
          <w:rPr>
            <w:rStyle w:val="Hyperlink"/>
            <w:rFonts w:eastAsiaTheme="majorEastAsia"/>
            <w:lang w:val="lt-LT"/>
          </w:rPr>
          <w:t>http://papers.ssrn.com</w:t>
        </w:r>
      </w:hyperlink>
      <w:r w:rsidRPr="00152A42">
        <w:rPr>
          <w:lang w:val="lt-LT"/>
        </w:rPr>
        <w:t>; prisijungimo laikas: 2010-10-09.)</w:t>
      </w:r>
    </w:p>
  </w:footnote>
  <w:footnote w:id="5">
    <w:p w:rsidR="00F63CC2" w:rsidRPr="00152A42" w:rsidRDefault="00F63CC2" w:rsidP="006D5F99">
      <w:pPr>
        <w:pStyle w:val="FootnoteText"/>
        <w:spacing w:line="240" w:lineRule="auto"/>
        <w:ind w:left="113" w:hanging="113"/>
        <w:jc w:val="left"/>
        <w:rPr>
          <w:lang w:val="lt-LT"/>
        </w:rPr>
      </w:pPr>
      <w:r w:rsidRPr="00152A42">
        <w:rPr>
          <w:rStyle w:val="FootnoteReference"/>
          <w:rFonts w:eastAsiaTheme="majorEastAsia"/>
          <w:lang w:val="lt-LT"/>
        </w:rPr>
        <w:footnoteRef/>
      </w:r>
      <w:r w:rsidRPr="00152A42">
        <w:rPr>
          <w:lang w:val="lt-LT"/>
        </w:rPr>
        <w:t xml:space="preserve"> Jungtinių Tautų taikos misijos // </w:t>
      </w:r>
      <w:hyperlink r:id="rId5" w:history="1">
        <w:r w:rsidRPr="00152A42">
          <w:rPr>
            <w:rStyle w:val="Hyperlink"/>
            <w:rFonts w:eastAsiaTheme="majorEastAsia"/>
            <w:lang w:val="lt-LT"/>
          </w:rPr>
          <w:t>http://www.un.org/en/peacekeeping/</w:t>
        </w:r>
      </w:hyperlink>
      <w:r w:rsidRPr="00152A42">
        <w:rPr>
          <w:lang w:val="lt-LT"/>
        </w:rPr>
        <w:t>; prisijungimo laikas: 2010-09-15.</w:t>
      </w:r>
    </w:p>
  </w:footnote>
  <w:footnote w:id="6">
    <w:p w:rsidR="00F63CC2" w:rsidRPr="00152A42" w:rsidRDefault="00F63CC2" w:rsidP="006D5F99">
      <w:pPr>
        <w:pStyle w:val="FootnoteText"/>
        <w:spacing w:line="240" w:lineRule="auto"/>
        <w:ind w:left="113" w:hanging="113"/>
        <w:jc w:val="left"/>
        <w:rPr>
          <w:lang w:val="lt-LT"/>
        </w:rPr>
      </w:pPr>
      <w:r w:rsidRPr="00152A42">
        <w:rPr>
          <w:rStyle w:val="FootnoteReference"/>
          <w:rFonts w:eastAsiaTheme="majorEastAsia"/>
          <w:lang w:val="lt-LT"/>
        </w:rPr>
        <w:footnoteRef/>
      </w:r>
      <w:r w:rsidRPr="00152A42">
        <w:rPr>
          <w:lang w:val="lt-LT"/>
        </w:rPr>
        <w:t xml:space="preserve"> Hilaire M. United Nations</w:t>
      </w:r>
      <w:r w:rsidRPr="00152A42">
        <w:rPr>
          <w:lang w:val="en-AU"/>
        </w:rPr>
        <w:t xml:space="preserve"> Law</w:t>
      </w:r>
      <w:r w:rsidRPr="00152A42">
        <w:rPr>
          <w:lang w:val="lt-LT"/>
        </w:rPr>
        <w:t xml:space="preserve"> and The</w:t>
      </w:r>
      <w:r w:rsidRPr="00152A42">
        <w:rPr>
          <w:lang w:val="en-AU"/>
        </w:rPr>
        <w:t xml:space="preserve"> Security Council</w:t>
      </w:r>
      <w:r w:rsidRPr="00152A42">
        <w:rPr>
          <w:lang w:val="lt-LT"/>
        </w:rPr>
        <w:t>.</w:t>
      </w:r>
      <w:r w:rsidRPr="00152A42">
        <w:rPr>
          <w:lang w:val="en-AU"/>
        </w:rPr>
        <w:t xml:space="preserve"> England</w:t>
      </w:r>
      <w:r w:rsidRPr="00152A42">
        <w:rPr>
          <w:lang w:val="lt-LT"/>
        </w:rPr>
        <w:t>: Ashgate, 2005. P. 15.</w:t>
      </w:r>
    </w:p>
  </w:footnote>
  <w:footnote w:id="7">
    <w:p w:rsidR="00F63CC2" w:rsidRPr="00152A42" w:rsidRDefault="00F63CC2" w:rsidP="006D5F99">
      <w:pPr>
        <w:pStyle w:val="FootnoteText"/>
        <w:spacing w:line="240" w:lineRule="auto"/>
        <w:ind w:left="113" w:hanging="113"/>
        <w:jc w:val="left"/>
        <w:rPr>
          <w:lang w:val="lt-LT"/>
        </w:rPr>
      </w:pPr>
      <w:r w:rsidRPr="00152A42">
        <w:rPr>
          <w:rStyle w:val="FootnoteReference"/>
          <w:rFonts w:eastAsiaTheme="majorEastAsia"/>
          <w:lang w:val="lt-LT"/>
        </w:rPr>
        <w:footnoteRef/>
      </w:r>
      <w:r w:rsidRPr="00152A42">
        <w:rPr>
          <w:lang w:val="lt-LT"/>
        </w:rPr>
        <w:t xml:space="preserve"> Plačiau apie Generalinės Asamblėjos teisę sukurti taikos misiją 1.2.</w:t>
      </w:r>
      <w:r>
        <w:rPr>
          <w:lang w:val="lt-LT"/>
        </w:rPr>
        <w:t xml:space="preserve"> </w:t>
      </w:r>
      <w:r w:rsidRPr="00152A42">
        <w:rPr>
          <w:lang w:val="lt-LT"/>
        </w:rPr>
        <w:t>poskyryje.</w:t>
      </w:r>
    </w:p>
  </w:footnote>
  <w:footnote w:id="8">
    <w:p w:rsidR="00F63CC2" w:rsidRPr="00152A42" w:rsidRDefault="00F63CC2" w:rsidP="006D5F99">
      <w:pPr>
        <w:pStyle w:val="FootnoteText"/>
        <w:spacing w:line="240" w:lineRule="auto"/>
        <w:ind w:left="113" w:hanging="113"/>
        <w:jc w:val="left"/>
        <w:rPr>
          <w:lang w:val="lt-LT"/>
        </w:rPr>
      </w:pPr>
      <w:r w:rsidRPr="00152A42">
        <w:rPr>
          <w:rStyle w:val="FootnoteReference"/>
          <w:rFonts w:eastAsiaTheme="majorEastAsia"/>
          <w:lang w:val="lt-LT"/>
        </w:rPr>
        <w:footnoteRef/>
      </w:r>
      <w:r w:rsidRPr="00152A42">
        <w:rPr>
          <w:lang w:val="lt-LT"/>
        </w:rPr>
        <w:t xml:space="preserve"> Weiss T. G., Daws S. The Oxford Handbook on The United Nations. New York: Oxford University Press, 2007. P.</w:t>
      </w:r>
      <w:r w:rsidR="00A651CB">
        <w:rPr>
          <w:lang w:val="lt-LT"/>
        </w:rPr>
        <w:t xml:space="preserve"> </w:t>
      </w:r>
      <w:r w:rsidRPr="00152A42">
        <w:rPr>
          <w:lang w:val="lt-LT"/>
        </w:rPr>
        <w:t>325.</w:t>
      </w:r>
    </w:p>
  </w:footnote>
  <w:footnote w:id="9">
    <w:p w:rsidR="00F63CC2" w:rsidRPr="00152A42" w:rsidRDefault="00F63CC2" w:rsidP="006D5F99">
      <w:pPr>
        <w:pStyle w:val="FootnoteText"/>
        <w:spacing w:line="240" w:lineRule="auto"/>
        <w:ind w:left="113" w:hanging="113"/>
        <w:jc w:val="left"/>
        <w:rPr>
          <w:lang w:val="lt-LT"/>
        </w:rPr>
      </w:pPr>
      <w:r w:rsidRPr="00152A42">
        <w:rPr>
          <w:rStyle w:val="FootnoteReference"/>
          <w:rFonts w:eastAsiaTheme="majorEastAsia"/>
          <w:lang w:val="lt-LT"/>
        </w:rPr>
        <w:footnoteRef/>
      </w:r>
      <w:r>
        <w:rPr>
          <w:lang w:val="lt-LT"/>
        </w:rPr>
        <w:t xml:space="preserve"> </w:t>
      </w:r>
      <w:r w:rsidRPr="00152A42">
        <w:rPr>
          <w:lang w:val="lt-LT"/>
        </w:rPr>
        <w:t>Fortna V. P. Interstate Peacekeeping. Causal Mechanisms and Empirical Effects. World Politics, Vol. 56, No. 4, July 2004. P.</w:t>
      </w:r>
      <w:r w:rsidR="00A651CB">
        <w:rPr>
          <w:lang w:val="lt-LT"/>
        </w:rPr>
        <w:t xml:space="preserve"> </w:t>
      </w:r>
      <w:r w:rsidRPr="00152A42">
        <w:rPr>
          <w:lang w:val="lt-LT"/>
        </w:rPr>
        <w:t xml:space="preserve">485. // </w:t>
      </w:r>
      <w:hyperlink r:id="rId6" w:history="1">
        <w:r w:rsidRPr="00152A42">
          <w:rPr>
            <w:rStyle w:val="Hyperlink"/>
            <w:rFonts w:eastAsiaTheme="majorEastAsia"/>
            <w:lang w:val="lt-LT"/>
          </w:rPr>
          <w:t>http://muse.jhu.edu</w:t>
        </w:r>
      </w:hyperlink>
      <w:r w:rsidRPr="00152A42">
        <w:rPr>
          <w:lang w:val="lt-LT"/>
        </w:rPr>
        <w:t>; prisijungimo laikas: 2010-11-01.</w:t>
      </w:r>
    </w:p>
  </w:footnote>
  <w:footnote w:id="10">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Pr>
          <w:lang w:val="lt-LT"/>
        </w:rPr>
        <w:t xml:space="preserve"> </w:t>
      </w:r>
      <w:r w:rsidRPr="00152A42">
        <w:rPr>
          <w:lang w:val="lt-LT"/>
        </w:rPr>
        <w:t>Taikos misijų kontekste buferinė zona įkuriama siekiant atskirti konfliktuojančias ar kariaujančias šalis ir taip sumažinti atsinaujinančio konflikto riziką. (</w:t>
      </w:r>
      <w:hyperlink r:id="rId7" w:history="1">
        <w:r w:rsidRPr="00152A42">
          <w:rPr>
            <w:rStyle w:val="Hyperlink"/>
            <w:rFonts w:eastAsiaTheme="majorEastAsia"/>
            <w:lang w:val="lt-LT"/>
          </w:rPr>
          <w:t>http://www.thefreedictionary.com/buffer+zone</w:t>
        </w:r>
      </w:hyperlink>
      <w:r w:rsidRPr="00152A42">
        <w:rPr>
          <w:lang w:val="lt-LT"/>
        </w:rPr>
        <w:t xml:space="preserve"> )</w:t>
      </w:r>
    </w:p>
  </w:footnote>
  <w:footnote w:id="11">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Pr>
          <w:lang w:val="lt-LT"/>
        </w:rPr>
        <w:t xml:space="preserve"> </w:t>
      </w:r>
      <w:r w:rsidRPr="00152A42">
        <w:rPr>
          <w:lang w:val="lt-LT"/>
        </w:rPr>
        <w:t>Principai aptariami plačiau</w:t>
      </w:r>
    </w:p>
  </w:footnote>
  <w:footnote w:id="12">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Pr>
          <w:lang w:val="lt-LT"/>
        </w:rPr>
        <w:t xml:space="preserve"> </w:t>
      </w:r>
      <w:r w:rsidRPr="00152A42">
        <w:rPr>
          <w:rStyle w:val="apple-style-span"/>
          <w:lang w:val="lt-LT"/>
        </w:rPr>
        <w:t>Thakur, Schnabel R. C., Albrecht.</w:t>
      </w:r>
      <w:r w:rsidRPr="00152A42">
        <w:rPr>
          <w:bCs/>
          <w:lang w:val="lt-LT"/>
        </w:rPr>
        <w:t xml:space="preserve"> </w:t>
      </w:r>
      <w:r w:rsidRPr="00152A42">
        <w:rPr>
          <w:rStyle w:val="apple-style-span"/>
          <w:bCs/>
          <w:lang w:val="lt-LT"/>
        </w:rPr>
        <w:t xml:space="preserve">United </w:t>
      </w:r>
      <w:r w:rsidR="009D3C86">
        <w:rPr>
          <w:rStyle w:val="apple-style-span"/>
          <w:bCs/>
          <w:lang w:val="lt-LT"/>
        </w:rPr>
        <w:t>Nations Peacekeeping Operations</w:t>
      </w:r>
      <w:r w:rsidRPr="00152A42">
        <w:rPr>
          <w:rStyle w:val="apple-style-span"/>
          <w:bCs/>
          <w:lang w:val="lt-LT"/>
        </w:rPr>
        <w:t>: Ad Hoc Missions, Permanent Engagement. United Nations University Press, 2001. P.</w:t>
      </w:r>
      <w:r w:rsidR="009D3C86">
        <w:rPr>
          <w:rStyle w:val="apple-style-span"/>
          <w:bCs/>
          <w:lang w:val="lt-LT"/>
        </w:rPr>
        <w:t xml:space="preserve"> </w:t>
      </w:r>
      <w:r w:rsidRPr="00152A42">
        <w:rPr>
          <w:rStyle w:val="apple-style-span"/>
          <w:bCs/>
          <w:lang w:val="lt-LT"/>
        </w:rPr>
        <w:t xml:space="preserve">162 // </w:t>
      </w:r>
      <w:hyperlink r:id="rId8" w:history="1">
        <w:r w:rsidRPr="00D130BE">
          <w:rPr>
            <w:rStyle w:val="Hyperlink"/>
            <w:lang w:val="lt-LT"/>
          </w:rPr>
          <w:t>http://site.ebrary.com</w:t>
        </w:r>
      </w:hyperlink>
      <w:r>
        <w:rPr>
          <w:lang w:val="lt-LT"/>
        </w:rPr>
        <w:t>;</w:t>
      </w:r>
      <w:r w:rsidRPr="00152A42">
        <w:rPr>
          <w:lang w:val="lt-LT"/>
        </w:rPr>
        <w:t xml:space="preserve"> prisijungimo laikas: 2010-09-19.</w:t>
      </w:r>
    </w:p>
  </w:footnote>
  <w:footnote w:id="13">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Fortna V.</w:t>
      </w:r>
      <w:r w:rsidR="00E9583F">
        <w:rPr>
          <w:lang w:val="lt-LT"/>
        </w:rPr>
        <w:t xml:space="preserve"> </w:t>
      </w:r>
      <w:r w:rsidRPr="00152A42">
        <w:rPr>
          <w:lang w:val="lt-LT"/>
        </w:rPr>
        <w:t xml:space="preserve">P. Where have all the victories gone? Peacekeeping and war outcomes. Columbia University: 2009. P. 14. // </w:t>
      </w:r>
      <w:hyperlink r:id="rId9" w:history="1">
        <w:r w:rsidRPr="00152A42">
          <w:rPr>
            <w:rStyle w:val="Hyperlink"/>
            <w:rFonts w:eastAsiaTheme="majorEastAsia"/>
            <w:lang w:val="lt-LT"/>
          </w:rPr>
          <w:t>http://papers.ssrn.com/</w:t>
        </w:r>
        <w:r w:rsidRPr="00152A42" w:rsidDel="00AF0475">
          <w:rPr>
            <w:rStyle w:val="Hyperlink"/>
            <w:rFonts w:eastAsiaTheme="majorEastAsia"/>
            <w:lang w:val="lt-LT"/>
          </w:rPr>
          <w:t xml:space="preserve"> </w:t>
        </w:r>
      </w:hyperlink>
      <w:r w:rsidRPr="00152A42">
        <w:rPr>
          <w:lang w:val="lt-LT"/>
        </w:rPr>
        <w:t>; prisijungimo laikas: 2010-09-24.</w:t>
      </w:r>
    </w:p>
  </w:footnote>
  <w:footnote w:id="14">
    <w:p w:rsidR="00F63CC2" w:rsidRPr="00152A42" w:rsidRDefault="00F63CC2" w:rsidP="006D5F99">
      <w:pPr>
        <w:autoSpaceDE w:val="0"/>
        <w:autoSpaceDN w:val="0"/>
        <w:adjustRightInd w:val="0"/>
        <w:spacing w:line="240" w:lineRule="auto"/>
        <w:ind w:left="199" w:hanging="199"/>
        <w:jc w:val="left"/>
        <w:rPr>
          <w:sz w:val="20"/>
          <w:szCs w:val="20"/>
          <w:lang w:val="lt-LT"/>
        </w:rPr>
      </w:pPr>
      <w:r w:rsidRPr="00152A42">
        <w:rPr>
          <w:rStyle w:val="FootnoteReference"/>
          <w:rFonts w:eastAsiaTheme="majorEastAsia"/>
          <w:sz w:val="20"/>
          <w:szCs w:val="20"/>
          <w:lang w:val="lt-LT"/>
        </w:rPr>
        <w:footnoteRef/>
      </w:r>
      <w:r w:rsidRPr="00152A42">
        <w:rPr>
          <w:sz w:val="20"/>
          <w:szCs w:val="20"/>
          <w:lang w:val="lt-LT"/>
        </w:rPr>
        <w:t xml:space="preserve"> Report of the Secretary-General. No Exit without Strategy: Security Council Decision-making</w:t>
      </w:r>
    </w:p>
    <w:p w:rsidR="00F63CC2" w:rsidRPr="00152A42" w:rsidRDefault="00F63CC2" w:rsidP="006D5F99">
      <w:pPr>
        <w:pStyle w:val="FootnoteText"/>
        <w:spacing w:line="240" w:lineRule="auto"/>
        <w:ind w:left="199" w:hanging="199"/>
        <w:jc w:val="left"/>
        <w:rPr>
          <w:lang w:val="lt-LT"/>
        </w:rPr>
      </w:pPr>
      <w:r>
        <w:rPr>
          <w:lang w:val="lt-LT"/>
        </w:rPr>
        <w:t xml:space="preserve">    </w:t>
      </w:r>
      <w:r w:rsidRPr="00152A42">
        <w:rPr>
          <w:lang w:val="lt-LT"/>
        </w:rPr>
        <w:t xml:space="preserve">and the Closure or Transition of United Nations Peacekeeping Operations. UN Doc. S/2001/394. P. 4-5. // </w:t>
      </w:r>
      <w:hyperlink r:id="rId10" w:history="1">
        <w:r w:rsidRPr="00152A42">
          <w:rPr>
            <w:rStyle w:val="Hyperlink"/>
            <w:rFonts w:eastAsiaTheme="majorEastAsia"/>
            <w:lang w:val="lt-LT"/>
          </w:rPr>
          <w:t>http://daccess-dds-ny.un.org/</w:t>
        </w:r>
      </w:hyperlink>
      <w:r w:rsidRPr="00152A42">
        <w:rPr>
          <w:lang w:val="lt-LT"/>
        </w:rPr>
        <w:t>; prisijungimo laikas: 2010-11-02.</w:t>
      </w:r>
    </w:p>
  </w:footnote>
  <w:footnote w:id="15">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00E9583F">
        <w:rPr>
          <w:lang w:val="lt-LT"/>
        </w:rPr>
        <w:t xml:space="preserve"> Cox K. E.</w:t>
      </w:r>
      <w:r w:rsidRPr="00152A42">
        <w:rPr>
          <w:lang w:val="lt-LT"/>
        </w:rPr>
        <w:t xml:space="preserve"> Beyond self-defense: United Nations peacekeeping</w:t>
      </w:r>
      <w:r w:rsidR="00E9583F">
        <w:rPr>
          <w:lang w:val="lt-LT"/>
        </w:rPr>
        <w:t xml:space="preserve"> operations &amp; the use of force. </w:t>
      </w:r>
      <w:r w:rsidRPr="00152A42">
        <w:rPr>
          <w:lang w:val="lt-LT"/>
        </w:rPr>
        <w:t>Denver Journal of International Law and Policy.</w:t>
      </w:r>
      <w:r w:rsidR="00E9583F">
        <w:rPr>
          <w:lang w:val="lt-LT"/>
        </w:rPr>
        <w:t xml:space="preserve"> </w:t>
      </w:r>
      <w:r w:rsidRPr="00152A42">
        <w:rPr>
          <w:lang w:val="lt-LT"/>
        </w:rPr>
        <w:t xml:space="preserve">1999 Spring. P. 245 // </w:t>
      </w:r>
      <w:hyperlink r:id="rId11" w:history="1">
        <w:r w:rsidRPr="00152A42">
          <w:rPr>
            <w:rStyle w:val="Hyperlink"/>
            <w:rFonts w:eastAsiaTheme="majorEastAsia"/>
            <w:lang w:val="lt-LT"/>
          </w:rPr>
          <w:t>http://international.westlaw.com</w:t>
        </w:r>
      </w:hyperlink>
      <w:r w:rsidRPr="00152A42">
        <w:rPr>
          <w:lang w:val="lt-LT"/>
        </w:rPr>
        <w:t>; prisijungimo laikas: 2010-10-25.</w:t>
      </w:r>
    </w:p>
  </w:footnote>
  <w:footnote w:id="16">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Maogoto J. N. From Congo to East Timor in Forty Years: The UN Finally Crossing The Rubicon Between Peace-keeping and Peace-making? P.</w:t>
      </w:r>
      <w:r w:rsidR="00723E5F">
        <w:rPr>
          <w:lang w:val="lt-LT"/>
        </w:rPr>
        <w:t xml:space="preserve"> </w:t>
      </w:r>
      <w:r w:rsidRPr="00152A42">
        <w:rPr>
          <w:lang w:val="lt-LT"/>
        </w:rPr>
        <w:t xml:space="preserve">12. // </w:t>
      </w:r>
      <w:hyperlink r:id="rId12" w:history="1">
        <w:r w:rsidRPr="00152A42">
          <w:rPr>
            <w:rStyle w:val="Hyperlink"/>
            <w:rFonts w:eastAsiaTheme="majorEastAsia"/>
            <w:lang w:val="lt-LT"/>
          </w:rPr>
          <w:t>www.austlii.edu.au/</w:t>
        </w:r>
      </w:hyperlink>
      <w:r w:rsidRPr="00152A42">
        <w:rPr>
          <w:rStyle w:val="apple-style-span"/>
          <w:color w:val="0E774A"/>
          <w:lang w:val="lt-LT"/>
        </w:rPr>
        <w:t xml:space="preserve">; </w:t>
      </w:r>
      <w:r w:rsidRPr="00152A42">
        <w:rPr>
          <w:rStyle w:val="apple-style-span"/>
          <w:lang w:val="lt-LT"/>
        </w:rPr>
        <w:t>prisijungumo laikas: 2010-11-03.</w:t>
      </w:r>
    </w:p>
  </w:footnote>
  <w:footnote w:id="17">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Šis vertimas var</w:t>
      </w:r>
      <w:r>
        <w:rPr>
          <w:lang w:val="lt-LT"/>
        </w:rPr>
        <w:t>tojamas Europos Parlamento Vysty</w:t>
      </w:r>
      <w:r w:rsidRPr="00152A42">
        <w:rPr>
          <w:lang w:val="lt-LT"/>
        </w:rPr>
        <w:t>mosi Komiteto pateiktame protokole dėl 2010 m. vasario 4 d. vykusio posėdžio Nr. DEVE_PV(2010)0204_1.</w:t>
      </w:r>
    </w:p>
  </w:footnote>
  <w:footnote w:id="18">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Secretary-General Report. An Agenda for Peace: Preventive Diplomacy, Peacemaking and Peace-Keeping. UN Doc. A/47/277-S/24111.</w:t>
      </w:r>
      <w:r>
        <w:rPr>
          <w:lang w:val="lt-LT"/>
        </w:rPr>
        <w:t xml:space="preserve"> </w:t>
      </w:r>
      <w:r w:rsidR="00723E5F">
        <w:rPr>
          <w:lang w:val="lt-LT"/>
        </w:rPr>
        <w:t>17 June 1992.</w:t>
      </w:r>
      <w:r w:rsidRPr="00152A42">
        <w:rPr>
          <w:lang w:val="lt-LT"/>
        </w:rPr>
        <w:t xml:space="preserve"> § 20. // </w:t>
      </w:r>
      <w:hyperlink r:id="rId13" w:history="1">
        <w:r w:rsidRPr="00152A42">
          <w:rPr>
            <w:rStyle w:val="Hyperlink"/>
            <w:rFonts w:eastAsiaTheme="majorEastAsia"/>
            <w:lang w:val="lt-LT"/>
          </w:rPr>
          <w:t>http://www.un.org/Docs/SG/agpeace.html</w:t>
        </w:r>
      </w:hyperlink>
      <w:r w:rsidRPr="00152A42">
        <w:rPr>
          <w:lang w:val="lt-LT"/>
        </w:rPr>
        <w:t>; prisijungimo laikas: 2010-11-16.</w:t>
      </w:r>
    </w:p>
  </w:footnote>
  <w:footnote w:id="19">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Goulding M. The Evolution of United Nations Peacekeepi</w:t>
      </w:r>
      <w:r>
        <w:rPr>
          <w:lang w:val="lt-LT"/>
        </w:rPr>
        <w:t>ng. International Affairs,</w:t>
      </w:r>
      <w:r w:rsidRPr="00152A42">
        <w:rPr>
          <w:lang w:val="lt-LT"/>
        </w:rPr>
        <w:t xml:space="preserve"> Vol. 69</w:t>
      </w:r>
      <w:r>
        <w:rPr>
          <w:lang w:val="lt-LT"/>
        </w:rPr>
        <w:t>, 1993</w:t>
      </w:r>
      <w:r w:rsidRPr="00152A42">
        <w:rPr>
          <w:lang w:val="lt-LT"/>
        </w:rPr>
        <w:t>. P.</w:t>
      </w:r>
      <w:r w:rsidR="00723E5F">
        <w:rPr>
          <w:lang w:val="lt-LT"/>
        </w:rPr>
        <w:t xml:space="preserve"> </w:t>
      </w:r>
      <w:r w:rsidRPr="00152A42">
        <w:rPr>
          <w:lang w:val="lt-LT"/>
        </w:rPr>
        <w:t>455.</w:t>
      </w:r>
    </w:p>
  </w:footnote>
  <w:footnote w:id="20">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Department of Peacekeeping Operations.</w:t>
      </w:r>
      <w:r w:rsidR="00F829C6">
        <w:rPr>
          <w:lang w:val="lt-LT"/>
        </w:rPr>
        <w:t xml:space="preserve"> </w:t>
      </w:r>
      <w:r w:rsidRPr="00152A42">
        <w:rPr>
          <w:lang w:val="lt-LT"/>
        </w:rPr>
        <w:t>Handbook on United Nations Multidimensional Peacekeeping Operations. New York: Peacekeeping Best Practices Unit, 2003. P.</w:t>
      </w:r>
      <w:r w:rsidR="00F829C6">
        <w:rPr>
          <w:lang w:val="lt-LT"/>
        </w:rPr>
        <w:t xml:space="preserve"> </w:t>
      </w:r>
      <w:r w:rsidRPr="00152A42">
        <w:rPr>
          <w:lang w:val="lt-LT"/>
        </w:rPr>
        <w:t>1-2.</w:t>
      </w:r>
    </w:p>
  </w:footnote>
  <w:footnote w:id="21">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Jungtinių Tautų Chartija 1 str. 1 d. // </w:t>
      </w:r>
      <w:hyperlink r:id="rId14" w:history="1">
        <w:r w:rsidR="00F829C6" w:rsidRPr="005A432B">
          <w:rPr>
            <w:rStyle w:val="Hyperlink"/>
            <w:lang w:val="lt-LT"/>
          </w:rPr>
          <w:t>http://www3.lrs.lt</w:t>
        </w:r>
      </w:hyperlink>
      <w:r w:rsidR="00F829C6">
        <w:rPr>
          <w:lang w:val="lt-LT"/>
        </w:rPr>
        <w:t>;</w:t>
      </w:r>
      <w:r w:rsidRPr="00152A42">
        <w:rPr>
          <w:lang w:val="lt-LT"/>
        </w:rPr>
        <w:t xml:space="preserve"> prisijungimo laikas: 2010-09-07.</w:t>
      </w:r>
    </w:p>
  </w:footnote>
  <w:footnote w:id="22">
    <w:p w:rsidR="00F63CC2" w:rsidRPr="00152A42" w:rsidRDefault="00F63CC2" w:rsidP="006D5F99">
      <w:pPr>
        <w:autoSpaceDE w:val="0"/>
        <w:autoSpaceDN w:val="0"/>
        <w:adjustRightInd w:val="0"/>
        <w:spacing w:line="240" w:lineRule="auto"/>
        <w:ind w:left="199" w:hanging="199"/>
        <w:jc w:val="left"/>
        <w:rPr>
          <w:rFonts w:ascii="Century-Book" w:hAnsi="Century-Book" w:cs="Century-Book"/>
          <w:sz w:val="17"/>
          <w:szCs w:val="17"/>
          <w:lang w:val="lt-LT"/>
        </w:rPr>
      </w:pPr>
      <w:r w:rsidRPr="00152A42">
        <w:rPr>
          <w:rStyle w:val="FootnoteReference"/>
          <w:rFonts w:eastAsiaTheme="majorEastAsia"/>
          <w:lang w:val="lt-LT"/>
        </w:rPr>
        <w:footnoteRef/>
      </w:r>
      <w:r w:rsidRPr="00152A42">
        <w:rPr>
          <w:lang w:val="lt-LT"/>
        </w:rPr>
        <w:t xml:space="preserve"> </w:t>
      </w:r>
      <w:r w:rsidRPr="00152A42">
        <w:rPr>
          <w:iCs/>
          <w:sz w:val="20"/>
          <w:szCs w:val="20"/>
          <w:lang w:val="lt-LT"/>
        </w:rPr>
        <w:t>Reparation for Injuries Suffered in the Service of the United Nations</w:t>
      </w:r>
      <w:r w:rsidRPr="00152A42">
        <w:rPr>
          <w:sz w:val="20"/>
          <w:szCs w:val="20"/>
          <w:lang w:val="lt-LT"/>
        </w:rPr>
        <w:t>, Advisory Opinion: I.C.J. Reports 1949. P. 182 //</w:t>
      </w:r>
      <w:r w:rsidRPr="00152A42">
        <w:rPr>
          <w:rFonts w:ascii="Century-Book" w:hAnsi="Century-Book" w:cs="Century-Book"/>
          <w:sz w:val="20"/>
          <w:szCs w:val="20"/>
          <w:lang w:val="lt-LT"/>
        </w:rPr>
        <w:t xml:space="preserve">  </w:t>
      </w:r>
      <w:hyperlink r:id="rId15" w:history="1">
        <w:r w:rsidRPr="00152A42">
          <w:rPr>
            <w:rStyle w:val="Hyperlink"/>
            <w:rFonts w:eastAsiaTheme="majorEastAsia"/>
            <w:sz w:val="20"/>
            <w:szCs w:val="20"/>
            <w:lang w:val="lt-LT"/>
          </w:rPr>
          <w:t>http://www.icj-cij.org/docket/files/4/1835.pdf</w:t>
        </w:r>
      </w:hyperlink>
      <w:r w:rsidRPr="00152A42">
        <w:rPr>
          <w:sz w:val="20"/>
          <w:szCs w:val="20"/>
          <w:lang w:val="lt-LT"/>
        </w:rPr>
        <w:t>; prisijungimo laikas: 2010-10-10.</w:t>
      </w:r>
    </w:p>
  </w:footnote>
  <w:footnote w:id="23">
    <w:p w:rsidR="00F63CC2" w:rsidRPr="00537A4F"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Evans. D. M. International </w:t>
      </w:r>
      <w:r w:rsidRPr="00537A4F">
        <w:rPr>
          <w:lang w:val="lt-LT"/>
        </w:rPr>
        <w:t xml:space="preserve">Law. New York: Oxford University Press, 2006. P. 290. </w:t>
      </w:r>
    </w:p>
  </w:footnote>
  <w:footnote w:id="24">
    <w:p w:rsidR="00F63CC2" w:rsidRPr="00537A4F" w:rsidRDefault="00F63CC2" w:rsidP="006D5F99">
      <w:pPr>
        <w:pStyle w:val="FootnoteText"/>
        <w:spacing w:line="240" w:lineRule="auto"/>
        <w:ind w:left="199" w:hanging="199"/>
        <w:jc w:val="left"/>
        <w:rPr>
          <w:lang w:val="lt-LT"/>
        </w:rPr>
      </w:pPr>
      <w:r w:rsidRPr="00537A4F">
        <w:rPr>
          <w:rStyle w:val="FootnoteReference"/>
          <w:rFonts w:eastAsiaTheme="majorEastAsia"/>
          <w:lang w:val="lt-LT"/>
        </w:rPr>
        <w:footnoteRef/>
      </w:r>
      <w:r>
        <w:rPr>
          <w:lang w:val="lt-LT"/>
        </w:rPr>
        <w:t xml:space="preserve"> </w:t>
      </w:r>
      <w:r w:rsidRPr="00537A4F">
        <w:rPr>
          <w:lang w:val="lt-LT"/>
        </w:rPr>
        <w:t>Gareis S. V., Varwick J. The United Nations. An introduction. New York: Palgrave Macmillan, 2005. P. 81.</w:t>
      </w:r>
    </w:p>
  </w:footnote>
  <w:footnote w:id="25">
    <w:p w:rsidR="00F63CC2" w:rsidRPr="00152A42" w:rsidRDefault="00F63CC2" w:rsidP="001D6E17">
      <w:pPr>
        <w:pStyle w:val="FootnoteText"/>
        <w:spacing w:line="240" w:lineRule="auto"/>
        <w:ind w:left="199" w:hanging="199"/>
        <w:rPr>
          <w:lang w:val="lt-LT"/>
        </w:rPr>
      </w:pPr>
      <w:r w:rsidRPr="00537A4F">
        <w:rPr>
          <w:rStyle w:val="FootnoteReference"/>
          <w:lang w:val="lt-LT"/>
        </w:rPr>
        <w:footnoteRef/>
      </w:r>
      <w:r w:rsidRPr="00537A4F">
        <w:rPr>
          <w:lang w:val="lt-LT"/>
        </w:rPr>
        <w:t xml:space="preserve"> Greta šių principų minime Vestfalijos taikos</w:t>
      </w:r>
      <w:r w:rsidRPr="00537A4F">
        <w:rPr>
          <w:rFonts w:eastAsiaTheme="majorEastAsia"/>
          <w:lang w:val="lt-LT"/>
        </w:rPr>
        <w:t xml:space="preserve"> (užbaigiamas trisdešimties metų karas, vykęs 1618-1648 ir pažymima modernios Europos su nepriklausomomis valstybėmis pradžia)</w:t>
      </w:r>
      <w:r w:rsidRPr="00537A4F">
        <w:rPr>
          <w:lang w:val="lt-LT"/>
        </w:rPr>
        <w:t xml:space="preserve"> laikotarpio sampratą, kuriai</w:t>
      </w:r>
      <w:r w:rsidRPr="00152A42">
        <w:rPr>
          <w:lang w:val="lt-LT"/>
        </w:rPr>
        <w:t xml:space="preserve"> būdingi du Chartijoje minimi principai: suverenitetas ir nesikišimas į kitų valstybių vidaus reikalus.</w:t>
      </w:r>
      <w:r w:rsidRPr="00152A42">
        <w:rPr>
          <w:rFonts w:eastAsiaTheme="majorEastAsia"/>
          <w:lang w:val="lt-LT"/>
        </w:rPr>
        <w:t xml:space="preserve"> (</w:t>
      </w:r>
      <w:r w:rsidRPr="00152A42">
        <w:rPr>
          <w:lang w:val="lt-LT"/>
        </w:rPr>
        <w:t>Bellamy A. J., Williams P. D. Understanding peacekeeping. United Kingdom: Polity Press, 2010. P. 4.) Mokslininkas Stephen Krasner sąvoką „vestfalinis“ naudoja apibūdindamas politinio gyvenimo organizavimą, kuris neatsiejamas nuo dviejų pagrindinių principų: teritorialumo bei išorinių faktorių atskyrimo nuo vietinės valdžios struktūrų.</w:t>
      </w:r>
      <w:r w:rsidRPr="00152A42">
        <w:rPr>
          <w:rFonts w:eastAsiaTheme="majorEastAsia"/>
          <w:lang w:val="lt-LT"/>
        </w:rPr>
        <w:t xml:space="preserve"> (</w:t>
      </w:r>
      <w:r w:rsidRPr="00152A42">
        <w:rPr>
          <w:lang w:val="lt-LT"/>
        </w:rPr>
        <w:t xml:space="preserve">Straumann B. The Peace of Westphalia (1648) as a secular constitution. Vol. 15, No. 2, June 2008. P. 4. // </w:t>
      </w:r>
      <w:hyperlink r:id="rId16" w:history="1">
        <w:r w:rsidRPr="00152A42">
          <w:rPr>
            <w:rStyle w:val="Hyperlink"/>
            <w:rFonts w:eastAsiaTheme="majorEastAsia"/>
            <w:lang w:val="lt-LT"/>
          </w:rPr>
          <w:t>http://papers.ssrn.com/</w:t>
        </w:r>
      </w:hyperlink>
      <w:r w:rsidRPr="00152A42">
        <w:rPr>
          <w:lang w:val="lt-LT"/>
        </w:rPr>
        <w:t>; prisijungimo laikas: 2010-09-08.)</w:t>
      </w:r>
      <w:r>
        <w:rPr>
          <w:lang w:val="lt-LT"/>
        </w:rPr>
        <w:t xml:space="preserve"> </w:t>
      </w:r>
      <w:r w:rsidRPr="00152A42">
        <w:rPr>
          <w:lang w:val="lt-LT"/>
        </w:rPr>
        <w:t>Autorius teigia, kad suvereniteto autonomija yra pažeidžiama, kuomet išoriniai faktoriai įtakoja vietines valdžios struktūras.</w:t>
      </w:r>
      <w:r w:rsidRPr="00152A42">
        <w:rPr>
          <w:rFonts w:eastAsiaTheme="majorEastAsia"/>
          <w:lang w:val="lt-LT"/>
        </w:rPr>
        <w:t xml:space="preserve"> (</w:t>
      </w:r>
      <w:r w:rsidRPr="00152A42">
        <w:rPr>
          <w:lang w:val="lt-LT"/>
        </w:rPr>
        <w:t>Ibid, P.</w:t>
      </w:r>
      <w:r w:rsidR="0009103C">
        <w:rPr>
          <w:lang w:val="lt-LT"/>
        </w:rPr>
        <w:t xml:space="preserve"> </w:t>
      </w:r>
      <w:r w:rsidRPr="00152A42">
        <w:rPr>
          <w:lang w:val="lt-LT"/>
        </w:rPr>
        <w:t>4</w:t>
      </w:r>
      <w:r w:rsidR="0009103C">
        <w:rPr>
          <w:lang w:val="lt-LT"/>
        </w:rPr>
        <w:t>.</w:t>
      </w:r>
      <w:r w:rsidRPr="00152A42">
        <w:rPr>
          <w:lang w:val="lt-LT"/>
        </w:rPr>
        <w:t>) Matome, kad tiek Chartijoje minimas, tiek ir Vestfalijos taikos laikotarpiui būdin</w:t>
      </w:r>
      <w:r w:rsidR="00E625D0">
        <w:rPr>
          <w:lang w:val="lt-LT"/>
        </w:rPr>
        <w:t xml:space="preserve">gas principas nėra absoliutus. </w:t>
      </w:r>
      <w:r w:rsidRPr="00152A42">
        <w:rPr>
          <w:lang w:val="lt-LT"/>
        </w:rPr>
        <w:t>Minė</w:t>
      </w:r>
      <w:r w:rsidR="0009103C">
        <w:rPr>
          <w:lang w:val="lt-LT"/>
        </w:rPr>
        <w:t xml:space="preserve">tiems išoriniams faktoriams </w:t>
      </w:r>
      <w:r w:rsidRPr="00152A42">
        <w:rPr>
          <w:lang w:val="lt-LT"/>
        </w:rPr>
        <w:t>priskiriame taikos misiją. Tačiau svarbu pabrėžti, kad taikos misijos dalyviai neturi teisės kištis į valstybės vidinius reikalus ir jų susidomėjimo objektu tampa tik tie įvykiai, kurie sukelia grėsmę tarptautinei tvarkai, taikai bei saugumo palaikymui. Taigi</w:t>
      </w:r>
      <w:r>
        <w:rPr>
          <w:lang w:val="lt-LT"/>
        </w:rPr>
        <w:t>,</w:t>
      </w:r>
      <w:r w:rsidRPr="00152A42">
        <w:rPr>
          <w:lang w:val="lt-LT"/>
        </w:rPr>
        <w:t xml:space="preserve"> suvereniteto autonomija bus pažeidžiama tik vieninteliu atveju: iškilus tarptautinės taikos ir saugumo pavojui.</w:t>
      </w:r>
    </w:p>
  </w:footnote>
  <w:footnote w:id="26">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Kad misija galėtų veikti, jai reikalingi įgaliojimai. Misija formaliai yra sukuriama Jungtinių Tautų organo rezoliucija. Taisyklė yra tokia, kad ši galia yra priskirta Saugumo Tarybai. Šią rezoliuciją patvirtina Generalinio Sekretoriaus protokolas, kuriame paskelbiami įgaliojimai i</w:t>
      </w:r>
      <w:r>
        <w:rPr>
          <w:lang w:val="lt-LT"/>
        </w:rPr>
        <w:t>r detalios misijos funkcijos. (</w:t>
      </w:r>
      <w:r w:rsidRPr="00152A42">
        <w:rPr>
          <w:lang w:val="lt-LT"/>
        </w:rPr>
        <w:t xml:space="preserve">Simma B., Mosler H. The Charter of the United Nations: A Commentary. </w:t>
      </w:r>
      <w:r>
        <w:rPr>
          <w:lang w:val="lt-LT"/>
        </w:rPr>
        <w:t xml:space="preserve">USA: </w:t>
      </w:r>
      <w:r w:rsidRPr="00152A42">
        <w:rPr>
          <w:lang w:val="lt-LT"/>
        </w:rPr>
        <w:t>Oxford University Press, 2002. P.</w:t>
      </w:r>
      <w:r w:rsidR="00503A68">
        <w:rPr>
          <w:lang w:val="lt-LT"/>
        </w:rPr>
        <w:t xml:space="preserve"> </w:t>
      </w:r>
      <w:r w:rsidRPr="00152A42">
        <w:rPr>
          <w:lang w:val="lt-LT"/>
        </w:rPr>
        <w:t>681</w:t>
      </w:r>
      <w:r w:rsidR="00503A68">
        <w:rPr>
          <w:lang w:val="lt-LT"/>
        </w:rPr>
        <w:t>.</w:t>
      </w:r>
      <w:r w:rsidRPr="00152A42">
        <w:rPr>
          <w:lang w:val="lt-LT"/>
        </w:rPr>
        <w:t>)</w:t>
      </w:r>
    </w:p>
  </w:footnote>
  <w:footnote w:id="27">
    <w:p w:rsidR="00F63CC2" w:rsidRPr="00152A42" w:rsidRDefault="00F63CC2" w:rsidP="006D5F99">
      <w:pPr>
        <w:autoSpaceDE w:val="0"/>
        <w:autoSpaceDN w:val="0"/>
        <w:adjustRightInd w:val="0"/>
        <w:spacing w:line="240" w:lineRule="auto"/>
        <w:ind w:left="199" w:hanging="199"/>
        <w:jc w:val="left"/>
        <w:rPr>
          <w:sz w:val="20"/>
          <w:szCs w:val="20"/>
          <w:lang w:val="lt-LT"/>
        </w:rPr>
      </w:pPr>
      <w:r w:rsidRPr="00152A42">
        <w:rPr>
          <w:rStyle w:val="FootnoteReference"/>
          <w:rFonts w:eastAsiaTheme="majorEastAsia"/>
          <w:lang w:val="lt-LT"/>
        </w:rPr>
        <w:footnoteRef/>
      </w:r>
      <w:r w:rsidRPr="00152A42">
        <w:rPr>
          <w:sz w:val="20"/>
          <w:szCs w:val="20"/>
          <w:lang w:val="lt-LT"/>
        </w:rPr>
        <w:t>Fleck D. The handbook of the law of visiting forces. United Kingdom: Oxford University Press, 2001. P.</w:t>
      </w:r>
      <w:r w:rsidR="00C55C51">
        <w:rPr>
          <w:sz w:val="20"/>
          <w:szCs w:val="20"/>
          <w:lang w:val="lt-LT"/>
        </w:rPr>
        <w:t xml:space="preserve"> </w:t>
      </w:r>
      <w:r w:rsidRPr="00152A42">
        <w:rPr>
          <w:sz w:val="20"/>
          <w:szCs w:val="20"/>
          <w:lang w:val="lt-LT"/>
        </w:rPr>
        <w:t>487.</w:t>
      </w:r>
    </w:p>
    <w:p w:rsidR="00F63CC2" w:rsidRPr="00152A42" w:rsidRDefault="00F63CC2" w:rsidP="006D5F99">
      <w:pPr>
        <w:pStyle w:val="FootnoteText"/>
        <w:spacing w:line="240" w:lineRule="auto"/>
        <w:ind w:left="199" w:hanging="199"/>
        <w:jc w:val="left"/>
        <w:rPr>
          <w:lang w:val="lt-LT"/>
        </w:rPr>
      </w:pPr>
    </w:p>
  </w:footnote>
  <w:footnote w:id="28">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Certain Expenses of The United Nations (Article 17, Pargraph 2 of  the Charter) Advisory Opinion of 20 July 1962: I.C.J. Reports 1962. P. 168. // </w:t>
      </w:r>
      <w:hyperlink r:id="rId17" w:history="1">
        <w:r w:rsidRPr="00152A42">
          <w:rPr>
            <w:rStyle w:val="Hyperlink"/>
            <w:rFonts w:eastAsiaTheme="majorEastAsia"/>
            <w:lang w:val="lt-LT"/>
          </w:rPr>
          <w:t>http://www.icj-cij.org/docket/files/49/5259.pdf</w:t>
        </w:r>
      </w:hyperlink>
      <w:r w:rsidRPr="00152A42">
        <w:rPr>
          <w:lang w:val="lt-LT"/>
        </w:rPr>
        <w:t>; prisijungimo laikas: 2010-10-10.</w:t>
      </w:r>
    </w:p>
  </w:footnote>
  <w:footnote w:id="29">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Jungtinių Tautų Chartija 33 str. 1d. // </w:t>
      </w:r>
      <w:hyperlink r:id="rId18" w:history="1">
        <w:r w:rsidRPr="00152A42">
          <w:rPr>
            <w:rStyle w:val="Hyperlink"/>
            <w:lang w:val="lt-LT"/>
          </w:rPr>
          <w:t>http://www3.lrs.lt</w:t>
        </w:r>
      </w:hyperlink>
      <w:r w:rsidRPr="00152A42">
        <w:rPr>
          <w:lang w:val="lt-LT"/>
        </w:rPr>
        <w:t>; prisijungimo laikas: 2010-10-28.</w:t>
      </w:r>
    </w:p>
  </w:footnote>
  <w:footnote w:id="30">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Jungtinių Tautų Chartija 33 str. 2 d.  // </w:t>
      </w:r>
      <w:hyperlink r:id="rId19" w:history="1">
        <w:r w:rsidRPr="00152A42">
          <w:rPr>
            <w:rStyle w:val="Hyperlink"/>
            <w:lang w:val="lt-LT"/>
          </w:rPr>
          <w:t>http://www3.lrs.lt</w:t>
        </w:r>
      </w:hyperlink>
      <w:r w:rsidRPr="00152A42">
        <w:rPr>
          <w:lang w:val="lt-LT"/>
        </w:rPr>
        <w:t>; prisijungimo laikas: 2010-10-28.</w:t>
      </w:r>
    </w:p>
  </w:footnote>
  <w:footnote w:id="31">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Jungtinių Tautų Chartija 40 str. // </w:t>
      </w:r>
      <w:hyperlink r:id="rId20" w:history="1">
        <w:r w:rsidRPr="00152A42">
          <w:rPr>
            <w:rStyle w:val="Hyperlink"/>
            <w:lang w:val="lt-LT"/>
          </w:rPr>
          <w:t>http://www3.lrs.lt</w:t>
        </w:r>
      </w:hyperlink>
      <w:r w:rsidRPr="00152A42">
        <w:rPr>
          <w:lang w:val="lt-LT"/>
        </w:rPr>
        <w:t>; prisijungimo laikas: 2010-10-13.</w:t>
      </w:r>
    </w:p>
  </w:footnote>
  <w:footnote w:id="32">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Pr>
          <w:lang w:val="lt-LT"/>
        </w:rPr>
        <w:t xml:space="preserve"> </w:t>
      </w:r>
      <w:r w:rsidRPr="00152A42">
        <w:rPr>
          <w:lang w:val="lt-LT"/>
        </w:rPr>
        <w:t xml:space="preserve">Secretary-General. Report of the Panel of The United Nations Peace Operations. UN Doc. A/55/305 - S/2000/809.  §49 // </w:t>
      </w:r>
      <w:hyperlink r:id="rId21" w:history="1">
        <w:r w:rsidRPr="00152A42">
          <w:rPr>
            <w:rStyle w:val="Hyperlink"/>
            <w:rFonts w:eastAsiaTheme="majorEastAsia"/>
            <w:lang w:val="lt-LT"/>
          </w:rPr>
          <w:t>http://www.un.org/peace/reports/peace_operations/</w:t>
        </w:r>
      </w:hyperlink>
      <w:r w:rsidRPr="00152A42">
        <w:rPr>
          <w:lang w:val="lt-LT"/>
        </w:rPr>
        <w:t>; prisijungimo laikas: 2010-10-13.</w:t>
      </w:r>
    </w:p>
  </w:footnote>
  <w:footnote w:id="33">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Certain Expenses of The United Nations (Article 17, Pargraph 2 of  the Charter) Advisory Opinion of 20 July 1962: I.C.J. Reports 1962. P. 167. // </w:t>
      </w:r>
      <w:hyperlink r:id="rId22" w:history="1">
        <w:r w:rsidRPr="00152A42">
          <w:rPr>
            <w:rStyle w:val="Hyperlink"/>
            <w:rFonts w:eastAsiaTheme="majorEastAsia"/>
            <w:lang w:val="lt-LT"/>
          </w:rPr>
          <w:t>http://www.icj-cij.org/docket/files/49/5259.pdf</w:t>
        </w:r>
      </w:hyperlink>
      <w:r w:rsidRPr="00152A42">
        <w:rPr>
          <w:lang w:val="lt-LT"/>
        </w:rPr>
        <w:t>; prisijungimo laikas: 2010-10-10.</w:t>
      </w:r>
    </w:p>
  </w:footnote>
  <w:footnote w:id="34">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Legal Consequences for States of the Continued Presence of South Africa in Namibia (South West Africa)  notwithstanding Security Council Resolution 276 (1970),  Advisory Opinion, I.C.J. Reports 1971. P.</w:t>
      </w:r>
      <w:r>
        <w:rPr>
          <w:lang w:val="lt-LT"/>
        </w:rPr>
        <w:t xml:space="preserve"> </w:t>
      </w:r>
      <w:r w:rsidRPr="00152A42">
        <w:rPr>
          <w:lang w:val="lt-LT"/>
        </w:rPr>
        <w:t xml:space="preserve">52 // </w:t>
      </w:r>
      <w:hyperlink r:id="rId23" w:history="1">
        <w:r w:rsidRPr="00152A42">
          <w:rPr>
            <w:rStyle w:val="Hyperlink"/>
            <w:rFonts w:eastAsiaTheme="majorEastAsia"/>
            <w:lang w:val="lt-LT"/>
          </w:rPr>
          <w:t>http://www.icj-cij.org/docket/files/53/5595.pdf</w:t>
        </w:r>
      </w:hyperlink>
      <w:r w:rsidRPr="00152A42">
        <w:rPr>
          <w:lang w:val="lt-LT"/>
        </w:rPr>
        <w:t>; prisijungimo laikas: 2010-11-12.</w:t>
      </w:r>
    </w:p>
  </w:footnote>
  <w:footnote w:id="35">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Jungtinių Tautų Chartija 39 str. // </w:t>
      </w:r>
      <w:hyperlink r:id="rId24" w:history="1">
        <w:r w:rsidRPr="00152A42">
          <w:rPr>
            <w:rStyle w:val="Hyperlink"/>
            <w:lang w:val="lt-LT"/>
          </w:rPr>
          <w:t>http://www3.lrs.lt</w:t>
        </w:r>
      </w:hyperlink>
      <w:r w:rsidRPr="00152A42">
        <w:rPr>
          <w:lang w:val="lt-LT"/>
        </w:rPr>
        <w:t>; prisijungimo laikas: 2010-10-28.</w:t>
      </w:r>
    </w:p>
  </w:footnote>
  <w:footnote w:id="36">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Ten pat</w:t>
      </w:r>
    </w:p>
  </w:footnote>
  <w:footnote w:id="37">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Ten pat</w:t>
      </w:r>
    </w:p>
  </w:footnote>
  <w:footnote w:id="38">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„Siekdamos užtikrinti greitą ir veiksmingą Jungtinių Tautų veiklą, jos narės patiki Saugumo Tarybai pagrindinę atsakomybę už tarptautinės taikos ir saugumo palaikymą [...]“ (Jungtinių Tautų Chartija 24 str. 1 d. // </w:t>
      </w:r>
      <w:hyperlink r:id="rId25" w:history="1">
        <w:r w:rsidRPr="00D130BE">
          <w:rPr>
            <w:rStyle w:val="Hyperlink"/>
            <w:lang w:val="lt-LT"/>
          </w:rPr>
          <w:t>http://www3.lrs.lt</w:t>
        </w:r>
      </w:hyperlink>
      <w:r>
        <w:rPr>
          <w:lang w:val="lt-LT"/>
        </w:rPr>
        <w:t xml:space="preserve">; </w:t>
      </w:r>
      <w:r w:rsidRPr="00152A42">
        <w:rPr>
          <w:lang w:val="lt-LT"/>
        </w:rPr>
        <w:t>prisijungimo laikas: 2010-09-17. )</w:t>
      </w:r>
    </w:p>
  </w:footnote>
  <w:footnote w:id="39">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00454BC4">
        <w:rPr>
          <w:lang w:val="lt-LT"/>
        </w:rPr>
        <w:t xml:space="preserve"> Vienybės taikos labui</w:t>
      </w:r>
      <w:r w:rsidRPr="00152A42">
        <w:rPr>
          <w:lang w:val="lt-LT"/>
        </w:rPr>
        <w:t xml:space="preserve"> rezoliucija buvo priimta Korėjos krizės kontekste, kai Saugumo Tarybos teisė vykdyti saugumo politiką priemonėmis, skirtomis apsaugoti Korėjos valstybę prieš agresiją iš Šiaurės Korėjos buvo sustabdyta Sovietų Sąjungos veto teisės panaudojimu. Kaip išeitis iš šios situacijos</w:t>
      </w:r>
      <w:r w:rsidR="002D6219">
        <w:rPr>
          <w:lang w:val="lt-LT"/>
        </w:rPr>
        <w:t>,</w:t>
      </w:r>
      <w:r w:rsidRPr="00152A42">
        <w:rPr>
          <w:lang w:val="lt-LT"/>
        </w:rPr>
        <w:t xml:space="preserve"> Generalinė Asamblėja buvo įtinkinta prisiimti subsidiarią atsakomybę tarptautinės taikos </w:t>
      </w:r>
      <w:r>
        <w:rPr>
          <w:lang w:val="lt-LT"/>
        </w:rPr>
        <w:t>ir saugumo palaikymo kontekste ir tai davė pagrindą sukurti V</w:t>
      </w:r>
      <w:r w:rsidR="002C11E0">
        <w:rPr>
          <w:lang w:val="lt-LT"/>
        </w:rPr>
        <w:t>ienybės taikos labui</w:t>
      </w:r>
      <w:r w:rsidRPr="00152A42">
        <w:rPr>
          <w:lang w:val="lt-LT"/>
        </w:rPr>
        <w:t xml:space="preserve"> rezoliuciją – 377A (V) ( Tomuschat C. Uniting for Peace. General Assembly Resolution  377A (V) //  United Nations Audiovisual Library of International Law // </w:t>
      </w:r>
      <w:hyperlink r:id="rId26" w:history="1">
        <w:r w:rsidRPr="00152A42">
          <w:rPr>
            <w:rStyle w:val="Hyperlink"/>
            <w:rFonts w:eastAsiaTheme="majorEastAsia"/>
            <w:lang w:val="lt-LT"/>
          </w:rPr>
          <w:t>http://untreaty.un.org/</w:t>
        </w:r>
      </w:hyperlink>
      <w:r w:rsidRPr="00152A42">
        <w:rPr>
          <w:rFonts w:eastAsiaTheme="majorEastAsia"/>
          <w:lang w:val="lt-LT"/>
        </w:rPr>
        <w:t xml:space="preserve">; </w:t>
      </w:r>
      <w:r w:rsidRPr="00152A42">
        <w:rPr>
          <w:lang w:val="lt-LT"/>
        </w:rPr>
        <w:t xml:space="preserve"> prisijungimo laikas: 2010-10-13.)</w:t>
      </w:r>
    </w:p>
  </w:footnote>
  <w:footnote w:id="40">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General Assembly Resolution 3</w:t>
      </w:r>
      <w:r>
        <w:rPr>
          <w:lang w:val="lt-LT"/>
        </w:rPr>
        <w:t>77(V), 3 November 1950 //</w:t>
      </w:r>
      <w:r w:rsidRPr="00152A42">
        <w:rPr>
          <w:lang w:val="lt-LT"/>
        </w:rPr>
        <w:t xml:space="preserve"> </w:t>
      </w:r>
      <w:hyperlink r:id="rId27" w:history="1">
        <w:r w:rsidRPr="00152A42">
          <w:rPr>
            <w:rStyle w:val="Hyperlink"/>
            <w:rFonts w:eastAsiaTheme="majorEastAsia"/>
            <w:lang w:val="lt-LT"/>
          </w:rPr>
          <w:t>http://www.un.org</w:t>
        </w:r>
      </w:hyperlink>
      <w:r w:rsidRPr="00152A42">
        <w:rPr>
          <w:rFonts w:eastAsiaTheme="majorEastAsia"/>
          <w:lang w:val="lt-LT"/>
        </w:rPr>
        <w:t>;</w:t>
      </w:r>
      <w:r w:rsidRPr="00152A42">
        <w:rPr>
          <w:lang w:val="lt-LT"/>
        </w:rPr>
        <w:t xml:space="preserve"> prisijungimo laikas: 2010-10-29.</w:t>
      </w:r>
    </w:p>
  </w:footnote>
  <w:footnote w:id="41">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Pr>
          <w:lang w:val="lt-LT"/>
        </w:rPr>
        <w:t xml:space="preserve"> </w:t>
      </w:r>
      <w:r w:rsidRPr="00152A42">
        <w:rPr>
          <w:lang w:val="lt-LT"/>
        </w:rPr>
        <w:t>Legal consequences of the Construction of a Wall in the Occupied Palestinian Territory, Advisory</w:t>
      </w:r>
      <w:r>
        <w:rPr>
          <w:lang w:val="lt-LT"/>
        </w:rPr>
        <w:t xml:space="preserve"> Opinion, I.C.J. Reports 2004. </w:t>
      </w:r>
      <w:r w:rsidRPr="00152A42">
        <w:rPr>
          <w:lang w:val="lt-LT"/>
        </w:rPr>
        <w:t xml:space="preserve">P. 148 // </w:t>
      </w:r>
      <w:hyperlink r:id="rId28" w:history="1">
        <w:r w:rsidRPr="00152A42">
          <w:rPr>
            <w:rStyle w:val="Hyperlink"/>
            <w:rFonts w:eastAsiaTheme="majorEastAsia"/>
            <w:lang w:val="lt-LT"/>
          </w:rPr>
          <w:t>http://www.icj-cij.org/docket/files/131/1671.pdf</w:t>
        </w:r>
      </w:hyperlink>
      <w:r w:rsidRPr="00152A42">
        <w:rPr>
          <w:lang w:val="lt-LT"/>
        </w:rPr>
        <w:t>; prisijungimo laikas: 2010-11-12.</w:t>
      </w:r>
    </w:p>
  </w:footnote>
  <w:footnote w:id="42">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Žalimas D., Žalimienė S. Ž., Petrauskas Z., Saladžius J. Tarptautinės Organizacijos. Vilnius: Justitia 2001. P.</w:t>
      </w:r>
      <w:r>
        <w:rPr>
          <w:lang w:val="lt-LT"/>
        </w:rPr>
        <w:t xml:space="preserve"> </w:t>
      </w:r>
      <w:r w:rsidRPr="00152A42">
        <w:rPr>
          <w:lang w:val="lt-LT"/>
        </w:rPr>
        <w:t>284.</w:t>
      </w:r>
    </w:p>
  </w:footnote>
  <w:footnote w:id="43">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Jungtinių Tautų Chartija  24 str.</w:t>
      </w:r>
      <w:r>
        <w:rPr>
          <w:lang w:val="lt-LT"/>
        </w:rPr>
        <w:t xml:space="preserve"> </w:t>
      </w:r>
      <w:r w:rsidRPr="00152A42">
        <w:rPr>
          <w:lang w:val="lt-LT"/>
        </w:rPr>
        <w:t xml:space="preserve">// </w:t>
      </w:r>
      <w:hyperlink r:id="rId29" w:history="1">
        <w:r w:rsidRPr="00152A42">
          <w:rPr>
            <w:rStyle w:val="Hyperlink"/>
            <w:rFonts w:eastAsiaTheme="majorEastAsia"/>
            <w:lang w:val="lt-LT"/>
          </w:rPr>
          <w:t>http://www3.lrs.lt</w:t>
        </w:r>
      </w:hyperlink>
      <w:r w:rsidRPr="00152A42">
        <w:rPr>
          <w:lang w:val="lt-LT"/>
        </w:rPr>
        <w:t>; prisijungimo laikas: 2010-10-13.</w:t>
      </w:r>
    </w:p>
  </w:footnote>
  <w:footnote w:id="44">
    <w:p w:rsidR="00F63CC2" w:rsidRPr="00152A42" w:rsidRDefault="00F63CC2" w:rsidP="006D5F99">
      <w:pPr>
        <w:pStyle w:val="FootnoteText"/>
        <w:spacing w:line="240" w:lineRule="auto"/>
        <w:ind w:left="199" w:hanging="199"/>
        <w:jc w:val="left"/>
        <w:rPr>
          <w:lang w:val="lt-LT"/>
        </w:rPr>
      </w:pPr>
      <w:r w:rsidRPr="00152A42">
        <w:rPr>
          <w:rStyle w:val="FootnoteReference"/>
          <w:lang w:val="lt-LT"/>
        </w:rPr>
        <w:footnoteRef/>
      </w:r>
      <w:r w:rsidRPr="00152A42">
        <w:rPr>
          <w:lang w:val="lt-LT"/>
        </w:rPr>
        <w:t xml:space="preserve"> Legal consequences of the Construction of a Wall in the Occupied Palestinian Territory, Advisory Opinion, I.C.J. Reports 2004. P. 148. // </w:t>
      </w:r>
      <w:hyperlink r:id="rId30" w:history="1">
        <w:r w:rsidRPr="00152A42">
          <w:rPr>
            <w:rStyle w:val="Hyperlink"/>
            <w:rFonts w:eastAsiaTheme="majorEastAsia"/>
            <w:lang w:val="lt-LT"/>
          </w:rPr>
          <w:t>http://www.icj-cij.org/docket/files/131/1671.pdf</w:t>
        </w:r>
      </w:hyperlink>
      <w:r w:rsidRPr="00152A42">
        <w:rPr>
          <w:lang w:val="lt-LT"/>
        </w:rPr>
        <w:t>; prisijungimo laikas: 2010-11-12.</w:t>
      </w:r>
    </w:p>
  </w:footnote>
  <w:footnote w:id="45">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Pr>
          <w:lang w:val="lt-LT"/>
        </w:rPr>
        <w:t xml:space="preserve"> </w:t>
      </w:r>
      <w:r w:rsidRPr="00152A42">
        <w:rPr>
          <w:lang w:val="lt-LT"/>
        </w:rPr>
        <w:t>Jungtinių Tautų Chartija 12 str.</w:t>
      </w:r>
      <w:r>
        <w:rPr>
          <w:lang w:val="lt-LT"/>
        </w:rPr>
        <w:t xml:space="preserve"> </w:t>
      </w:r>
      <w:r w:rsidRPr="00152A42">
        <w:rPr>
          <w:lang w:val="lt-LT"/>
        </w:rPr>
        <w:t xml:space="preserve">// </w:t>
      </w:r>
      <w:hyperlink r:id="rId31" w:history="1">
        <w:r w:rsidRPr="00152A42">
          <w:rPr>
            <w:rStyle w:val="Hyperlink"/>
            <w:rFonts w:eastAsiaTheme="majorEastAsia"/>
            <w:lang w:val="lt-LT"/>
          </w:rPr>
          <w:t>http://www3.lrs.lt</w:t>
        </w:r>
      </w:hyperlink>
      <w:r w:rsidRPr="00152A42">
        <w:rPr>
          <w:lang w:val="lt-LT"/>
        </w:rPr>
        <w:t>; prisijungimo laikas: 2010-10-13.</w:t>
      </w:r>
    </w:p>
  </w:footnote>
  <w:footnote w:id="46">
    <w:p w:rsidR="00F63CC2" w:rsidRPr="00152A42" w:rsidRDefault="00F63CC2" w:rsidP="004F30D6">
      <w:pPr>
        <w:pStyle w:val="FootnoteText"/>
        <w:spacing w:line="240" w:lineRule="auto"/>
        <w:ind w:left="199" w:hanging="199"/>
        <w:jc w:val="left"/>
        <w:rPr>
          <w:lang w:val="lt-LT"/>
        </w:rPr>
      </w:pPr>
      <w:r w:rsidRPr="00152A42">
        <w:rPr>
          <w:rStyle w:val="FootnoteReference"/>
          <w:lang w:val="lt-LT"/>
        </w:rPr>
        <w:footnoteRef/>
      </w:r>
      <w:r w:rsidRPr="00152A42">
        <w:rPr>
          <w:lang w:val="lt-LT"/>
        </w:rPr>
        <w:t xml:space="preserve"> Legal consequences of the Construction of a Wall in the Occupied Palestinian Territory, Advisor</w:t>
      </w:r>
      <w:r w:rsidR="008B5F39">
        <w:rPr>
          <w:lang w:val="lt-LT"/>
        </w:rPr>
        <w:t xml:space="preserve">y Opinion, I.C.J. Reports 2004. </w:t>
      </w:r>
      <w:r w:rsidRPr="00152A42">
        <w:rPr>
          <w:lang w:val="lt-LT"/>
        </w:rPr>
        <w:t xml:space="preserve">P. 149. // </w:t>
      </w:r>
      <w:hyperlink r:id="rId32" w:history="1">
        <w:r w:rsidRPr="00152A42">
          <w:rPr>
            <w:rStyle w:val="Hyperlink"/>
            <w:rFonts w:eastAsiaTheme="majorEastAsia"/>
            <w:lang w:val="lt-LT"/>
          </w:rPr>
          <w:t>http://www.icj-cij.org/docket/files/131/1671.pdf</w:t>
        </w:r>
      </w:hyperlink>
      <w:r w:rsidRPr="00152A42">
        <w:rPr>
          <w:lang w:val="lt-LT"/>
        </w:rPr>
        <w:t>; prisijungimo laikas: 2010-11-12.</w:t>
      </w:r>
    </w:p>
  </w:footnote>
  <w:footnote w:id="47">
    <w:p w:rsidR="00F63CC2" w:rsidRPr="00152A42" w:rsidRDefault="00F63CC2" w:rsidP="004F30D6">
      <w:pPr>
        <w:pStyle w:val="FootnoteText"/>
        <w:spacing w:line="240" w:lineRule="auto"/>
        <w:ind w:left="199" w:hanging="199"/>
        <w:jc w:val="left"/>
        <w:rPr>
          <w:lang w:val="lt-LT"/>
        </w:rPr>
      </w:pPr>
      <w:r w:rsidRPr="00152A42">
        <w:rPr>
          <w:rStyle w:val="FootnoteReference"/>
          <w:lang w:val="lt-LT"/>
        </w:rPr>
        <w:footnoteRef/>
      </w:r>
      <w:r w:rsidRPr="00152A42">
        <w:rPr>
          <w:lang w:val="lt-LT"/>
        </w:rPr>
        <w:t xml:space="preserve"> Ibid</w:t>
      </w:r>
    </w:p>
  </w:footnote>
  <w:footnote w:id="48">
    <w:p w:rsidR="00F63CC2" w:rsidRPr="009D5DA3" w:rsidRDefault="00F63CC2" w:rsidP="004F30D6">
      <w:pPr>
        <w:pStyle w:val="FootnoteText"/>
        <w:spacing w:line="240" w:lineRule="auto"/>
        <w:rPr>
          <w:lang w:val="lt-LT"/>
        </w:rPr>
      </w:pPr>
      <w:r>
        <w:rPr>
          <w:rStyle w:val="FootnoteReference"/>
        </w:rPr>
        <w:footnoteRef/>
      </w:r>
      <w:r>
        <w:t xml:space="preserve"> </w:t>
      </w:r>
      <w:r>
        <w:rPr>
          <w:lang w:val="lt-LT"/>
        </w:rPr>
        <w:t>Jungtinių Tautų Chartija 11 str. 2 d</w:t>
      </w:r>
      <w:r w:rsidRPr="00152A42">
        <w:rPr>
          <w:lang w:val="lt-LT"/>
        </w:rPr>
        <w:t>.</w:t>
      </w:r>
      <w:r>
        <w:rPr>
          <w:lang w:val="lt-LT"/>
        </w:rPr>
        <w:t xml:space="preserve"> </w:t>
      </w:r>
      <w:r w:rsidRPr="00152A42">
        <w:rPr>
          <w:lang w:val="lt-LT"/>
        </w:rPr>
        <w:t xml:space="preserve">// </w:t>
      </w:r>
      <w:hyperlink r:id="rId33" w:history="1">
        <w:r w:rsidRPr="00152A42">
          <w:rPr>
            <w:rStyle w:val="Hyperlink"/>
            <w:rFonts w:eastAsiaTheme="majorEastAsia"/>
            <w:lang w:val="lt-LT"/>
          </w:rPr>
          <w:t>http://www3.lrs.lt</w:t>
        </w:r>
      </w:hyperlink>
      <w:r w:rsidRPr="00152A42">
        <w:rPr>
          <w:lang w:val="lt-LT"/>
        </w:rPr>
        <w:t>; prisijungimo laikas: 2010-10-13.</w:t>
      </w:r>
    </w:p>
  </w:footnote>
  <w:footnote w:id="49">
    <w:p w:rsidR="00F63CC2" w:rsidRPr="00152A42" w:rsidRDefault="00F63CC2" w:rsidP="004F30D6">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Certain Expenses of The United Nations (Article 17, Pargraph 2 of  the Charter) Advisory Opinion of 20 July 1962: I.C.J. Reports 1962. P. 163  // </w:t>
      </w:r>
      <w:hyperlink r:id="rId34" w:history="1">
        <w:r w:rsidRPr="00152A42">
          <w:rPr>
            <w:rStyle w:val="Hyperlink"/>
            <w:rFonts w:eastAsiaTheme="majorEastAsia"/>
            <w:lang w:val="lt-LT"/>
          </w:rPr>
          <w:t>http://www.icj-cij.org/docket/files/49/5259.pdf</w:t>
        </w:r>
      </w:hyperlink>
      <w:r w:rsidRPr="00152A42">
        <w:rPr>
          <w:lang w:val="lt-LT"/>
        </w:rPr>
        <w:t>; prisijungimo laikas: 2010-09-17.</w:t>
      </w:r>
    </w:p>
  </w:footnote>
  <w:footnote w:id="50">
    <w:p w:rsidR="00F63CC2" w:rsidRPr="00152A42" w:rsidRDefault="00F63CC2" w:rsidP="004F30D6">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Disenting Op</w:t>
      </w:r>
      <w:r>
        <w:rPr>
          <w:lang w:val="lt-LT"/>
        </w:rPr>
        <w:t xml:space="preserve">inion of Judge Koretsky.  P. 7. // </w:t>
      </w:r>
      <w:hyperlink r:id="rId35" w:history="1">
        <w:r w:rsidRPr="00152A42">
          <w:rPr>
            <w:rStyle w:val="Hyperlink"/>
            <w:rFonts w:eastAsiaTheme="majorEastAsia"/>
            <w:lang w:val="lt-LT"/>
          </w:rPr>
          <w:t>http://www.icj-cij.org/docket/index.php?p1=3&amp;p2=4&amp;k=4a&amp;case=49&amp;code=ceun&amp;p3=4</w:t>
        </w:r>
      </w:hyperlink>
      <w:r w:rsidRPr="00152A42">
        <w:rPr>
          <w:lang w:val="lt-LT"/>
        </w:rPr>
        <w:t>; prisijungimo laikas 2010-09-17.</w:t>
      </w:r>
    </w:p>
  </w:footnote>
  <w:footnote w:id="51">
    <w:p w:rsidR="00F63CC2" w:rsidRPr="00152A42" w:rsidRDefault="00F63CC2" w:rsidP="004F30D6">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Wet E. D. The Chapter VII Powers of the United Nations Security Council.</w:t>
      </w:r>
      <w:r>
        <w:rPr>
          <w:lang w:val="lt-LT"/>
        </w:rPr>
        <w:t xml:space="preserve"> </w:t>
      </w:r>
      <w:r w:rsidRPr="00152A42">
        <w:rPr>
          <w:lang w:val="lt-LT"/>
        </w:rPr>
        <w:t>Oxford: Hart publishing, 2004. P.</w:t>
      </w:r>
      <w:r>
        <w:rPr>
          <w:lang w:val="lt-LT"/>
        </w:rPr>
        <w:t xml:space="preserve"> </w:t>
      </w:r>
      <w:r w:rsidRPr="00152A42">
        <w:rPr>
          <w:lang w:val="lt-LT"/>
        </w:rPr>
        <w:t>33</w:t>
      </w:r>
      <w:r>
        <w:rPr>
          <w:lang w:val="lt-LT"/>
        </w:rPr>
        <w:t>.</w:t>
      </w:r>
      <w:r w:rsidRPr="00152A42">
        <w:rPr>
          <w:lang w:val="lt-LT"/>
        </w:rPr>
        <w:t xml:space="preserve"> </w:t>
      </w:r>
    </w:p>
  </w:footnote>
  <w:footnote w:id="52">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Gareis S.</w:t>
      </w:r>
      <w:r>
        <w:rPr>
          <w:lang w:val="lt-LT"/>
        </w:rPr>
        <w:t xml:space="preserve"> </w:t>
      </w:r>
      <w:r w:rsidRPr="00152A42">
        <w:rPr>
          <w:lang w:val="lt-LT"/>
        </w:rPr>
        <w:t>V.,</w:t>
      </w:r>
      <w:r>
        <w:rPr>
          <w:lang w:val="lt-LT"/>
        </w:rPr>
        <w:t xml:space="preserve"> Varwick J. The United Nations. </w:t>
      </w:r>
      <w:r w:rsidRPr="00152A42">
        <w:rPr>
          <w:lang w:val="lt-LT"/>
        </w:rPr>
        <w:t>An Introduction. New York: Palgrave Macmillan, 2005. P. 100.</w:t>
      </w:r>
    </w:p>
  </w:footnote>
  <w:footnote w:id="53">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Second Report of the Secretary-General on the Plan for UNEF. UN Doc. A/3302 (1956). Para. 9. // </w:t>
      </w:r>
      <w:hyperlink r:id="rId36" w:history="1">
        <w:r w:rsidRPr="00152A42">
          <w:rPr>
            <w:rStyle w:val="Hyperlink"/>
            <w:rFonts w:eastAsiaTheme="majorEastAsia"/>
            <w:lang w:val="lt-LT"/>
          </w:rPr>
          <w:t>http://daccess-ods.un.org</w:t>
        </w:r>
      </w:hyperlink>
      <w:r w:rsidRPr="00152A42">
        <w:rPr>
          <w:lang w:val="lt-LT"/>
        </w:rPr>
        <w:t>; prisijungimo laikas: 2010-10-30.</w:t>
      </w:r>
    </w:p>
  </w:footnote>
  <w:footnote w:id="54">
    <w:p w:rsidR="00F63CC2" w:rsidRPr="00152A42" w:rsidRDefault="00F63CC2" w:rsidP="008B5F3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United Nations Emergency Force. Special Report of the Secretary-General</w:t>
      </w:r>
      <w:r>
        <w:rPr>
          <w:lang w:val="lt-LT"/>
        </w:rPr>
        <w:t>.</w:t>
      </w:r>
      <w:r w:rsidR="008B5F39">
        <w:rPr>
          <w:lang w:val="lt-LT"/>
        </w:rPr>
        <w:t xml:space="preserve"> UN Doc. S/7906 (1967). </w:t>
      </w:r>
      <w:r w:rsidRPr="00152A42">
        <w:rPr>
          <w:lang w:val="lt-LT"/>
        </w:rPr>
        <w:t xml:space="preserve">Para. 3. // </w:t>
      </w:r>
      <w:hyperlink r:id="rId37" w:history="1">
        <w:r w:rsidRPr="00152A42">
          <w:rPr>
            <w:rStyle w:val="Hyperlink"/>
            <w:rFonts w:eastAsiaTheme="majorEastAsia"/>
            <w:lang w:val="lt-LT"/>
          </w:rPr>
          <w:t>http://daccess-ods.un.org</w:t>
        </w:r>
      </w:hyperlink>
      <w:r w:rsidRPr="00152A42">
        <w:rPr>
          <w:lang w:val="lt-LT"/>
        </w:rPr>
        <w:t>; prisijungimo laikas: 2010-10-30.</w:t>
      </w:r>
    </w:p>
  </w:footnote>
  <w:footnote w:id="55">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Chetail V. Ad-hocism ant the rules of collective security: is peacekeeping still relevant for maintaining international peace and security? Refugee Survey Quarterly, Vol. 23, No. 4, 2004. P. 96</w:t>
      </w:r>
      <w:r>
        <w:rPr>
          <w:lang w:val="lt-LT"/>
        </w:rPr>
        <w:t>.</w:t>
      </w:r>
      <w:r w:rsidRPr="00152A42">
        <w:rPr>
          <w:lang w:val="lt-LT"/>
        </w:rPr>
        <w:t xml:space="preserve"> // </w:t>
      </w:r>
      <w:hyperlink r:id="rId38" w:history="1">
        <w:r w:rsidRPr="00D130BE">
          <w:rPr>
            <w:rStyle w:val="Hyperlink"/>
            <w:lang w:val="lt-LT"/>
          </w:rPr>
          <w:t>http://papers.ssrn.com/</w:t>
        </w:r>
      </w:hyperlink>
      <w:r>
        <w:rPr>
          <w:lang w:val="lt-LT"/>
        </w:rPr>
        <w:t xml:space="preserve">; </w:t>
      </w:r>
      <w:r w:rsidRPr="00152A42">
        <w:rPr>
          <w:lang w:val="lt-LT"/>
        </w:rPr>
        <w:t>prisijungimo laikas: 2010-10-09.</w:t>
      </w:r>
    </w:p>
  </w:footnote>
  <w:footnote w:id="56">
    <w:p w:rsidR="00F63CC2" w:rsidRPr="00152A42" w:rsidRDefault="00F63CC2" w:rsidP="006D5F99">
      <w:pPr>
        <w:autoSpaceDE w:val="0"/>
        <w:autoSpaceDN w:val="0"/>
        <w:adjustRightInd w:val="0"/>
        <w:spacing w:line="240" w:lineRule="auto"/>
        <w:ind w:left="199" w:hanging="199"/>
        <w:jc w:val="left"/>
        <w:rPr>
          <w:sz w:val="20"/>
          <w:szCs w:val="20"/>
          <w:lang w:val="lt-LT" w:eastAsia="lt-LT"/>
        </w:rPr>
      </w:pPr>
      <w:r w:rsidRPr="00152A42">
        <w:rPr>
          <w:rStyle w:val="FootnoteReference"/>
          <w:rFonts w:eastAsiaTheme="majorEastAsia"/>
          <w:sz w:val="20"/>
          <w:szCs w:val="20"/>
          <w:lang w:val="lt-LT"/>
        </w:rPr>
        <w:footnoteRef/>
      </w:r>
      <w:r w:rsidRPr="00152A42">
        <w:rPr>
          <w:sz w:val="20"/>
          <w:szCs w:val="20"/>
          <w:lang w:val="lt-LT"/>
        </w:rPr>
        <w:t xml:space="preserve"> </w:t>
      </w:r>
      <w:r w:rsidRPr="00152A42">
        <w:rPr>
          <w:sz w:val="20"/>
          <w:szCs w:val="20"/>
          <w:lang w:val="lt-LT" w:eastAsia="lt-LT"/>
        </w:rPr>
        <w:t xml:space="preserve">Vienna Convention on the Law of Treaties between States and International Organizations or between International Organizations, 1986. Para. 2. // </w:t>
      </w:r>
      <w:hyperlink r:id="rId39" w:history="1">
        <w:r w:rsidRPr="00152A42">
          <w:rPr>
            <w:rStyle w:val="Hyperlink"/>
            <w:rFonts w:eastAsiaTheme="majorEastAsia"/>
            <w:sz w:val="20"/>
            <w:szCs w:val="20"/>
            <w:lang w:val="lt-LT" w:eastAsia="lt-LT"/>
          </w:rPr>
          <w:t>http://untreaty.un.org/</w:t>
        </w:r>
      </w:hyperlink>
      <w:r w:rsidRPr="00152A42">
        <w:rPr>
          <w:sz w:val="20"/>
          <w:szCs w:val="20"/>
          <w:lang w:val="lt-LT" w:eastAsia="lt-LT"/>
        </w:rPr>
        <w:t>; prisijungimo laikas; 2010-12-01.</w:t>
      </w:r>
    </w:p>
  </w:footnote>
  <w:footnote w:id="57">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Pr>
          <w:lang w:val="lt-LT"/>
        </w:rPr>
        <w:t xml:space="preserve"> Ibid, P</w:t>
      </w:r>
      <w:r w:rsidRPr="00152A42">
        <w:rPr>
          <w:lang w:val="lt-LT"/>
        </w:rPr>
        <w:t>ara.</w:t>
      </w:r>
      <w:r>
        <w:rPr>
          <w:lang w:val="lt-LT"/>
        </w:rPr>
        <w:t xml:space="preserve"> </w:t>
      </w:r>
      <w:r w:rsidRPr="00152A42">
        <w:rPr>
          <w:lang w:val="lt-LT"/>
        </w:rPr>
        <w:t>54</w:t>
      </w:r>
      <w:r>
        <w:rPr>
          <w:lang w:val="lt-LT"/>
        </w:rPr>
        <w:t>.</w:t>
      </w:r>
    </w:p>
  </w:footnote>
  <w:footnote w:id="58">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w:t>
      </w:r>
      <w:r w:rsidRPr="00354A4B">
        <w:rPr>
          <w:lang w:val="lt-LT"/>
        </w:rPr>
        <w:t>Tsagourias N. Consent, Neutrality/ Impartiality and the Use of Force in Peacekeeping: Their Constitutional Dimension. UK: Oxford University Press, 2007. P.</w:t>
      </w:r>
      <w:r>
        <w:rPr>
          <w:lang w:val="lt-LT"/>
        </w:rPr>
        <w:t xml:space="preserve"> </w:t>
      </w:r>
      <w:r w:rsidRPr="00354A4B">
        <w:rPr>
          <w:lang w:val="lt-LT"/>
        </w:rPr>
        <w:t xml:space="preserve">474. // </w:t>
      </w:r>
      <w:hyperlink r:id="rId40" w:history="1">
        <w:r w:rsidRPr="00354A4B">
          <w:rPr>
            <w:rStyle w:val="Hyperlink"/>
            <w:rFonts w:eastAsiaTheme="majorEastAsia"/>
            <w:lang w:val="lt-LT"/>
          </w:rPr>
          <w:t>http://jcsl.oxfordjournals.org/</w:t>
        </w:r>
      </w:hyperlink>
      <w:r w:rsidRPr="00354A4B">
        <w:rPr>
          <w:lang w:val="lt-LT"/>
        </w:rPr>
        <w:t>; prisijungimo laikas: 2010-11-10.</w:t>
      </w:r>
    </w:p>
  </w:footnote>
  <w:footnote w:id="59">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Aust A. Handbook of International Law. Cambridge University Press, 2005.  P. 58.</w:t>
      </w:r>
    </w:p>
  </w:footnote>
  <w:footnote w:id="60">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w:t>
      </w:r>
      <w:r w:rsidRPr="00152A42">
        <w:rPr>
          <w:lang w:val="lt-LT" w:eastAsia="lt-LT"/>
        </w:rPr>
        <w:t xml:space="preserve">Vienna Convention on the Law of Treaties between States and International Organizations or between International Organizations, 1986. Para. 6. // </w:t>
      </w:r>
      <w:hyperlink r:id="rId41" w:history="1">
        <w:r w:rsidRPr="00152A42">
          <w:rPr>
            <w:rStyle w:val="Hyperlink"/>
            <w:rFonts w:eastAsiaTheme="majorEastAsia"/>
            <w:lang w:val="lt-LT" w:eastAsia="lt-LT"/>
          </w:rPr>
          <w:t>http://untreaty.un.org/</w:t>
        </w:r>
      </w:hyperlink>
      <w:r w:rsidRPr="00152A42">
        <w:rPr>
          <w:lang w:val="lt-LT" w:eastAsia="lt-LT"/>
        </w:rPr>
        <w:t>; prisijungimo laikas; 2010-12-01.</w:t>
      </w:r>
    </w:p>
  </w:footnote>
  <w:footnote w:id="61">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Report of The Secretary-General.</w:t>
      </w:r>
      <w:r>
        <w:rPr>
          <w:lang w:val="lt-LT"/>
        </w:rPr>
        <w:t xml:space="preserve"> </w:t>
      </w:r>
      <w:r w:rsidRPr="00152A42">
        <w:rPr>
          <w:lang w:val="lt-LT"/>
        </w:rPr>
        <w:t>Comprehensive Review of the Whole question of Peace-keeping Operations in all their aspects. Model Status of Forces Agreement for Peace-keeping Operations. UN Doc. A/45/594. 9 October 1990. P. 11</w:t>
      </w:r>
      <w:r>
        <w:rPr>
          <w:lang w:val="lt-LT"/>
        </w:rPr>
        <w:t>.</w:t>
      </w:r>
      <w:r w:rsidRPr="00152A42">
        <w:rPr>
          <w:lang w:val="lt-LT"/>
        </w:rPr>
        <w:t xml:space="preserve"> // </w:t>
      </w:r>
      <w:hyperlink r:id="rId42" w:history="1">
        <w:r w:rsidRPr="00152A42">
          <w:rPr>
            <w:rStyle w:val="Hyperlink"/>
            <w:rFonts w:eastAsiaTheme="majorEastAsia"/>
            <w:lang w:val="lt-LT"/>
          </w:rPr>
          <w:t>http://daccess-dds-ny.un.org</w:t>
        </w:r>
      </w:hyperlink>
      <w:r w:rsidRPr="00152A42">
        <w:rPr>
          <w:lang w:val="lt-LT"/>
        </w:rPr>
        <w:t>; prisijungimo laikas: 2010-11-09.</w:t>
      </w:r>
    </w:p>
  </w:footnote>
  <w:footnote w:id="62">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Ibid, P.</w:t>
      </w:r>
      <w:r>
        <w:rPr>
          <w:lang w:val="lt-LT"/>
        </w:rPr>
        <w:t xml:space="preserve"> </w:t>
      </w:r>
      <w:r w:rsidRPr="00152A42">
        <w:rPr>
          <w:lang w:val="lt-LT"/>
        </w:rPr>
        <w:t>11-12.</w:t>
      </w:r>
    </w:p>
  </w:footnote>
  <w:footnote w:id="63">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w:t>
      </w:r>
      <w:r>
        <w:rPr>
          <w:lang w:val="lt-LT"/>
        </w:rPr>
        <w:t xml:space="preserve">Convention on the Privileges and Immunities of The United Nations, 1946. </w:t>
      </w:r>
      <w:r w:rsidRPr="00152A42">
        <w:rPr>
          <w:lang w:val="lt-LT"/>
        </w:rPr>
        <w:t>Sections 2, 18.</w:t>
      </w:r>
      <w:r>
        <w:rPr>
          <w:lang w:val="lt-LT"/>
        </w:rPr>
        <w:t xml:space="preserve"> // </w:t>
      </w:r>
      <w:hyperlink r:id="rId43" w:history="1">
        <w:r w:rsidRPr="003D405C">
          <w:rPr>
            <w:rStyle w:val="Hyperlink"/>
            <w:rFonts w:eastAsiaTheme="majorEastAsia"/>
          </w:rPr>
          <w:t>http://www1.umn.edu</w:t>
        </w:r>
      </w:hyperlink>
      <w:r>
        <w:rPr>
          <w:rFonts w:eastAsiaTheme="majorEastAsia"/>
        </w:rPr>
        <w:t xml:space="preserve">; prisijungimoa laikas: 2010-11-10. </w:t>
      </w:r>
    </w:p>
  </w:footnote>
  <w:footnote w:id="64">
    <w:p w:rsidR="00F63CC2" w:rsidRPr="00D46C52" w:rsidRDefault="00F63CC2" w:rsidP="006D5F99">
      <w:pPr>
        <w:pStyle w:val="FootnoteText"/>
        <w:spacing w:line="240" w:lineRule="auto"/>
        <w:ind w:left="199" w:hanging="199"/>
        <w:jc w:val="left"/>
        <w:rPr>
          <w:lang w:val="lt-LT"/>
        </w:rPr>
      </w:pPr>
      <w:r>
        <w:rPr>
          <w:rStyle w:val="FootnoteReference"/>
        </w:rPr>
        <w:footnoteRef/>
      </w:r>
      <w:r>
        <w:t xml:space="preserve"> </w:t>
      </w:r>
      <w:r>
        <w:rPr>
          <w:lang w:val="lt-LT"/>
        </w:rPr>
        <w:t xml:space="preserve">Convention on the Safety of United Nations and Associated Personnel, 1994. Article 5. // </w:t>
      </w:r>
      <w:hyperlink r:id="rId44" w:history="1">
        <w:r w:rsidRPr="003D405C">
          <w:rPr>
            <w:rStyle w:val="Hyperlink"/>
            <w:lang w:val="lt-LT"/>
          </w:rPr>
          <w:t>http://www.un.org</w:t>
        </w:r>
      </w:hyperlink>
      <w:r>
        <w:rPr>
          <w:lang w:val="lt-LT"/>
        </w:rPr>
        <w:t xml:space="preserve">; prisijungimo laikas: 2010-11-10. </w:t>
      </w:r>
    </w:p>
  </w:footnote>
  <w:footnote w:id="65">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Pr>
          <w:lang w:val="lt-LT"/>
        </w:rPr>
        <w:t xml:space="preserve"> </w:t>
      </w:r>
      <w:r w:rsidRPr="00152A42">
        <w:rPr>
          <w:lang w:val="lt-LT"/>
        </w:rPr>
        <w:t xml:space="preserve">U.S. Supreme </w:t>
      </w:r>
      <w:r>
        <w:rPr>
          <w:lang w:val="lt-LT"/>
        </w:rPr>
        <w:t xml:space="preserve">Court. The Exchange v. McFaddon. 11 U.S. 116 , 1812. P. 137. // </w:t>
      </w:r>
      <w:hyperlink r:id="rId45" w:history="1">
        <w:r w:rsidRPr="00152A42">
          <w:rPr>
            <w:rStyle w:val="Hyperlink"/>
            <w:rFonts w:eastAsiaTheme="majorEastAsia"/>
            <w:lang w:val="lt-LT"/>
          </w:rPr>
          <w:t>http://supreme.justia.com/us/11/116/case.html</w:t>
        </w:r>
      </w:hyperlink>
      <w:r w:rsidRPr="00152A42">
        <w:rPr>
          <w:lang w:val="lt-LT"/>
        </w:rPr>
        <w:t>; prisijungimo laikas: 2010-11-10.</w:t>
      </w:r>
    </w:p>
  </w:footnote>
  <w:footnote w:id="66">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Vadapalas V. Tarptautinė teisė. Pagrindiniai</w:t>
      </w:r>
      <w:r>
        <w:rPr>
          <w:lang w:val="lt-LT"/>
        </w:rPr>
        <w:t xml:space="preserve"> dokumentai ir jurisprudencija. </w:t>
      </w:r>
      <w:r w:rsidRPr="00152A42">
        <w:rPr>
          <w:lang w:val="lt-LT"/>
        </w:rPr>
        <w:t>Vilnius: Eugrimas, 2003. P. 263.</w:t>
      </w:r>
    </w:p>
  </w:footnote>
  <w:footnote w:id="67">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Straipsnių projekto 5 straipsnis: „Elgesys asmens ar vieneto, kuris nėra valstybės organas pagal 4 straipsnį, tačiau kuris pagal šios valstybės teisę įgaliotas vykdyti valstybinės valdžios tam tikrus elementus</w:t>
      </w:r>
      <w:r>
        <w:rPr>
          <w:lang w:val="lt-LT"/>
        </w:rPr>
        <w:t>,</w:t>
      </w:r>
      <w:r w:rsidRPr="00152A42">
        <w:rPr>
          <w:lang w:val="lt-LT"/>
        </w:rPr>
        <w:t xml:space="preserve"> laikomas valstybės veika su sąlyga, kad šis asmuo ar vienetas veikia turėdamas tokį statusą konkrečioje situacijoje.“</w:t>
      </w:r>
    </w:p>
  </w:footnote>
  <w:footnote w:id="68">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Shaw M.</w:t>
      </w:r>
      <w:r>
        <w:rPr>
          <w:lang w:val="lt-LT"/>
        </w:rPr>
        <w:t xml:space="preserve"> </w:t>
      </w:r>
      <w:r w:rsidRPr="00152A42">
        <w:rPr>
          <w:lang w:val="lt-LT"/>
        </w:rPr>
        <w:t>N. International Law. Sixth Edition. USA: Cambridge University Press, 2008. P. 787.</w:t>
      </w:r>
    </w:p>
  </w:footnote>
  <w:footnote w:id="69">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Cit.: Public Papers of the Secretaries-General of the United Nations. Volume III: Dag Hammarskjold 1956-1957. 1973 . P. 345.</w:t>
      </w:r>
    </w:p>
  </w:footnote>
  <w:footnote w:id="70">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w:t>
      </w:r>
      <w:r>
        <w:rPr>
          <w:lang w:val="lt-LT"/>
        </w:rPr>
        <w:t xml:space="preserve">Tsagourias </w:t>
      </w:r>
      <w:r w:rsidRPr="00706B39">
        <w:rPr>
          <w:lang w:val="lt-LT"/>
        </w:rPr>
        <w:t>N. Consent, Neutrality/ Impartiality and the Use of Force in Peacekeeping: Their Constitutional Dimension. UK: Oxford University Press, 2007. P.</w:t>
      </w:r>
      <w:r>
        <w:rPr>
          <w:lang w:val="lt-LT"/>
        </w:rPr>
        <w:t xml:space="preserve"> </w:t>
      </w:r>
      <w:r w:rsidRPr="00706B39">
        <w:rPr>
          <w:lang w:val="lt-LT"/>
        </w:rPr>
        <w:t xml:space="preserve">478. // </w:t>
      </w:r>
      <w:hyperlink r:id="rId46" w:history="1">
        <w:r w:rsidRPr="00706B39">
          <w:rPr>
            <w:rStyle w:val="Hyperlink"/>
            <w:rFonts w:eastAsiaTheme="majorEastAsia"/>
            <w:lang w:val="lt-LT"/>
          </w:rPr>
          <w:t>http://jcsl.oxfordjournals.org/</w:t>
        </w:r>
      </w:hyperlink>
      <w:r w:rsidRPr="00706B39">
        <w:rPr>
          <w:lang w:val="lt-LT"/>
        </w:rPr>
        <w:t>; prisijungimo laikas: 2010-11-10.</w:t>
      </w:r>
    </w:p>
  </w:footnote>
  <w:footnote w:id="71">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Report of The Secretary-General.</w:t>
      </w:r>
      <w:r>
        <w:rPr>
          <w:lang w:val="lt-LT"/>
        </w:rPr>
        <w:t xml:space="preserve"> </w:t>
      </w:r>
      <w:r w:rsidRPr="00152A42">
        <w:rPr>
          <w:lang w:val="lt-LT"/>
        </w:rPr>
        <w:t>Comprehensive Review of the Whole question of Peace-keeping Operations in all their aspects.</w:t>
      </w:r>
      <w:r>
        <w:rPr>
          <w:lang w:val="lt-LT"/>
        </w:rPr>
        <w:t xml:space="preserve"> </w:t>
      </w:r>
      <w:r w:rsidRPr="00152A42">
        <w:rPr>
          <w:lang w:val="lt-LT"/>
        </w:rPr>
        <w:t>Model Status Of Forces Agreement for Peace-keeping Operations. UN Doc. A/45/594. 9 October 1990. P. 3</w:t>
      </w:r>
      <w:r>
        <w:rPr>
          <w:lang w:val="lt-LT"/>
        </w:rPr>
        <w:t>.</w:t>
      </w:r>
      <w:r w:rsidRPr="00152A42">
        <w:rPr>
          <w:lang w:val="lt-LT"/>
        </w:rPr>
        <w:t xml:space="preserve"> // </w:t>
      </w:r>
      <w:hyperlink r:id="rId47" w:history="1">
        <w:r w:rsidRPr="00152A42">
          <w:rPr>
            <w:rStyle w:val="Hyperlink"/>
            <w:rFonts w:eastAsiaTheme="majorEastAsia"/>
            <w:lang w:val="lt-LT"/>
          </w:rPr>
          <w:t>http://daccess-dds-ny.un.org</w:t>
        </w:r>
      </w:hyperlink>
      <w:r w:rsidRPr="00152A42">
        <w:rPr>
          <w:lang w:val="lt-LT"/>
        </w:rPr>
        <w:t>; prisijungimo laikas: 2010-11-09.</w:t>
      </w:r>
    </w:p>
    <w:p w:rsidR="00F63CC2" w:rsidRPr="00152A42" w:rsidRDefault="00F63CC2" w:rsidP="006D5F99">
      <w:pPr>
        <w:pStyle w:val="FootnoteText"/>
        <w:spacing w:line="240" w:lineRule="auto"/>
        <w:ind w:left="199" w:hanging="199"/>
        <w:jc w:val="left"/>
        <w:rPr>
          <w:lang w:val="lt-LT"/>
        </w:rPr>
      </w:pPr>
    </w:p>
  </w:footnote>
  <w:footnote w:id="72">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Report of the Secretary-General. UN Doc</w:t>
      </w:r>
      <w:r w:rsidR="00186612">
        <w:rPr>
          <w:lang w:val="lt-LT"/>
        </w:rPr>
        <w:t>. S/4389. July-September 1960. P</w:t>
      </w:r>
      <w:r w:rsidRPr="00152A42">
        <w:rPr>
          <w:lang w:val="lt-LT"/>
        </w:rPr>
        <w:t>ara.</w:t>
      </w:r>
      <w:r>
        <w:rPr>
          <w:lang w:val="lt-LT"/>
        </w:rPr>
        <w:t xml:space="preserve"> </w:t>
      </w:r>
      <w:r w:rsidRPr="00152A42">
        <w:rPr>
          <w:lang w:val="lt-LT"/>
        </w:rPr>
        <w:t>15</w:t>
      </w:r>
      <w:r>
        <w:rPr>
          <w:lang w:val="lt-LT"/>
        </w:rPr>
        <w:t>.</w:t>
      </w:r>
      <w:r w:rsidRPr="00152A42">
        <w:rPr>
          <w:lang w:val="lt-LT"/>
        </w:rPr>
        <w:t xml:space="preserve"> // </w:t>
      </w:r>
      <w:hyperlink r:id="rId48" w:history="1">
        <w:r w:rsidRPr="00152A42">
          <w:rPr>
            <w:rStyle w:val="Hyperlink"/>
            <w:lang w:val="lt-LT"/>
          </w:rPr>
          <w:t>http://daccess-dds-ny.un.org</w:t>
        </w:r>
      </w:hyperlink>
      <w:r w:rsidRPr="00152A42">
        <w:rPr>
          <w:lang w:val="lt-LT"/>
        </w:rPr>
        <w:t>;  prisijungimo laikas: 2010-11-11.</w:t>
      </w:r>
    </w:p>
  </w:footnote>
  <w:footnote w:id="73">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Vadapalas V. Tarptautinė teisė. Pagrindiniai dokumentai ir jurisprudenci</w:t>
      </w:r>
      <w:r>
        <w:rPr>
          <w:lang w:val="lt-LT"/>
        </w:rPr>
        <w:t xml:space="preserve">ja. Vilnius: Eugrimas, 2003. P. </w:t>
      </w:r>
      <w:r w:rsidRPr="00152A42">
        <w:rPr>
          <w:lang w:val="lt-LT"/>
        </w:rPr>
        <w:t>263.</w:t>
      </w:r>
    </w:p>
  </w:footnote>
  <w:footnote w:id="74">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Tai asmenys, į kuriuos negalima teisėtai kėsintis. Prie jų priskirtini civiliai, karo medikai, karo kapelionai, sužeisti ir sergantys kariai. Prie nekombatantų priskiriami ir taikos misijų dalyviai.</w:t>
      </w:r>
    </w:p>
  </w:footnote>
  <w:footnote w:id="75">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Joseph M. United Nations Peace Operations: The Apllicable Norms and The Applicatio</w:t>
      </w:r>
      <w:r>
        <w:rPr>
          <w:lang w:val="lt-LT"/>
        </w:rPr>
        <w:t xml:space="preserve">n of The Law of Armed Conflict. </w:t>
      </w:r>
      <w:r w:rsidRPr="00152A42">
        <w:rPr>
          <w:lang w:val="lt-LT"/>
        </w:rPr>
        <w:t>5 June 2000. P. 40.</w:t>
      </w:r>
      <w:r>
        <w:rPr>
          <w:lang w:val="lt-LT"/>
        </w:rPr>
        <w:t xml:space="preserve"> </w:t>
      </w:r>
      <w:r w:rsidRPr="00152A42">
        <w:rPr>
          <w:lang w:val="lt-LT"/>
        </w:rPr>
        <w:t xml:space="preserve">// </w:t>
      </w:r>
      <w:hyperlink r:id="rId49" w:history="1">
        <w:r w:rsidRPr="00152A42">
          <w:rPr>
            <w:rStyle w:val="Hyperlink"/>
            <w:rFonts w:eastAsiaTheme="majorEastAsia"/>
            <w:lang w:val="lt-LT"/>
          </w:rPr>
          <w:t>http://www.au.af.mil/</w:t>
        </w:r>
      </w:hyperlink>
      <w:r w:rsidRPr="00152A42">
        <w:rPr>
          <w:lang w:val="lt-LT"/>
        </w:rPr>
        <w:t>; prisijungimo laikas: 2010-10-15.</w:t>
      </w:r>
    </w:p>
  </w:footnote>
  <w:footnote w:id="76">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Brinsmead S. Do UN peacekeepers have a duty to prevent hu</w:t>
      </w:r>
      <w:r w:rsidR="00186612">
        <w:rPr>
          <w:lang w:val="lt-LT"/>
        </w:rPr>
        <w:t xml:space="preserve">manitarian violations? 2007. </w:t>
      </w:r>
      <w:r>
        <w:rPr>
          <w:lang w:val="lt-LT"/>
        </w:rPr>
        <w:t xml:space="preserve">P. </w:t>
      </w:r>
      <w:r w:rsidRPr="00152A42">
        <w:rPr>
          <w:lang w:val="lt-LT"/>
        </w:rPr>
        <w:t>3.</w:t>
      </w:r>
      <w:r>
        <w:rPr>
          <w:lang w:val="lt-LT"/>
        </w:rPr>
        <w:t xml:space="preserve"> </w:t>
      </w:r>
      <w:r w:rsidRPr="00152A42">
        <w:rPr>
          <w:lang w:val="lt-LT"/>
        </w:rPr>
        <w:t xml:space="preserve">// </w:t>
      </w:r>
      <w:hyperlink r:id="rId50" w:history="1">
        <w:r w:rsidRPr="00152A42">
          <w:rPr>
            <w:rStyle w:val="Hyperlink"/>
            <w:rFonts w:eastAsiaTheme="majorEastAsia"/>
            <w:lang w:val="lt-LT"/>
          </w:rPr>
          <w:t>http://papers.ssrn.com/sol3/papers.cfm?abstract_id=1002921</w:t>
        </w:r>
      </w:hyperlink>
      <w:r w:rsidRPr="00152A42">
        <w:rPr>
          <w:lang w:val="lt-LT"/>
        </w:rPr>
        <w:t>; prisijungimo laikas: 2010-10-15.</w:t>
      </w:r>
    </w:p>
  </w:footnote>
  <w:footnote w:id="77">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Secretary-General‘s Bulletin: Observance by United Nations Forces of International Humanitarian Law. 6 August 1999. UN Doc. ST/SGB/1999/13.</w:t>
      </w:r>
      <w:r>
        <w:rPr>
          <w:lang w:val="lt-LT"/>
        </w:rPr>
        <w:t xml:space="preserve"> </w:t>
      </w:r>
      <w:r w:rsidRPr="00152A42">
        <w:rPr>
          <w:lang w:val="lt-LT"/>
        </w:rPr>
        <w:t xml:space="preserve">// </w:t>
      </w:r>
      <w:hyperlink r:id="rId51" w:history="1">
        <w:r w:rsidRPr="00152A42">
          <w:rPr>
            <w:rStyle w:val="Hyperlink"/>
            <w:rFonts w:eastAsiaTheme="majorEastAsia"/>
            <w:lang w:val="lt-LT"/>
          </w:rPr>
          <w:t>http://www.icrc.org/eng/resources/documents/misc/57jq7l.htm</w:t>
        </w:r>
      </w:hyperlink>
      <w:r w:rsidRPr="00152A42">
        <w:rPr>
          <w:lang w:val="lt-LT"/>
        </w:rPr>
        <w:t>; prisijungimo laikas: 2010-11-11.</w:t>
      </w:r>
    </w:p>
  </w:footnote>
  <w:footnote w:id="78">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Evans. D. M. International Law. New York: O</w:t>
      </w:r>
      <w:r>
        <w:rPr>
          <w:lang w:val="lt-LT"/>
        </w:rPr>
        <w:t xml:space="preserve">xford University Press, 2006. P. </w:t>
      </w:r>
      <w:r w:rsidRPr="00152A42">
        <w:rPr>
          <w:lang w:val="lt-LT"/>
        </w:rPr>
        <w:t>786.</w:t>
      </w:r>
    </w:p>
  </w:footnote>
  <w:footnote w:id="79">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Convention on the Safety of United Nations</w:t>
      </w:r>
      <w:r>
        <w:rPr>
          <w:lang w:val="lt-LT"/>
        </w:rPr>
        <w:t xml:space="preserve"> and Associated Personnel, 1994. </w:t>
      </w:r>
      <w:r w:rsidRPr="00152A42">
        <w:rPr>
          <w:lang w:val="lt-LT"/>
        </w:rPr>
        <w:t xml:space="preserve">// </w:t>
      </w:r>
      <w:hyperlink r:id="rId52" w:history="1">
        <w:r w:rsidRPr="00152A42">
          <w:rPr>
            <w:rStyle w:val="Hyperlink"/>
            <w:rFonts w:eastAsiaTheme="majorEastAsia"/>
            <w:lang w:val="lt-LT"/>
          </w:rPr>
          <w:t>http://www.un.org/law/cod/safety.htm</w:t>
        </w:r>
      </w:hyperlink>
      <w:r w:rsidRPr="00152A42">
        <w:rPr>
          <w:lang w:val="lt-LT"/>
        </w:rPr>
        <w:t>; prisijungimo laikas: 2010-11-11.</w:t>
      </w:r>
    </w:p>
  </w:footnote>
  <w:footnote w:id="80">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International Criminal Tribunal for The Former Yugoslavia. Prosecutor v. Dusko Tadic. Decision on the defence</w:t>
      </w:r>
      <w:r>
        <w:rPr>
          <w:lang w:val="lt-LT"/>
        </w:rPr>
        <w:t xml:space="preserve"> </w:t>
      </w:r>
      <w:r w:rsidRPr="00152A42">
        <w:rPr>
          <w:lang w:val="lt-LT"/>
        </w:rPr>
        <w:t>motion for interlocutory appeal on jurisdiction. 2 October 1995.</w:t>
      </w:r>
      <w:r>
        <w:rPr>
          <w:lang w:val="lt-LT"/>
        </w:rPr>
        <w:t xml:space="preserve"> </w:t>
      </w:r>
      <w:r w:rsidRPr="00152A42">
        <w:rPr>
          <w:lang w:val="lt-LT"/>
        </w:rPr>
        <w:t>C</w:t>
      </w:r>
      <w:r>
        <w:rPr>
          <w:lang w:val="lt-LT"/>
        </w:rPr>
        <w:t xml:space="preserve">ase No. IT-94-1-AR72. Para. 70. </w:t>
      </w:r>
      <w:r w:rsidRPr="00152A42">
        <w:rPr>
          <w:lang w:val="lt-LT"/>
        </w:rPr>
        <w:t xml:space="preserve">// </w:t>
      </w:r>
      <w:hyperlink r:id="rId53" w:history="1">
        <w:r w:rsidRPr="00152A42">
          <w:rPr>
            <w:rStyle w:val="Hyperlink"/>
            <w:rFonts w:eastAsiaTheme="majorEastAsia"/>
            <w:lang w:val="lt-LT"/>
          </w:rPr>
          <w:t>http://www.icty.org/x/cases/tadic/acdec/en/51002.htm</w:t>
        </w:r>
      </w:hyperlink>
      <w:r w:rsidRPr="00152A42">
        <w:rPr>
          <w:lang w:val="lt-LT"/>
        </w:rPr>
        <w:t>; prisijungimo laikas: 2010-10-15.</w:t>
      </w:r>
    </w:p>
  </w:footnote>
  <w:footnote w:id="81">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Shaw M. N. International Law. Sixth Edition. USA: Cambridge University Press, 2008. P.</w:t>
      </w:r>
      <w:r>
        <w:rPr>
          <w:lang w:val="lt-LT"/>
        </w:rPr>
        <w:t xml:space="preserve"> </w:t>
      </w:r>
      <w:r w:rsidRPr="00152A42">
        <w:rPr>
          <w:lang w:val="lt-LT"/>
        </w:rPr>
        <w:t>793.</w:t>
      </w:r>
    </w:p>
  </w:footnote>
  <w:footnote w:id="82">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rFonts w:eastAsiaTheme="majorEastAsia"/>
          <w:lang w:val="lt-LT"/>
        </w:rPr>
        <w:t xml:space="preserve"> </w:t>
      </w:r>
      <w:r w:rsidRPr="00152A42">
        <w:rPr>
          <w:lang w:val="lt-LT"/>
        </w:rPr>
        <w:t>Vadapalas V.Tarptautinė tei</w:t>
      </w:r>
      <w:r>
        <w:rPr>
          <w:lang w:val="lt-LT"/>
        </w:rPr>
        <w:t xml:space="preserve">sė. Vilnius: Eugrimas, 2006. P. </w:t>
      </w:r>
      <w:r w:rsidRPr="00152A42">
        <w:rPr>
          <w:lang w:val="lt-LT"/>
        </w:rPr>
        <w:t>486.</w:t>
      </w:r>
    </w:p>
  </w:footnote>
  <w:footnote w:id="83">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Security Council Resolution 14</w:t>
      </w:r>
      <w:r w:rsidR="00312864">
        <w:rPr>
          <w:lang w:val="lt-LT"/>
        </w:rPr>
        <w:t>3. 14 July 1960. UN Doc. S/4387</w:t>
      </w:r>
      <w:r w:rsidR="00D601BD">
        <w:rPr>
          <w:lang w:val="lt-LT"/>
        </w:rPr>
        <w:t xml:space="preserve">. </w:t>
      </w:r>
      <w:r w:rsidRPr="00152A42">
        <w:rPr>
          <w:lang w:val="lt-LT"/>
        </w:rPr>
        <w:t xml:space="preserve"> // </w:t>
      </w:r>
      <w:hyperlink r:id="rId54" w:history="1">
        <w:r w:rsidRPr="00152A42">
          <w:rPr>
            <w:rStyle w:val="Hyperlink"/>
            <w:lang w:val="lt-LT"/>
          </w:rPr>
          <w:t>http://daccess-dds-ny.un.org/</w:t>
        </w:r>
      </w:hyperlink>
      <w:r w:rsidRPr="00152A42">
        <w:rPr>
          <w:lang w:val="lt-LT"/>
        </w:rPr>
        <w:t>;  prisijungimo laikas: 2010-10-14.</w:t>
      </w:r>
    </w:p>
  </w:footnote>
  <w:footnote w:id="84">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Security Council Resolution 161. 21</w:t>
      </w:r>
      <w:r w:rsidR="00D601BD">
        <w:rPr>
          <w:lang w:val="lt-LT"/>
        </w:rPr>
        <w:t xml:space="preserve"> February 1961. UN Doc. S/4741. </w:t>
      </w:r>
      <w:r w:rsidRPr="00152A42">
        <w:rPr>
          <w:lang w:val="lt-LT"/>
        </w:rPr>
        <w:t xml:space="preserve">// </w:t>
      </w:r>
      <w:hyperlink r:id="rId55" w:history="1">
        <w:r w:rsidRPr="00152A42">
          <w:rPr>
            <w:rStyle w:val="Hyperlink"/>
            <w:lang w:val="lt-LT"/>
          </w:rPr>
          <w:t>http://daccess-dds-ny.un.org/</w:t>
        </w:r>
      </w:hyperlink>
      <w:r w:rsidRPr="00152A42">
        <w:rPr>
          <w:lang w:val="lt-LT"/>
        </w:rPr>
        <w:t>;  prisijungimo laikas: 2010-10-14.</w:t>
      </w:r>
    </w:p>
  </w:footnote>
  <w:footnote w:id="85">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S</w:t>
      </w:r>
      <w:r>
        <w:rPr>
          <w:lang w:val="lt-LT"/>
        </w:rPr>
        <w:t>ecurity Council Resolution. 169</w:t>
      </w:r>
      <w:r w:rsidRPr="00152A42">
        <w:rPr>
          <w:lang w:val="lt-LT"/>
        </w:rPr>
        <w:t>. 2</w:t>
      </w:r>
      <w:r w:rsidR="00D601BD">
        <w:rPr>
          <w:lang w:val="lt-LT"/>
        </w:rPr>
        <w:t xml:space="preserve">4 November 196. UN Doc. S/5002. </w:t>
      </w:r>
      <w:r w:rsidRPr="00152A42">
        <w:rPr>
          <w:lang w:val="lt-LT"/>
        </w:rPr>
        <w:t xml:space="preserve">// </w:t>
      </w:r>
      <w:hyperlink r:id="rId56" w:history="1">
        <w:r w:rsidRPr="00152A42">
          <w:rPr>
            <w:rStyle w:val="Hyperlink"/>
            <w:lang w:val="lt-LT"/>
          </w:rPr>
          <w:t>http://daccess-dds-ny.un.org/</w:t>
        </w:r>
      </w:hyperlink>
      <w:r w:rsidRPr="00152A42">
        <w:rPr>
          <w:lang w:val="lt-LT"/>
        </w:rPr>
        <w:t>;  prisijungimo laikas: 2010-10-19.</w:t>
      </w:r>
    </w:p>
  </w:footnote>
  <w:footnote w:id="86">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Tshiband S. The United Nations’ use of Force in Peace Support Operations: The Question of Civilian and Military Insubordination in Onuc’s operations in Katanga. June 19, 2009. P.</w:t>
      </w:r>
      <w:r w:rsidR="00D601BD">
        <w:rPr>
          <w:lang w:val="lt-LT"/>
        </w:rPr>
        <w:t xml:space="preserve"> </w:t>
      </w:r>
      <w:r w:rsidRPr="00152A42">
        <w:rPr>
          <w:lang w:val="lt-LT"/>
        </w:rPr>
        <w:t>21.</w:t>
      </w:r>
      <w:r w:rsidR="00D601BD">
        <w:rPr>
          <w:lang w:val="lt-LT"/>
        </w:rPr>
        <w:t xml:space="preserve"> </w:t>
      </w:r>
      <w:r w:rsidRPr="00152A42">
        <w:rPr>
          <w:lang w:val="lt-LT"/>
        </w:rPr>
        <w:t xml:space="preserve">// </w:t>
      </w:r>
      <w:hyperlink r:id="rId57" w:history="1">
        <w:r w:rsidRPr="00152A42">
          <w:rPr>
            <w:rStyle w:val="Hyperlink"/>
            <w:rFonts w:eastAsiaTheme="majorEastAsia"/>
            <w:lang w:val="lt-LT"/>
          </w:rPr>
          <w:t>http://papers.ssrn.com/</w:t>
        </w:r>
      </w:hyperlink>
      <w:r w:rsidRPr="00152A42">
        <w:rPr>
          <w:lang w:val="lt-LT"/>
        </w:rPr>
        <w:t>; prisijungimo laikas:2010-10-25.</w:t>
      </w:r>
    </w:p>
  </w:footnote>
  <w:footnote w:id="87">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First Report by the Secretary General on the Implementation of Security Council Resolution S/4387 of 14 July 1960, United Nations Emergency Force, Summary Study of the</w:t>
      </w:r>
      <w:r>
        <w:rPr>
          <w:lang w:val="lt-LT"/>
        </w:rPr>
        <w:t xml:space="preserve"> </w:t>
      </w:r>
      <w:r w:rsidRPr="00152A42">
        <w:rPr>
          <w:lang w:val="lt-LT"/>
        </w:rPr>
        <w:t xml:space="preserve"> Experienced Derived From the Establishment and Operation of the Force: Report of the Secretary-General, UN SCOR, UN Doc. S/4389. 14 July 1960. Para. 15. </w:t>
      </w:r>
    </w:p>
  </w:footnote>
  <w:footnote w:id="88">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Malone D. M. The UN Security Council. From the Cold War to the 21st Century. London: Lynne Rienner Publishers, 2004. P. 453.</w:t>
      </w:r>
    </w:p>
  </w:footnote>
  <w:footnote w:id="89">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Security Council Resolution 749. 7 April 1992. UN Doc. S/ RES/ 749. //  </w:t>
      </w:r>
      <w:hyperlink r:id="rId58" w:history="1">
        <w:r w:rsidRPr="00152A42">
          <w:rPr>
            <w:rStyle w:val="Hyperlink"/>
            <w:rFonts w:eastAsiaTheme="majorEastAsia"/>
            <w:lang w:val="lt-LT"/>
          </w:rPr>
          <w:t>http://daccess-dds-ny.un.org/</w:t>
        </w:r>
      </w:hyperlink>
      <w:r w:rsidRPr="00152A42">
        <w:rPr>
          <w:lang w:val="lt-LT"/>
        </w:rPr>
        <w:t>; prisijungimo laikas: 2010-11-22.</w:t>
      </w:r>
    </w:p>
  </w:footnote>
  <w:footnote w:id="90">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Security Council Resolution 776. 14 September 1992. UN Doc. S/RES/776. // </w:t>
      </w:r>
      <w:hyperlink r:id="rId59" w:history="1">
        <w:r w:rsidRPr="00152A42">
          <w:rPr>
            <w:rStyle w:val="Hyperlink"/>
            <w:rFonts w:eastAsiaTheme="majorEastAsia"/>
            <w:lang w:val="lt-LT"/>
          </w:rPr>
          <w:t>http://daccess-dds-ny.un.org/</w:t>
        </w:r>
      </w:hyperlink>
      <w:r w:rsidRPr="00152A42">
        <w:rPr>
          <w:lang w:val="lt-LT"/>
        </w:rPr>
        <w:t>; prisijungimo laikas: 2010-11-23.</w:t>
      </w:r>
    </w:p>
  </w:footnote>
  <w:footnote w:id="91">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Security Council Resolution 819. 16 April 1993. UN Doc. S/RES/819. // </w:t>
      </w:r>
      <w:hyperlink r:id="rId60" w:history="1">
        <w:r w:rsidRPr="00152A42">
          <w:rPr>
            <w:rStyle w:val="Hyperlink"/>
            <w:rFonts w:eastAsiaTheme="majorEastAsia"/>
            <w:lang w:val="lt-LT"/>
          </w:rPr>
          <w:t>http://daccess-dds-ny.un.org/</w:t>
        </w:r>
      </w:hyperlink>
      <w:r w:rsidRPr="00152A42">
        <w:rPr>
          <w:lang w:val="lt-LT"/>
        </w:rPr>
        <w:t>; prisijungimo laikas: 2010-11-23.</w:t>
      </w:r>
    </w:p>
  </w:footnote>
  <w:footnote w:id="92">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Security Council Resolution 824.</w:t>
      </w:r>
      <w:r w:rsidR="004665AC">
        <w:rPr>
          <w:lang w:val="lt-LT"/>
        </w:rPr>
        <w:t xml:space="preserve"> 6 May 1993. UN Doc. S/RES/824. </w:t>
      </w:r>
      <w:r w:rsidRPr="00152A42">
        <w:rPr>
          <w:lang w:val="lt-LT"/>
        </w:rPr>
        <w:t xml:space="preserve">//  </w:t>
      </w:r>
      <w:hyperlink r:id="rId61" w:history="1">
        <w:r w:rsidRPr="00152A42">
          <w:rPr>
            <w:rStyle w:val="Hyperlink"/>
            <w:rFonts w:eastAsiaTheme="majorEastAsia"/>
            <w:lang w:val="lt-LT"/>
          </w:rPr>
          <w:t>http://daccess-dds-ny.un.org/</w:t>
        </w:r>
      </w:hyperlink>
      <w:r w:rsidRPr="00152A42">
        <w:rPr>
          <w:lang w:val="lt-LT"/>
        </w:rPr>
        <w:t>; prisijungimo laikas: 2010-11-23.</w:t>
      </w:r>
    </w:p>
  </w:footnote>
  <w:footnote w:id="93">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w:t>
      </w:r>
      <w:r w:rsidRPr="00152A42">
        <w:rPr>
          <w:iCs/>
          <w:lang w:val="lt-LT"/>
        </w:rPr>
        <w:t>Report of the Secretary-General Pursuant to General Assembly Resolution 53/35: The Fall of Srebrenica</w:t>
      </w:r>
      <w:r w:rsidRPr="00152A42">
        <w:rPr>
          <w:lang w:val="lt-LT"/>
        </w:rPr>
        <w:t xml:space="preserve">, 15 November 1999,  UN Doc. A/54/549. Para. 499. // </w:t>
      </w:r>
      <w:hyperlink r:id="rId62" w:history="1">
        <w:r w:rsidRPr="00152A42">
          <w:rPr>
            <w:rStyle w:val="Hyperlink"/>
            <w:rFonts w:eastAsiaTheme="majorEastAsia"/>
            <w:lang w:val="lt-LT"/>
          </w:rPr>
          <w:t>http://www.unhcr.org</w:t>
        </w:r>
      </w:hyperlink>
      <w:r w:rsidRPr="00152A42">
        <w:rPr>
          <w:lang w:val="lt-LT"/>
        </w:rPr>
        <w:t>; prisijungimo laikas: 2010-11-23.</w:t>
      </w:r>
    </w:p>
  </w:footnote>
  <w:footnote w:id="94">
    <w:p w:rsidR="00F63CC2" w:rsidRPr="00143F96" w:rsidRDefault="00F63CC2" w:rsidP="006D5F99">
      <w:pPr>
        <w:pStyle w:val="FootnoteText"/>
        <w:spacing w:line="240" w:lineRule="auto"/>
        <w:ind w:left="199" w:hanging="199"/>
        <w:jc w:val="left"/>
        <w:rPr>
          <w:lang w:val="lt-LT"/>
        </w:rPr>
      </w:pPr>
      <w:r>
        <w:rPr>
          <w:rStyle w:val="FootnoteReference"/>
        </w:rPr>
        <w:footnoteRef/>
      </w:r>
      <w:r>
        <w:t xml:space="preserve">  </w:t>
      </w:r>
      <w:r>
        <w:rPr>
          <w:lang w:val="lt-LT"/>
        </w:rPr>
        <w:t>Oswald B. The creation and control of places of protection during United Nations peace operations. In</w:t>
      </w:r>
      <w:r w:rsidR="004665AC">
        <w:rPr>
          <w:lang w:val="lt-LT"/>
        </w:rPr>
        <w:t>ternational Review of Red Cross,</w:t>
      </w:r>
      <w:r>
        <w:rPr>
          <w:lang w:val="lt-LT"/>
        </w:rPr>
        <w:t xml:space="preserve"> Vol 83, No. 844, 2001. P. 7. // </w:t>
      </w:r>
      <w:hyperlink r:id="rId63" w:history="1">
        <w:r w:rsidR="004665AC" w:rsidRPr="005A432B">
          <w:rPr>
            <w:rStyle w:val="Hyperlink"/>
            <w:rFonts w:eastAsiaTheme="majorEastAsia"/>
          </w:rPr>
          <w:t>http://papers.ssrn.com</w:t>
        </w:r>
      </w:hyperlink>
      <w:r w:rsidR="004665AC">
        <w:rPr>
          <w:rFonts w:eastAsiaTheme="majorEastAsia"/>
        </w:rPr>
        <w:t>;</w:t>
      </w:r>
      <w:r>
        <w:t xml:space="preserve"> prisijungimo laikas: 2010-11-23.</w:t>
      </w:r>
    </w:p>
  </w:footnote>
  <w:footnote w:id="95">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Security Council Resolution 770. 13 August 1992. UN Doc. S/RES/770. //</w:t>
      </w:r>
      <w:r w:rsidR="00E72D7D">
        <w:rPr>
          <w:lang w:val="lt-LT"/>
        </w:rPr>
        <w:t xml:space="preserve"> </w:t>
      </w:r>
      <w:hyperlink r:id="rId64" w:history="1">
        <w:r w:rsidRPr="00152A42">
          <w:rPr>
            <w:rStyle w:val="Hyperlink"/>
            <w:rFonts w:eastAsiaTheme="majorEastAsia"/>
            <w:lang w:val="lt-LT"/>
          </w:rPr>
          <w:t>http://daccess-dds-ny.un.org/</w:t>
        </w:r>
      </w:hyperlink>
      <w:r w:rsidRPr="00152A42">
        <w:rPr>
          <w:lang w:val="lt-LT"/>
        </w:rPr>
        <w:t>; prisijungimo laikas: 2010-11-23.</w:t>
      </w:r>
    </w:p>
  </w:footnote>
  <w:footnote w:id="96">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Shaw M. N. International Law. Sixth Edition. USA: Cambridge University Press, 2008. P. 1258.</w:t>
      </w:r>
    </w:p>
  </w:footnote>
  <w:footnote w:id="97">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Scharf M. P. Protecting Minorities: The lessons of International Peacekeeping. American society of I</w:t>
      </w:r>
      <w:r w:rsidR="00DB73E0">
        <w:rPr>
          <w:lang w:val="lt-LT"/>
        </w:rPr>
        <w:t xml:space="preserve">nternational Law, Vol. 91, 1997. </w:t>
      </w:r>
      <w:r w:rsidRPr="00152A42">
        <w:rPr>
          <w:lang w:val="lt-LT"/>
        </w:rPr>
        <w:t xml:space="preserve">// </w:t>
      </w:r>
      <w:hyperlink r:id="rId65" w:history="1">
        <w:r w:rsidR="00D64B6C" w:rsidRPr="005A432B">
          <w:rPr>
            <w:rStyle w:val="Hyperlink"/>
            <w:lang w:val="lt-LT"/>
          </w:rPr>
          <w:t>http://heinonline.org</w:t>
        </w:r>
      </w:hyperlink>
      <w:r w:rsidR="008631B5">
        <w:rPr>
          <w:lang w:val="lt-LT"/>
        </w:rPr>
        <w:t>;</w:t>
      </w:r>
      <w:r w:rsidRPr="00152A42">
        <w:rPr>
          <w:lang w:val="lt-LT"/>
        </w:rPr>
        <w:t xml:space="preserve">  prisijungimo laikas: 2010-11-20.</w:t>
      </w:r>
    </w:p>
  </w:footnote>
  <w:footnote w:id="98">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Pr>
          <w:lang w:val="lt-LT"/>
        </w:rPr>
        <w:t xml:space="preserve"> </w:t>
      </w:r>
      <w:r w:rsidRPr="00152A42">
        <w:rPr>
          <w:lang w:val="lt-LT"/>
        </w:rPr>
        <w:t>United Nation Security Council 771. 13 August 1992. UN Doc. S/RES/771. //</w:t>
      </w:r>
      <w:r w:rsidR="00953CC9">
        <w:rPr>
          <w:lang w:val="lt-LT"/>
        </w:rPr>
        <w:t xml:space="preserve"> </w:t>
      </w:r>
      <w:hyperlink r:id="rId66" w:history="1">
        <w:r w:rsidRPr="00152A42">
          <w:rPr>
            <w:rStyle w:val="Hyperlink"/>
            <w:rFonts w:eastAsiaTheme="majorEastAsia"/>
            <w:lang w:val="lt-LT"/>
          </w:rPr>
          <w:t>http://daccess-dds-ny.un.org/</w:t>
        </w:r>
      </w:hyperlink>
      <w:r w:rsidRPr="00152A42">
        <w:rPr>
          <w:lang w:val="lt-LT"/>
        </w:rPr>
        <w:t>; prisijungimo laikas: 2010-11-23</w:t>
      </w:r>
      <w:r w:rsidR="00953CC9">
        <w:rPr>
          <w:lang w:val="lt-LT"/>
        </w:rPr>
        <w:t>.</w:t>
      </w:r>
    </w:p>
  </w:footnote>
  <w:footnote w:id="99">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Security Council Resolution 836. 4 June 1993. UN Doc. S/RES/836. // </w:t>
      </w:r>
      <w:hyperlink r:id="rId67" w:history="1">
        <w:r w:rsidRPr="00152A42">
          <w:rPr>
            <w:rStyle w:val="Hyperlink"/>
            <w:rFonts w:eastAsiaTheme="majorEastAsia"/>
            <w:lang w:val="lt-LT"/>
          </w:rPr>
          <w:t>http://daccess-dds-ny.un.org</w:t>
        </w:r>
      </w:hyperlink>
      <w:r w:rsidRPr="00152A42">
        <w:rPr>
          <w:lang w:val="lt-LT"/>
        </w:rPr>
        <w:t>; prisijungimo laikas: 2010-10-30.</w:t>
      </w:r>
    </w:p>
  </w:footnote>
  <w:footnote w:id="100">
    <w:p w:rsidR="00F63CC2" w:rsidRPr="00152A42" w:rsidRDefault="00F63CC2" w:rsidP="006D5F99">
      <w:pPr>
        <w:pStyle w:val="FootnoteText"/>
        <w:spacing w:line="240" w:lineRule="auto"/>
        <w:ind w:left="199" w:hanging="199"/>
        <w:jc w:val="left"/>
        <w:rPr>
          <w:lang w:val="lt-LT"/>
        </w:rPr>
      </w:pPr>
      <w:r w:rsidRPr="00152A42">
        <w:rPr>
          <w:rStyle w:val="FootnoteReference"/>
          <w:rFonts w:eastAsiaTheme="majorEastAsia"/>
          <w:lang w:val="lt-LT"/>
        </w:rPr>
        <w:footnoteRef/>
      </w:r>
      <w:r w:rsidRPr="00152A42">
        <w:rPr>
          <w:lang w:val="lt-LT"/>
        </w:rPr>
        <w:t xml:space="preserve"> Ibid</w:t>
      </w:r>
    </w:p>
  </w:footnote>
  <w:footnote w:id="101">
    <w:p w:rsidR="00F63CC2" w:rsidRPr="00152A42" w:rsidRDefault="00F63CC2" w:rsidP="006D5F99">
      <w:pPr>
        <w:pStyle w:val="FootnoteText"/>
        <w:spacing w:line="240" w:lineRule="auto"/>
        <w:ind w:left="284" w:hanging="284"/>
        <w:jc w:val="left"/>
        <w:rPr>
          <w:lang w:val="lt-LT"/>
        </w:rPr>
      </w:pPr>
      <w:r w:rsidRPr="00152A42">
        <w:rPr>
          <w:rStyle w:val="FootnoteReference"/>
          <w:rFonts w:eastAsiaTheme="majorEastAsia"/>
          <w:lang w:val="lt-LT"/>
        </w:rPr>
        <w:footnoteRef/>
      </w:r>
      <w:r>
        <w:rPr>
          <w:lang w:val="lt-LT"/>
        </w:rPr>
        <w:t xml:space="preserve"> </w:t>
      </w:r>
      <w:r w:rsidRPr="00152A42">
        <w:rPr>
          <w:lang w:val="lt-LT"/>
        </w:rPr>
        <w:t>Department of public information. Former Yugoslavia – UNPROFOR. United Nations, 1996</w:t>
      </w:r>
      <w:r w:rsidR="004665AC">
        <w:rPr>
          <w:lang w:val="lt-LT"/>
        </w:rPr>
        <w:t>.</w:t>
      </w:r>
      <w:r w:rsidRPr="00152A42">
        <w:rPr>
          <w:lang w:val="lt-LT"/>
        </w:rPr>
        <w:t xml:space="preserve"> // </w:t>
      </w:r>
      <w:hyperlink r:id="rId68" w:history="1">
        <w:r w:rsidRPr="00152A42">
          <w:rPr>
            <w:rStyle w:val="Hyperlink"/>
            <w:rFonts w:eastAsiaTheme="majorEastAsia"/>
            <w:lang w:val="lt-LT"/>
          </w:rPr>
          <w:t>http://www.un.org/en</w:t>
        </w:r>
      </w:hyperlink>
      <w:r w:rsidRPr="00152A42">
        <w:rPr>
          <w:lang w:val="lt-LT"/>
        </w:rPr>
        <w:t>; prisijungimo laikas: 2010-10-25.</w:t>
      </w:r>
    </w:p>
  </w:footnote>
  <w:footnote w:id="102">
    <w:p w:rsidR="00F63CC2" w:rsidRPr="00152A42" w:rsidRDefault="00F63CC2" w:rsidP="006D5F99">
      <w:pPr>
        <w:pStyle w:val="FootnoteText"/>
        <w:spacing w:line="240" w:lineRule="auto"/>
        <w:ind w:left="284" w:hanging="284"/>
        <w:jc w:val="left"/>
        <w:rPr>
          <w:lang w:val="lt-LT"/>
        </w:rPr>
      </w:pPr>
      <w:r w:rsidRPr="00152A42">
        <w:rPr>
          <w:rStyle w:val="FootnoteReference"/>
          <w:rFonts w:eastAsiaTheme="majorEastAsia"/>
          <w:lang w:val="lt-LT"/>
        </w:rPr>
        <w:footnoteRef/>
      </w:r>
      <w:r w:rsidRPr="00152A42">
        <w:rPr>
          <w:lang w:val="lt-LT"/>
        </w:rPr>
        <w:t xml:space="preserve"> Jungtinių Tautų Chartija 52 str. 1 d. // </w:t>
      </w:r>
      <w:hyperlink r:id="rId69" w:history="1">
        <w:r w:rsidRPr="00152A42">
          <w:rPr>
            <w:rStyle w:val="Hyperlink"/>
            <w:lang w:val="lt-LT"/>
          </w:rPr>
          <w:t>http://www3.lrs.lt</w:t>
        </w:r>
      </w:hyperlink>
      <w:r w:rsidRPr="00152A42">
        <w:rPr>
          <w:lang w:val="lt-LT"/>
        </w:rPr>
        <w:t>; prisijungimo laikas: 2010-12-01.</w:t>
      </w:r>
    </w:p>
  </w:footnote>
  <w:footnote w:id="103">
    <w:p w:rsidR="00F63CC2" w:rsidRPr="00152A42" w:rsidRDefault="00F63CC2" w:rsidP="006D5F99">
      <w:pPr>
        <w:pStyle w:val="FootnoteText"/>
        <w:spacing w:line="240" w:lineRule="auto"/>
        <w:ind w:left="284" w:hanging="284"/>
        <w:jc w:val="left"/>
        <w:rPr>
          <w:lang w:val="lt-LT"/>
        </w:rPr>
      </w:pPr>
      <w:r w:rsidRPr="00152A42">
        <w:rPr>
          <w:rStyle w:val="FootnoteReference"/>
          <w:rFonts w:eastAsiaTheme="majorEastAsia"/>
          <w:lang w:val="lt-LT"/>
        </w:rPr>
        <w:footnoteRef/>
      </w:r>
      <w:r w:rsidRPr="00152A42">
        <w:rPr>
          <w:lang w:val="lt-LT"/>
        </w:rPr>
        <w:t xml:space="preserve"> Jungtinių Tautų Chartija 54 str. // </w:t>
      </w:r>
      <w:hyperlink r:id="rId70" w:history="1">
        <w:r w:rsidRPr="00152A42">
          <w:rPr>
            <w:rStyle w:val="Hyperlink"/>
            <w:lang w:val="lt-LT"/>
          </w:rPr>
          <w:t>http://www3.lrs.lt</w:t>
        </w:r>
      </w:hyperlink>
      <w:r w:rsidRPr="00152A42">
        <w:rPr>
          <w:lang w:val="lt-LT"/>
        </w:rPr>
        <w:t>; prisijungimo laikas: 2010-12-01.</w:t>
      </w:r>
    </w:p>
  </w:footnote>
  <w:footnote w:id="104">
    <w:p w:rsidR="00F63CC2" w:rsidRPr="00152A42" w:rsidRDefault="00F63CC2" w:rsidP="006D5F99">
      <w:pPr>
        <w:pStyle w:val="FootnoteText"/>
        <w:spacing w:line="240" w:lineRule="auto"/>
        <w:ind w:left="284" w:hanging="284"/>
        <w:jc w:val="left"/>
        <w:rPr>
          <w:lang w:val="lt-LT"/>
        </w:rPr>
      </w:pPr>
      <w:r w:rsidRPr="00152A42">
        <w:rPr>
          <w:rStyle w:val="FootnoteReference"/>
          <w:rFonts w:eastAsiaTheme="majorEastAsia"/>
          <w:lang w:val="lt-LT"/>
        </w:rPr>
        <w:footnoteRef/>
      </w:r>
      <w:r w:rsidRPr="00152A42">
        <w:rPr>
          <w:lang w:val="lt-LT"/>
        </w:rPr>
        <w:t xml:space="preserve"> Ten pat, 53 str. 1 d.</w:t>
      </w:r>
    </w:p>
  </w:footnote>
  <w:footnote w:id="105">
    <w:p w:rsidR="00F63CC2" w:rsidRPr="00152A42" w:rsidRDefault="00F63CC2" w:rsidP="006D5F99">
      <w:pPr>
        <w:pStyle w:val="FootnoteText"/>
        <w:spacing w:line="240" w:lineRule="auto"/>
        <w:ind w:left="284" w:hanging="284"/>
        <w:jc w:val="left"/>
        <w:rPr>
          <w:lang w:val="lt-LT"/>
        </w:rPr>
      </w:pPr>
      <w:r w:rsidRPr="00152A42">
        <w:rPr>
          <w:rStyle w:val="FootnoteReference"/>
          <w:rFonts w:eastAsiaTheme="majorEastAsia"/>
          <w:lang w:val="lt-LT"/>
        </w:rPr>
        <w:footnoteRef/>
      </w:r>
      <w:r w:rsidRPr="00152A42">
        <w:rPr>
          <w:lang w:val="lt-LT"/>
        </w:rPr>
        <w:t xml:space="preserve"> Report of the Secretary-General pursuant to General Assembly Resolution 53/35. The fall of Srebrenica. 15 November 1</w:t>
      </w:r>
      <w:r w:rsidR="00953CC9">
        <w:rPr>
          <w:lang w:val="lt-LT"/>
        </w:rPr>
        <w:t xml:space="preserve">999. UN Doc. A/54/549. Para. 79. </w:t>
      </w:r>
      <w:r w:rsidRPr="00152A42">
        <w:rPr>
          <w:lang w:val="lt-LT"/>
        </w:rPr>
        <w:t xml:space="preserve"> // </w:t>
      </w:r>
      <w:hyperlink r:id="rId71" w:history="1">
        <w:r w:rsidRPr="00152A42">
          <w:rPr>
            <w:rStyle w:val="Hyperlink"/>
            <w:rFonts w:eastAsiaTheme="majorEastAsia"/>
            <w:lang w:val="lt-LT"/>
          </w:rPr>
          <w:t>http://www.un.org</w:t>
        </w:r>
      </w:hyperlink>
      <w:r w:rsidRPr="00152A42">
        <w:rPr>
          <w:rFonts w:eastAsiaTheme="majorEastAsia"/>
          <w:lang w:val="lt-LT"/>
        </w:rPr>
        <w:t xml:space="preserve">; </w:t>
      </w:r>
      <w:r w:rsidRPr="00152A42">
        <w:rPr>
          <w:lang w:val="lt-LT"/>
        </w:rPr>
        <w:t>prisijungimo laikas: 2010-10-25.</w:t>
      </w:r>
    </w:p>
  </w:footnote>
  <w:footnote w:id="106">
    <w:p w:rsidR="00F63CC2" w:rsidRPr="00152A42" w:rsidRDefault="00F63CC2" w:rsidP="006D5F99">
      <w:pPr>
        <w:pStyle w:val="FootnoteText"/>
        <w:spacing w:line="240" w:lineRule="auto"/>
        <w:ind w:left="284" w:hanging="284"/>
        <w:jc w:val="left"/>
        <w:rPr>
          <w:lang w:val="lt-LT"/>
        </w:rPr>
      </w:pPr>
      <w:r w:rsidRPr="00152A42">
        <w:rPr>
          <w:rStyle w:val="FootnoteReference"/>
          <w:rFonts w:eastAsiaTheme="majorEastAsia"/>
          <w:lang w:val="lt-LT"/>
        </w:rPr>
        <w:footnoteRef/>
      </w:r>
      <w:r w:rsidRPr="00152A42">
        <w:rPr>
          <w:lang w:val="lt-LT"/>
        </w:rPr>
        <w:t xml:space="preserve"> Summary of the Report of the Secretary-General pursuant to General Assembly Resolution 53/35: The Fail of Srebrenica, UN Year Book, 1999. // Chesterman S., Franck T. M., Malone D. M. Law and Practice of the United Nations. Documents and commentary. New York: Oxford University Press, 2008. P. 547.</w:t>
      </w:r>
    </w:p>
  </w:footnote>
  <w:footnote w:id="107">
    <w:p w:rsidR="00F63CC2" w:rsidRPr="00152A42" w:rsidRDefault="00F63CC2" w:rsidP="006D5F99">
      <w:pPr>
        <w:pStyle w:val="FootnoteText"/>
        <w:spacing w:line="240" w:lineRule="auto"/>
        <w:ind w:left="284" w:hanging="284"/>
        <w:jc w:val="left"/>
        <w:rPr>
          <w:lang w:val="lt-LT"/>
        </w:rPr>
      </w:pPr>
      <w:r w:rsidRPr="00152A42">
        <w:rPr>
          <w:rStyle w:val="FootnoteReference"/>
          <w:rFonts w:eastAsiaTheme="majorEastAsia"/>
          <w:lang w:val="lt-LT"/>
        </w:rPr>
        <w:footnoteRef/>
      </w:r>
      <w:r w:rsidRPr="00152A42">
        <w:rPr>
          <w:lang w:val="lt-LT"/>
        </w:rPr>
        <w:t xml:space="preserve"> Report of the Secretary-General pursuant to resolution 836 (1993) UN. Doc. S/25939. // </w:t>
      </w:r>
      <w:hyperlink r:id="rId72" w:history="1">
        <w:r w:rsidRPr="00152A42">
          <w:rPr>
            <w:rStyle w:val="Hyperlink"/>
            <w:rFonts w:eastAsiaTheme="majorEastAsia"/>
            <w:lang w:val="lt-LT"/>
          </w:rPr>
          <w:t>http://daccess-dds-ny.un.org</w:t>
        </w:r>
      </w:hyperlink>
      <w:r w:rsidRPr="00152A42">
        <w:rPr>
          <w:lang w:val="lt-LT"/>
        </w:rPr>
        <w:t>; prisijungimo laikas: 2010-11-23.</w:t>
      </w:r>
    </w:p>
  </w:footnote>
  <w:footnote w:id="108">
    <w:p w:rsidR="00F63CC2" w:rsidRPr="00152A42" w:rsidRDefault="00F63CC2" w:rsidP="006D5F99">
      <w:pPr>
        <w:pStyle w:val="FootnoteText"/>
        <w:spacing w:line="240" w:lineRule="auto"/>
        <w:ind w:left="284" w:hanging="284"/>
        <w:jc w:val="left"/>
        <w:rPr>
          <w:lang w:val="lt-LT"/>
        </w:rPr>
      </w:pPr>
      <w:r w:rsidRPr="00152A42">
        <w:rPr>
          <w:rStyle w:val="FootnoteReference"/>
          <w:rFonts w:eastAsiaTheme="majorEastAsia"/>
          <w:lang w:val="lt-LT"/>
        </w:rPr>
        <w:footnoteRef/>
      </w:r>
      <w:r w:rsidRPr="00152A42">
        <w:rPr>
          <w:lang w:val="lt-LT"/>
        </w:rPr>
        <w:t xml:space="preserve"> </w:t>
      </w:r>
      <w:r w:rsidRPr="00152A42">
        <w:rPr>
          <w:iCs/>
          <w:lang w:val="lt-LT"/>
        </w:rPr>
        <w:t>Report of the Secretary-General Pursuant to General Assembly Resolution 53/35: The Fall of Srebrenica</w:t>
      </w:r>
      <w:r w:rsidRPr="00152A42">
        <w:rPr>
          <w:lang w:val="lt-LT"/>
        </w:rPr>
        <w:t xml:space="preserve">, 15 November 1999, UN Doc. A/54/549. Para. 103. // </w:t>
      </w:r>
      <w:hyperlink r:id="rId73" w:history="1">
        <w:r w:rsidRPr="00152A42">
          <w:rPr>
            <w:rStyle w:val="Hyperlink"/>
            <w:rFonts w:eastAsiaTheme="majorEastAsia"/>
            <w:lang w:val="lt-LT"/>
          </w:rPr>
          <w:t>http://www.unhcr.org</w:t>
        </w:r>
      </w:hyperlink>
      <w:r w:rsidRPr="00152A42">
        <w:rPr>
          <w:lang w:val="lt-LT"/>
        </w:rPr>
        <w:t>; prisijungimo laikas: 2010-11-23.</w:t>
      </w:r>
    </w:p>
  </w:footnote>
  <w:footnote w:id="109">
    <w:p w:rsidR="00F63CC2" w:rsidRPr="00152A42" w:rsidRDefault="00F63CC2" w:rsidP="006D5F99">
      <w:pPr>
        <w:pStyle w:val="FootnoteText"/>
        <w:spacing w:line="240" w:lineRule="auto"/>
        <w:ind w:left="284" w:hanging="284"/>
        <w:jc w:val="left"/>
        <w:rPr>
          <w:lang w:val="lt-LT"/>
        </w:rPr>
      </w:pPr>
      <w:r w:rsidRPr="00152A42">
        <w:rPr>
          <w:rStyle w:val="FootnoteReference"/>
          <w:rFonts w:eastAsiaTheme="majorEastAsia"/>
          <w:lang w:val="lt-LT"/>
        </w:rPr>
        <w:footnoteRef/>
      </w:r>
      <w:r w:rsidRPr="00152A42">
        <w:rPr>
          <w:lang w:val="lt-LT"/>
        </w:rPr>
        <w:t xml:space="preserve">  Malone D. M. The UN Security Council. From the Cold War to the 21st Century. London: Lynne Rienner Publishers, 2004. P. 452.</w:t>
      </w:r>
    </w:p>
  </w:footnote>
  <w:footnote w:id="110">
    <w:p w:rsidR="00F63CC2" w:rsidRPr="00152A42" w:rsidRDefault="00F63CC2" w:rsidP="006D5F99">
      <w:pPr>
        <w:pStyle w:val="FootnoteText"/>
        <w:spacing w:line="240" w:lineRule="auto"/>
        <w:ind w:left="284" w:hanging="284"/>
        <w:jc w:val="left"/>
        <w:rPr>
          <w:lang w:val="lt-LT" w:eastAsia="lt-LT"/>
        </w:rPr>
      </w:pPr>
      <w:r w:rsidRPr="00152A42">
        <w:rPr>
          <w:rStyle w:val="FootnoteReference"/>
          <w:rFonts w:eastAsiaTheme="majorEastAsia"/>
          <w:lang w:val="lt-LT"/>
        </w:rPr>
        <w:footnoteRef/>
      </w:r>
      <w:r w:rsidRPr="00152A42">
        <w:rPr>
          <w:lang w:val="lt-LT" w:eastAsia="lt-LT"/>
        </w:rPr>
        <w:t xml:space="preserve">  Grünfeld F., Vermeulen W. Failures to Prevent Genocide in Rw</w:t>
      </w:r>
      <w:r w:rsidR="00953CC9">
        <w:rPr>
          <w:lang w:val="lt-LT" w:eastAsia="lt-LT"/>
        </w:rPr>
        <w:t xml:space="preserve">anda (1994), Srebrenica (1995) </w:t>
      </w:r>
      <w:r w:rsidRPr="00152A42">
        <w:rPr>
          <w:lang w:val="lt-LT" w:eastAsia="lt-LT"/>
        </w:rPr>
        <w:t xml:space="preserve">and Darfur (since 2003). Genocide Studies </w:t>
      </w:r>
      <w:r>
        <w:rPr>
          <w:lang w:val="lt-LT" w:eastAsia="lt-LT"/>
        </w:rPr>
        <w:t xml:space="preserve">and Prevention, Vol. 4, No. 2. </w:t>
      </w:r>
      <w:r w:rsidR="00953CC9">
        <w:rPr>
          <w:lang w:val="lt-LT" w:eastAsia="lt-LT"/>
        </w:rPr>
        <w:t xml:space="preserve">2009. P. 8. // </w:t>
      </w:r>
      <w:hyperlink r:id="rId74" w:history="1">
        <w:r w:rsidRPr="00152A42">
          <w:rPr>
            <w:rStyle w:val="Hyperlink"/>
            <w:rFonts w:eastAsiaTheme="majorEastAsia"/>
            <w:lang w:val="lt-LT"/>
          </w:rPr>
          <w:t>http://muse.jhu.edu</w:t>
        </w:r>
      </w:hyperlink>
      <w:r w:rsidRPr="00152A42">
        <w:rPr>
          <w:lang w:val="lt-LT"/>
        </w:rPr>
        <w:t>; prisijungimo laikas: 2010-11-19.</w:t>
      </w:r>
    </w:p>
  </w:footnote>
  <w:footnote w:id="111">
    <w:p w:rsidR="00F63CC2" w:rsidRPr="00152A42" w:rsidRDefault="00F63CC2" w:rsidP="006D5F99">
      <w:pPr>
        <w:pStyle w:val="FootnoteText"/>
        <w:spacing w:line="240" w:lineRule="auto"/>
        <w:ind w:left="284" w:hanging="284"/>
        <w:jc w:val="left"/>
        <w:rPr>
          <w:lang w:val="lt-LT"/>
        </w:rPr>
      </w:pPr>
      <w:r w:rsidRPr="00152A42">
        <w:rPr>
          <w:rStyle w:val="FootnoteReference"/>
          <w:rFonts w:eastAsiaTheme="majorEastAsia"/>
          <w:lang w:val="lt-LT"/>
        </w:rPr>
        <w:footnoteRef/>
      </w:r>
      <w:r w:rsidRPr="00152A42">
        <w:rPr>
          <w:lang w:val="lt-LT"/>
        </w:rPr>
        <w:t xml:space="preserve"> O‘Connell M. E. Evidence of Terror. Journal of Conflict and Security Law, Vol. 7 No. 1. 2002. P.</w:t>
      </w:r>
      <w:r w:rsidR="0059428C">
        <w:rPr>
          <w:lang w:val="lt-LT"/>
        </w:rPr>
        <w:t xml:space="preserve"> </w:t>
      </w:r>
      <w:r w:rsidRPr="00152A42">
        <w:rPr>
          <w:lang w:val="lt-LT"/>
        </w:rPr>
        <w:t>1-2. //</w:t>
      </w:r>
      <w:r w:rsidR="0059428C">
        <w:rPr>
          <w:lang w:val="lt-LT"/>
        </w:rPr>
        <w:t xml:space="preserve"> </w:t>
      </w:r>
      <w:hyperlink r:id="rId75" w:history="1">
        <w:r w:rsidR="0059428C" w:rsidRPr="0059428C">
          <w:rPr>
            <w:rStyle w:val="Hyperlink"/>
            <w:rFonts w:eastAsiaTheme="majorEastAsia"/>
            <w:lang w:val="lt-LT"/>
          </w:rPr>
          <w:t>http://jcsl.oxfordjournals.org</w:t>
        </w:r>
      </w:hyperlink>
      <w:r w:rsidR="0059428C">
        <w:t>;</w:t>
      </w:r>
      <w:r w:rsidR="0059428C">
        <w:rPr>
          <w:lang w:val="lt-LT"/>
        </w:rPr>
        <w:t xml:space="preserve"> </w:t>
      </w:r>
      <w:r w:rsidRPr="00152A42">
        <w:rPr>
          <w:lang w:val="lt-LT"/>
        </w:rPr>
        <w:t>prisijungimo laikas: 2010-12-02.</w:t>
      </w:r>
    </w:p>
  </w:footnote>
  <w:footnote w:id="112">
    <w:p w:rsidR="00F63CC2" w:rsidRPr="00152A42" w:rsidRDefault="00F63CC2" w:rsidP="001D6E17">
      <w:pPr>
        <w:spacing w:before="100" w:beforeAutospacing="1" w:after="100" w:afterAutospacing="1" w:line="240" w:lineRule="auto"/>
        <w:ind w:left="284" w:hanging="284"/>
        <w:contextualSpacing/>
        <w:rPr>
          <w:sz w:val="20"/>
          <w:szCs w:val="20"/>
          <w:lang w:val="lt-LT"/>
        </w:rPr>
      </w:pPr>
      <w:r w:rsidRPr="00152A42">
        <w:rPr>
          <w:rStyle w:val="FootnoteReference"/>
          <w:lang w:val="lt-LT"/>
        </w:rPr>
        <w:footnoteRef/>
      </w:r>
      <w:r w:rsidRPr="00152A42">
        <w:rPr>
          <w:lang w:val="lt-LT"/>
        </w:rPr>
        <w:t xml:space="preserve"> </w:t>
      </w:r>
      <w:r w:rsidRPr="00152A42">
        <w:rPr>
          <w:sz w:val="20"/>
          <w:szCs w:val="20"/>
          <w:lang w:val="lt-LT"/>
        </w:rPr>
        <w:t>Ar Afganistane pradėti vykdyti Jungtinių Valstijų kariniai veiksm</w:t>
      </w:r>
      <w:r w:rsidR="00A55C50">
        <w:rPr>
          <w:sz w:val="20"/>
          <w:szCs w:val="20"/>
          <w:lang w:val="lt-LT"/>
        </w:rPr>
        <w:t xml:space="preserve">ai buvo teisėti, literatūroje </w:t>
      </w:r>
      <w:r w:rsidRPr="00152A42">
        <w:rPr>
          <w:sz w:val="20"/>
          <w:szCs w:val="20"/>
          <w:lang w:val="lt-LT"/>
        </w:rPr>
        <w:t>vieningos nuomonės nėra. Kyla klausimas, ar teroro aktai prieš Jungtines Valstijas atitinka ginkluoto užpuolimo sąvoką 51 straipsnio prasme ir</w:t>
      </w:r>
      <w:r w:rsidR="00A55C50">
        <w:rPr>
          <w:sz w:val="20"/>
          <w:szCs w:val="20"/>
          <w:lang w:val="lt-LT"/>
        </w:rPr>
        <w:t xml:space="preserve"> </w:t>
      </w:r>
      <w:r w:rsidRPr="00152A42">
        <w:rPr>
          <w:sz w:val="20"/>
          <w:szCs w:val="20"/>
          <w:lang w:val="lt-LT"/>
        </w:rPr>
        <w:t>ar apskritai jos turėjo teisę į savigyną.</w:t>
      </w:r>
      <w:r>
        <w:rPr>
          <w:sz w:val="20"/>
          <w:szCs w:val="20"/>
          <w:lang w:val="lt-LT"/>
        </w:rPr>
        <w:t xml:space="preserve"> </w:t>
      </w:r>
      <w:r w:rsidRPr="00152A42">
        <w:rPr>
          <w:sz w:val="20"/>
          <w:szCs w:val="20"/>
          <w:lang w:val="lt-LT"/>
        </w:rPr>
        <w:t>Chartijos 51 straipsnyje teigiama: „Jokia šios Chartijos nuostata neriboja prigimtinės teisės imtis individualios ar kolektyvinės savigynos, jei įvykdomas Jungtinių Tautų narės ginkluotas užpuolimas“. K</w:t>
      </w:r>
      <w:r w:rsidR="00A55C50">
        <w:rPr>
          <w:sz w:val="20"/>
          <w:szCs w:val="20"/>
          <w:lang w:val="lt-LT"/>
        </w:rPr>
        <w:t xml:space="preserve">ą tarptautinėje teisėje reiškia </w:t>
      </w:r>
      <w:r w:rsidRPr="00152A42">
        <w:rPr>
          <w:sz w:val="20"/>
          <w:szCs w:val="20"/>
          <w:lang w:val="lt-LT"/>
        </w:rPr>
        <w:t>„ginkluotas užpuolimas“</w:t>
      </w:r>
      <w:r w:rsidR="00A55C50">
        <w:rPr>
          <w:sz w:val="20"/>
          <w:szCs w:val="20"/>
          <w:lang w:val="lt-LT"/>
        </w:rPr>
        <w:t>,</w:t>
      </w:r>
      <w:r w:rsidRPr="00152A42">
        <w:rPr>
          <w:sz w:val="20"/>
          <w:szCs w:val="20"/>
          <w:lang w:val="lt-LT"/>
        </w:rPr>
        <w:t xml:space="preserve"> bandysime išsiaiškinti per Tarptautinio Teisingumo Teismo praktiką.</w:t>
      </w:r>
    </w:p>
    <w:p w:rsidR="00F63CC2" w:rsidRPr="00152A42" w:rsidRDefault="00F63CC2" w:rsidP="001D6E17">
      <w:pPr>
        <w:spacing w:before="100" w:beforeAutospacing="1" w:after="100" w:afterAutospacing="1" w:line="240" w:lineRule="auto"/>
        <w:ind w:left="284"/>
        <w:contextualSpacing/>
        <w:rPr>
          <w:sz w:val="20"/>
          <w:szCs w:val="20"/>
          <w:lang w:val="lt-LT"/>
        </w:rPr>
      </w:pPr>
      <w:r w:rsidRPr="00152A42">
        <w:rPr>
          <w:sz w:val="20"/>
          <w:szCs w:val="20"/>
          <w:lang w:val="lt-LT"/>
        </w:rPr>
        <w:t>Tarptautinis Teisingumo Teismas Nikaragvos byloj</w:t>
      </w:r>
      <w:r w:rsidR="006F173F">
        <w:rPr>
          <w:sz w:val="20"/>
          <w:szCs w:val="20"/>
          <w:lang w:val="lt-LT"/>
        </w:rPr>
        <w:t>e ginkluotą užpuolimą apibūdino,</w:t>
      </w:r>
      <w:r w:rsidRPr="00152A42">
        <w:rPr>
          <w:sz w:val="20"/>
          <w:szCs w:val="20"/>
          <w:lang w:val="lt-LT"/>
        </w:rPr>
        <w:t xml:space="preserve"> kaip: „valstybės ar jos vardu siunčiamų ginkluotų gaujų, grupių, nereguliarių pajėgų ar samdinių vykdomą ginkluotos jėgos panaudojimą prieš kitą valstybę, kuris yra tokio sunkumo, kad atitinka </w:t>
      </w:r>
      <w:r w:rsidRPr="00152A42">
        <w:rPr>
          <w:i/>
          <w:sz w:val="20"/>
          <w:szCs w:val="20"/>
          <w:lang w:val="lt-LT"/>
        </w:rPr>
        <w:t>inter alia</w:t>
      </w:r>
      <w:r w:rsidRPr="00152A42">
        <w:rPr>
          <w:sz w:val="20"/>
          <w:szCs w:val="20"/>
          <w:lang w:val="lt-LT"/>
        </w:rPr>
        <w:t xml:space="preserve"> tikrąjį ginkluotą užpuolimą, įvykdytą reguliarių karinių pajėgų ar sudaro esminius įsitraukimo, vykdant tokį ginkluotą užpuolimą, veiksmus.“ </w:t>
      </w:r>
      <w:r w:rsidRPr="00152A42">
        <w:rPr>
          <w:rFonts w:eastAsiaTheme="majorEastAsia"/>
          <w:sz w:val="20"/>
          <w:szCs w:val="20"/>
          <w:lang w:val="lt-LT"/>
        </w:rPr>
        <w:t>(</w:t>
      </w:r>
      <w:r w:rsidRPr="00152A42">
        <w:rPr>
          <w:sz w:val="20"/>
          <w:szCs w:val="20"/>
          <w:lang w:val="lt-LT"/>
        </w:rPr>
        <w:t>Military and Paramilitary Activities in and against Nicaragua (Nicaragua v United States of America), Me</w:t>
      </w:r>
      <w:r w:rsidR="006F173F">
        <w:rPr>
          <w:sz w:val="20"/>
          <w:szCs w:val="20"/>
          <w:lang w:val="lt-LT"/>
        </w:rPr>
        <w:t xml:space="preserve">rits, Judgement, I.C.J. Reports 1986. P. </w:t>
      </w:r>
      <w:r w:rsidRPr="00152A42">
        <w:rPr>
          <w:sz w:val="20"/>
          <w:szCs w:val="20"/>
          <w:lang w:val="lt-LT"/>
        </w:rPr>
        <w:t>182.</w:t>
      </w:r>
      <w:r w:rsidR="006F173F">
        <w:rPr>
          <w:sz w:val="20"/>
          <w:szCs w:val="20"/>
          <w:lang w:val="lt-LT"/>
        </w:rPr>
        <w:t xml:space="preserve"> </w:t>
      </w:r>
      <w:r w:rsidRPr="00152A42">
        <w:rPr>
          <w:sz w:val="20"/>
          <w:szCs w:val="20"/>
          <w:lang w:val="lt-LT"/>
        </w:rPr>
        <w:t xml:space="preserve">// </w:t>
      </w:r>
      <w:hyperlink r:id="rId76" w:history="1">
        <w:r w:rsidRPr="00152A42">
          <w:rPr>
            <w:rStyle w:val="Hyperlink"/>
            <w:rFonts w:eastAsiaTheme="majorEastAsia"/>
            <w:sz w:val="20"/>
            <w:szCs w:val="20"/>
            <w:lang w:val="lt-LT"/>
          </w:rPr>
          <w:t>http://www.icj-cij.org/docket/files/70/6503.pdf</w:t>
        </w:r>
      </w:hyperlink>
      <w:r w:rsidRPr="00152A42">
        <w:rPr>
          <w:sz w:val="20"/>
          <w:szCs w:val="20"/>
          <w:lang w:val="lt-LT"/>
        </w:rPr>
        <w:t>; prisijungimo laikas: 2010-12-01.) Šioje byloje aiškiai išreikšta nuomonė, kad ginkluotas užpuolimas turi būti įvykdomas valstybės žinioje, tuo tarpu teroristiniai aktai Jungtinėse Valstijose buvo atliekami teroristinės organizacijos, o ne vykdyti Afganistano valstybės vardu.</w:t>
      </w:r>
    </w:p>
    <w:p w:rsidR="00F63CC2" w:rsidRPr="00152A42" w:rsidRDefault="00F63CC2" w:rsidP="001D6E17">
      <w:pPr>
        <w:spacing w:before="100" w:beforeAutospacing="1" w:after="100" w:afterAutospacing="1" w:line="240" w:lineRule="auto"/>
        <w:ind w:left="284"/>
        <w:contextualSpacing/>
        <w:rPr>
          <w:sz w:val="20"/>
          <w:szCs w:val="20"/>
          <w:lang w:val="lt-LT"/>
        </w:rPr>
      </w:pPr>
      <w:r w:rsidRPr="00152A42">
        <w:rPr>
          <w:sz w:val="20"/>
          <w:szCs w:val="20"/>
          <w:lang w:val="lt-LT"/>
        </w:rPr>
        <w:t>Tuo tarpu Šiaurės Atlanto Taryba</w:t>
      </w:r>
      <w:r w:rsidRPr="00152A42">
        <w:rPr>
          <w:rFonts w:eastAsiaTheme="majorEastAsia"/>
          <w:sz w:val="20"/>
          <w:szCs w:val="20"/>
          <w:lang w:val="lt-LT"/>
        </w:rPr>
        <w:t xml:space="preserve"> (svarbiausias NATO sprendimų priėmimo organas, atsakingas už visus NATO sprendimus)</w:t>
      </w:r>
      <w:r w:rsidRPr="00152A42">
        <w:rPr>
          <w:sz w:val="20"/>
          <w:szCs w:val="20"/>
          <w:lang w:val="lt-LT"/>
        </w:rPr>
        <w:t xml:space="preserve"> 2001 metų rugsėjo 12 dieną patvirtino, jog jei bus nustatyta, kad išpuoliai buvo organizuojami prieš Jungtines Valstijas iš užsi</w:t>
      </w:r>
      <w:r w:rsidR="00BA62E1">
        <w:rPr>
          <w:sz w:val="20"/>
          <w:szCs w:val="20"/>
          <w:lang w:val="lt-LT"/>
        </w:rPr>
        <w:t>enio, bus laikomi veiksmais</w:t>
      </w:r>
      <w:r w:rsidRPr="00152A42">
        <w:rPr>
          <w:sz w:val="20"/>
          <w:szCs w:val="20"/>
          <w:lang w:val="lt-LT"/>
        </w:rPr>
        <w:t>, kuriems taikomas Vašingtono sutarties 5 straipsnis, kuriame teigiama: „ginkluotas vienos ar kelių sąjungininkių užpuolimas Europoje ar Šiaurės Amerikoje b</w:t>
      </w:r>
      <w:r w:rsidR="006602A9">
        <w:rPr>
          <w:sz w:val="20"/>
          <w:szCs w:val="20"/>
          <w:lang w:val="lt-LT"/>
        </w:rPr>
        <w:t xml:space="preserve">us laikomas visų jų užpuolimu“. </w:t>
      </w:r>
      <w:r w:rsidRPr="00152A42">
        <w:rPr>
          <w:rFonts w:eastAsiaTheme="majorEastAsia"/>
          <w:sz w:val="20"/>
          <w:szCs w:val="20"/>
          <w:lang w:val="lt-LT"/>
        </w:rPr>
        <w:t>(</w:t>
      </w:r>
      <w:r w:rsidRPr="00152A42">
        <w:rPr>
          <w:sz w:val="20"/>
          <w:szCs w:val="20"/>
          <w:lang w:val="lt-LT"/>
        </w:rPr>
        <w:t xml:space="preserve">Statement by The North Atlantic council, Press Release 124, 12 Septemner 2001. // </w:t>
      </w:r>
      <w:hyperlink r:id="rId77" w:history="1">
        <w:r w:rsidR="006602A9" w:rsidRPr="005A432B">
          <w:rPr>
            <w:rStyle w:val="Hyperlink"/>
            <w:sz w:val="20"/>
            <w:szCs w:val="20"/>
            <w:lang w:val="lt-LT"/>
          </w:rPr>
          <w:t>http://www.nato.int/docu/pr/2001/p01-124e.htm</w:t>
        </w:r>
      </w:hyperlink>
      <w:r w:rsidR="006602A9">
        <w:rPr>
          <w:sz w:val="20"/>
          <w:szCs w:val="20"/>
          <w:lang w:val="lt-LT"/>
        </w:rPr>
        <w:t>;</w:t>
      </w:r>
      <w:r w:rsidRPr="00152A42">
        <w:rPr>
          <w:sz w:val="20"/>
          <w:szCs w:val="20"/>
          <w:lang w:val="lt-LT"/>
        </w:rPr>
        <w:t xml:space="preserve"> prisijun</w:t>
      </w:r>
      <w:r w:rsidR="006602A9">
        <w:rPr>
          <w:sz w:val="20"/>
          <w:szCs w:val="20"/>
          <w:lang w:val="lt-LT"/>
        </w:rPr>
        <w:t xml:space="preserve">gimo laikas: 2010-12-06.) </w:t>
      </w:r>
      <w:r w:rsidRPr="00152A42">
        <w:rPr>
          <w:sz w:val="20"/>
          <w:szCs w:val="20"/>
          <w:lang w:val="lt-LT"/>
        </w:rPr>
        <w:t xml:space="preserve">Šiaurės Atlanto Taryba nekėlė klausimo, ar ginkluotą užpuolimą turi įvykdyti būtinai valstybė. Vienintelė sąlyga, kuri buvo paminėta, tik tai, kad ginkluotas užpuolimas turi būti įvykdytas iš užsienio. </w:t>
      </w:r>
    </w:p>
    <w:p w:rsidR="00F63CC2" w:rsidRPr="00152A42" w:rsidRDefault="00F63CC2" w:rsidP="001D6E17">
      <w:pPr>
        <w:spacing w:line="240" w:lineRule="auto"/>
        <w:ind w:left="284"/>
        <w:rPr>
          <w:sz w:val="20"/>
          <w:szCs w:val="20"/>
          <w:lang w:val="lt-LT"/>
        </w:rPr>
      </w:pPr>
      <w:r w:rsidRPr="00152A42">
        <w:rPr>
          <w:sz w:val="20"/>
          <w:szCs w:val="20"/>
          <w:lang w:val="lt-LT"/>
        </w:rPr>
        <w:t>Svarbu išsiaiškinti, kaip tarptautinėje teisėje apibūdinama ir pati savigyna. Pagal tarptautinės teisės principus, kurie</w:t>
      </w:r>
      <w:r>
        <w:rPr>
          <w:sz w:val="20"/>
          <w:szCs w:val="20"/>
          <w:lang w:val="lt-LT"/>
        </w:rPr>
        <w:t xml:space="preserve"> </w:t>
      </w:r>
      <w:r w:rsidRPr="00152A42">
        <w:rPr>
          <w:sz w:val="20"/>
          <w:szCs w:val="20"/>
          <w:lang w:val="lt-LT"/>
        </w:rPr>
        <w:t>buvo paminėti Karolinos byloje (angl. Caroline case), savigyna turi būti staigi, triuškinanti, nepaliekanti galimybės</w:t>
      </w:r>
      <w:r>
        <w:rPr>
          <w:sz w:val="20"/>
          <w:szCs w:val="20"/>
          <w:lang w:val="lt-LT"/>
        </w:rPr>
        <w:t xml:space="preserve"> </w:t>
      </w:r>
      <w:r w:rsidRPr="00152A42">
        <w:rPr>
          <w:sz w:val="20"/>
          <w:szCs w:val="20"/>
          <w:lang w:val="lt-LT"/>
        </w:rPr>
        <w:t xml:space="preserve">laiko svarstymams ir priemonių pasirinkimui. </w:t>
      </w:r>
      <w:r w:rsidRPr="00152A42">
        <w:rPr>
          <w:rFonts w:eastAsiaTheme="majorEastAsia"/>
          <w:sz w:val="20"/>
          <w:szCs w:val="20"/>
          <w:lang w:val="lt-LT"/>
        </w:rPr>
        <w:t>(</w:t>
      </w:r>
      <w:r w:rsidRPr="00152A42">
        <w:rPr>
          <w:sz w:val="20"/>
          <w:szCs w:val="20"/>
          <w:lang w:val="lt-LT"/>
        </w:rPr>
        <w:t>Ro</w:t>
      </w:r>
      <w:r w:rsidR="006602A9">
        <w:rPr>
          <w:sz w:val="20"/>
          <w:szCs w:val="20"/>
          <w:lang w:val="lt-LT"/>
        </w:rPr>
        <w:t>uillard L. P. The Caroline Case</w:t>
      </w:r>
      <w:r w:rsidRPr="00152A42">
        <w:rPr>
          <w:sz w:val="20"/>
          <w:szCs w:val="20"/>
          <w:lang w:val="lt-LT"/>
        </w:rPr>
        <w:t>: Anticipatory Self-Defence in</w:t>
      </w:r>
      <w:r>
        <w:rPr>
          <w:sz w:val="20"/>
          <w:szCs w:val="20"/>
          <w:lang w:val="lt-LT"/>
        </w:rPr>
        <w:t xml:space="preserve"> </w:t>
      </w:r>
      <w:r w:rsidRPr="00152A42">
        <w:rPr>
          <w:sz w:val="20"/>
          <w:szCs w:val="20"/>
          <w:lang w:val="lt-LT"/>
        </w:rPr>
        <w:t>Contemporary International Law. Miskolc Journal of International Law, Vol. 1, No. 2. 2004. //</w:t>
      </w:r>
    </w:p>
    <w:p w:rsidR="00F63CC2" w:rsidRPr="00152A42" w:rsidRDefault="00275463" w:rsidP="001D6E17">
      <w:pPr>
        <w:spacing w:line="240" w:lineRule="auto"/>
        <w:ind w:left="284"/>
        <w:rPr>
          <w:sz w:val="20"/>
          <w:szCs w:val="20"/>
          <w:lang w:val="lt-LT"/>
        </w:rPr>
      </w:pPr>
      <w:hyperlink r:id="rId78" w:history="1">
        <w:r w:rsidR="00F63CC2" w:rsidRPr="00152A42">
          <w:rPr>
            <w:rStyle w:val="Hyperlink"/>
            <w:rFonts w:eastAsiaTheme="majorEastAsia"/>
            <w:sz w:val="20"/>
            <w:szCs w:val="20"/>
            <w:lang w:val="lt-LT"/>
          </w:rPr>
          <w:t>http://www.unimiskolc.hu</w:t>
        </w:r>
      </w:hyperlink>
      <w:r w:rsidR="00F63CC2" w:rsidRPr="00152A42">
        <w:rPr>
          <w:sz w:val="20"/>
          <w:szCs w:val="20"/>
          <w:lang w:val="lt-LT"/>
        </w:rPr>
        <w:t>; prisijungimo laikas: 2010-12-02.)</w:t>
      </w:r>
      <w:r w:rsidR="00F63CC2" w:rsidRPr="00152A42">
        <w:rPr>
          <w:lang w:val="lt-LT"/>
        </w:rPr>
        <w:t xml:space="preserve"> </w:t>
      </w:r>
      <w:r w:rsidR="00F63CC2" w:rsidRPr="00152A42">
        <w:rPr>
          <w:sz w:val="20"/>
          <w:szCs w:val="20"/>
          <w:lang w:val="lt-LT"/>
        </w:rPr>
        <w:t>Jungtinių Valstijų vykdyti kariniai veiksmai neatitiko</w:t>
      </w:r>
      <w:r w:rsidR="00211EE9">
        <w:rPr>
          <w:sz w:val="20"/>
          <w:szCs w:val="20"/>
          <w:lang w:val="lt-LT"/>
        </w:rPr>
        <w:t xml:space="preserve"> </w:t>
      </w:r>
      <w:r w:rsidR="00F63CC2" w:rsidRPr="00152A42">
        <w:rPr>
          <w:sz w:val="20"/>
          <w:szCs w:val="20"/>
          <w:lang w:val="lt-LT"/>
        </w:rPr>
        <w:t xml:space="preserve">minėtos bylos išvardintų savigynos bruožų, nes atakos buvo pradėtos ne iš karto, o po kelių savaičių. </w:t>
      </w:r>
    </w:p>
    <w:p w:rsidR="00F63CC2" w:rsidRPr="00152A42" w:rsidRDefault="00F63CC2" w:rsidP="001D6E17">
      <w:pPr>
        <w:spacing w:before="100" w:beforeAutospacing="1" w:after="100" w:afterAutospacing="1" w:line="240" w:lineRule="auto"/>
        <w:ind w:left="284"/>
        <w:contextualSpacing/>
        <w:rPr>
          <w:sz w:val="20"/>
          <w:szCs w:val="20"/>
          <w:lang w:val="lt-LT"/>
        </w:rPr>
      </w:pPr>
      <w:r w:rsidRPr="00152A42">
        <w:rPr>
          <w:sz w:val="20"/>
          <w:szCs w:val="20"/>
          <w:lang w:val="lt-LT"/>
        </w:rPr>
        <w:t>2004 metų konsultacinėje išvadoje dėl Palestinos sienos Tarptautinis Teisingumo Teismas pasisakė: „vienos valstybės ginkluoto užpuolimo prieš kitą valstybę atveju Chartijos 51 straipsnis pripažįsta neatimamą teisę į savigyną.“</w:t>
      </w:r>
      <w:r w:rsidRPr="00152A42">
        <w:rPr>
          <w:rFonts w:eastAsiaTheme="majorEastAsia"/>
          <w:sz w:val="20"/>
          <w:szCs w:val="20"/>
          <w:lang w:val="lt-LT"/>
        </w:rPr>
        <w:t xml:space="preserve"> (</w:t>
      </w:r>
      <w:r w:rsidRPr="00152A42">
        <w:rPr>
          <w:sz w:val="20"/>
          <w:szCs w:val="20"/>
          <w:lang w:val="lt-LT"/>
        </w:rPr>
        <w:t>Legal Consequences of the Construction of a</w:t>
      </w:r>
      <w:r w:rsidR="00211EE9">
        <w:rPr>
          <w:sz w:val="20"/>
          <w:szCs w:val="20"/>
          <w:lang w:val="lt-LT"/>
        </w:rPr>
        <w:t xml:space="preserve"> </w:t>
      </w:r>
      <w:r w:rsidRPr="00152A42">
        <w:rPr>
          <w:sz w:val="20"/>
          <w:szCs w:val="20"/>
          <w:lang w:val="lt-LT"/>
        </w:rPr>
        <w:t xml:space="preserve">Wall in the Occupied Palestinian Territory, Advisory Opinion, I.C.J. Reports 2004. Para. 139. // </w:t>
      </w:r>
      <w:hyperlink r:id="rId79" w:history="1">
        <w:r w:rsidRPr="00152A42">
          <w:rPr>
            <w:rStyle w:val="Hyperlink"/>
            <w:rFonts w:eastAsiaTheme="majorEastAsia"/>
            <w:sz w:val="20"/>
            <w:szCs w:val="20"/>
            <w:lang w:val="lt-LT"/>
          </w:rPr>
          <w:t>http://www.icj-cij.org</w:t>
        </w:r>
      </w:hyperlink>
      <w:r w:rsidRPr="00152A42">
        <w:rPr>
          <w:sz w:val="20"/>
          <w:szCs w:val="20"/>
          <w:lang w:val="lt-LT"/>
        </w:rPr>
        <w:t>; prisijungimo laikas: 2010-12-06.) Taigi</w:t>
      </w:r>
      <w:r w:rsidR="00211EE9">
        <w:rPr>
          <w:sz w:val="20"/>
          <w:szCs w:val="20"/>
          <w:lang w:val="lt-LT"/>
        </w:rPr>
        <w:t>,</w:t>
      </w:r>
      <w:r w:rsidRPr="00152A42">
        <w:rPr>
          <w:sz w:val="20"/>
          <w:szCs w:val="20"/>
          <w:lang w:val="lt-LT"/>
        </w:rPr>
        <w:t xml:space="preserve"> šioje byloje Tarptautinis Teisingumo Teismas aiškiai pasisakė, kad ginkluotas užpuolimas įvykdomas valstybės. Tačiau paminė</w:t>
      </w:r>
      <w:r w:rsidR="00977D07">
        <w:rPr>
          <w:sz w:val="20"/>
          <w:szCs w:val="20"/>
          <w:lang w:val="lt-LT"/>
        </w:rPr>
        <w:t>tina, kad teisėjas Higgins atskiro</w:t>
      </w:r>
      <w:r w:rsidRPr="00152A42">
        <w:rPr>
          <w:sz w:val="20"/>
          <w:szCs w:val="20"/>
          <w:lang w:val="lt-LT"/>
        </w:rPr>
        <w:t>je nuomonėje teigė: „niekas 51 straipsnyje nenustato, kad savigynos teisė yra naudojama tik tuomet, kai ginkluotą užpuolimą įvykdo kita valstybė.“</w:t>
      </w:r>
      <w:r w:rsidRPr="00152A42">
        <w:rPr>
          <w:rFonts w:eastAsiaTheme="majorEastAsia"/>
          <w:sz w:val="20"/>
          <w:szCs w:val="20"/>
          <w:lang w:val="lt-LT"/>
        </w:rPr>
        <w:t xml:space="preserve"> (</w:t>
      </w:r>
      <w:r w:rsidRPr="00152A42">
        <w:rPr>
          <w:sz w:val="20"/>
          <w:szCs w:val="20"/>
          <w:lang w:val="lt-LT"/>
        </w:rPr>
        <w:t xml:space="preserve">Separate opinion of Judge Higgins. Para. 33. // </w:t>
      </w:r>
      <w:hyperlink r:id="rId80" w:history="1">
        <w:r w:rsidRPr="00152A42">
          <w:rPr>
            <w:rStyle w:val="Hyperlink"/>
            <w:rFonts w:eastAsiaTheme="majorEastAsia"/>
            <w:sz w:val="20"/>
            <w:szCs w:val="20"/>
            <w:lang w:val="lt-LT"/>
          </w:rPr>
          <w:t>http://www.icj-cij.org/</w:t>
        </w:r>
      </w:hyperlink>
      <w:r w:rsidRPr="00152A42">
        <w:rPr>
          <w:sz w:val="20"/>
          <w:szCs w:val="20"/>
          <w:lang w:val="lt-LT"/>
        </w:rPr>
        <w:t>;  prisiju</w:t>
      </w:r>
      <w:r w:rsidR="00977D07">
        <w:rPr>
          <w:sz w:val="20"/>
          <w:szCs w:val="20"/>
          <w:lang w:val="lt-LT"/>
        </w:rPr>
        <w:t>ngimo laikas: 2010-12-02.) A</w:t>
      </w:r>
      <w:r w:rsidRPr="00152A42">
        <w:rPr>
          <w:sz w:val="20"/>
          <w:szCs w:val="20"/>
          <w:lang w:val="lt-LT"/>
        </w:rPr>
        <w:t>not teisėjo, ginkluotas užpuolimas nebūtinai turi būti atliktas tiktai valstybės.</w:t>
      </w:r>
    </w:p>
    <w:p w:rsidR="00F63CC2" w:rsidRPr="00152A42" w:rsidRDefault="00F63CC2" w:rsidP="001D6E17">
      <w:pPr>
        <w:spacing w:before="100" w:beforeAutospacing="1" w:after="100" w:afterAutospacing="1" w:line="240" w:lineRule="auto"/>
        <w:ind w:left="284"/>
        <w:contextualSpacing/>
        <w:rPr>
          <w:sz w:val="20"/>
          <w:szCs w:val="20"/>
          <w:lang w:val="lt-LT"/>
        </w:rPr>
      </w:pPr>
      <w:r w:rsidRPr="00152A42">
        <w:rPr>
          <w:sz w:val="20"/>
          <w:szCs w:val="20"/>
          <w:lang w:val="lt-LT"/>
        </w:rPr>
        <w:t>Nors ir nėra vieningos nuomonės dėl Jungtinių Valstijų teisės į savigyną po teroro aktų įvykdymo, būtina atsižvelgti į Jungtinių Tautų Saugumo Tarybos nuomonę, kuri atsiskleidžia jos</w:t>
      </w:r>
      <w:r w:rsidR="00C41033">
        <w:rPr>
          <w:sz w:val="20"/>
          <w:szCs w:val="20"/>
          <w:lang w:val="lt-LT"/>
        </w:rPr>
        <w:t xml:space="preserve"> rezoliucijose. Dar nepradėjus </w:t>
      </w:r>
      <w:r w:rsidRPr="00152A42">
        <w:rPr>
          <w:sz w:val="20"/>
          <w:szCs w:val="20"/>
          <w:lang w:val="lt-LT"/>
        </w:rPr>
        <w:t>Jungtinėms Valstijoms vykdyti karinius ve</w:t>
      </w:r>
      <w:r w:rsidR="00C41033">
        <w:rPr>
          <w:sz w:val="20"/>
          <w:szCs w:val="20"/>
          <w:lang w:val="lt-LT"/>
        </w:rPr>
        <w:t>iksmus, Saugumo Taryba išleido R</w:t>
      </w:r>
      <w:r w:rsidRPr="00152A42">
        <w:rPr>
          <w:sz w:val="20"/>
          <w:szCs w:val="20"/>
          <w:lang w:val="lt-LT"/>
        </w:rPr>
        <w:t>ezoliuciją Nr. 1368 ir jos preambulėje pripažino neatimamą individualios ir kolektyvinės savigynos teisę bei teroristinius išpuolius apibūdino, kaip grėsmę tarptautinei taikai ir saugumui.</w:t>
      </w:r>
      <w:r w:rsidRPr="00152A42">
        <w:rPr>
          <w:rFonts w:eastAsiaTheme="majorEastAsia"/>
          <w:sz w:val="20"/>
          <w:szCs w:val="20"/>
          <w:lang w:val="lt-LT"/>
        </w:rPr>
        <w:t xml:space="preserve"> (Security Council Resolution 1368. 12 September 2001. UN Doc. S/RES/1368. // </w:t>
      </w:r>
      <w:hyperlink r:id="rId81" w:history="1">
        <w:r w:rsidR="00C41033" w:rsidRPr="005A432B">
          <w:rPr>
            <w:rStyle w:val="Hyperlink"/>
            <w:rFonts w:eastAsiaTheme="majorEastAsia"/>
            <w:sz w:val="20"/>
            <w:szCs w:val="20"/>
            <w:lang w:val="lt-LT"/>
          </w:rPr>
          <w:t>http://daccess-dds-ny.un.org</w:t>
        </w:r>
      </w:hyperlink>
      <w:r w:rsidR="00C41033">
        <w:rPr>
          <w:rFonts w:eastAsiaTheme="majorEastAsia"/>
          <w:sz w:val="20"/>
          <w:szCs w:val="20"/>
          <w:lang w:val="lt-LT"/>
        </w:rPr>
        <w:t>;</w:t>
      </w:r>
      <w:r w:rsidRPr="00152A42">
        <w:rPr>
          <w:rFonts w:eastAsiaTheme="majorEastAsia"/>
          <w:sz w:val="20"/>
          <w:szCs w:val="20"/>
          <w:lang w:val="lt-LT"/>
        </w:rPr>
        <w:t xml:space="preserve"> prisijungimo laikas: 2010-12-01.)</w:t>
      </w:r>
    </w:p>
    <w:p w:rsidR="00F63CC2" w:rsidRPr="00152A42" w:rsidRDefault="001A74ED" w:rsidP="001D6E17">
      <w:pPr>
        <w:spacing w:before="100" w:beforeAutospacing="1" w:after="100" w:afterAutospacing="1" w:line="240" w:lineRule="auto"/>
        <w:ind w:left="284"/>
        <w:contextualSpacing/>
        <w:rPr>
          <w:sz w:val="20"/>
          <w:szCs w:val="20"/>
          <w:lang w:val="lt-LT"/>
        </w:rPr>
      </w:pPr>
      <w:r>
        <w:rPr>
          <w:sz w:val="20"/>
          <w:szCs w:val="20"/>
          <w:lang w:val="lt-LT"/>
        </w:rPr>
        <w:t>Paminėta, kad kitoje R</w:t>
      </w:r>
      <w:r w:rsidR="00F63CC2" w:rsidRPr="00152A42">
        <w:rPr>
          <w:sz w:val="20"/>
          <w:szCs w:val="20"/>
          <w:lang w:val="lt-LT"/>
        </w:rPr>
        <w:t>ezoliucijoje Nr. 1373 Saugumo Taryba taip pat patvirtino neatimamą teisę į individualią ir kolektyvinę savigyną bei pripažino, kad prieš tarptautinį terorizmą reik</w:t>
      </w:r>
      <w:r>
        <w:rPr>
          <w:sz w:val="20"/>
          <w:szCs w:val="20"/>
          <w:lang w:val="lt-LT"/>
        </w:rPr>
        <w:t xml:space="preserve">ia </w:t>
      </w:r>
      <w:r w:rsidR="00F63CC2" w:rsidRPr="00152A42">
        <w:rPr>
          <w:sz w:val="20"/>
          <w:szCs w:val="20"/>
          <w:lang w:val="lt-LT"/>
        </w:rPr>
        <w:t>kovoti visomis priemonėmis, suderinamomis su Jungtinių Tautų Chartija.</w:t>
      </w:r>
      <w:r w:rsidR="00F63CC2" w:rsidRPr="00152A42">
        <w:rPr>
          <w:rFonts w:eastAsiaTheme="majorEastAsia"/>
          <w:sz w:val="20"/>
          <w:szCs w:val="20"/>
          <w:lang w:val="lt-LT"/>
        </w:rPr>
        <w:t xml:space="preserve"> (Security Council Resolution 1373. 28 Se</w:t>
      </w:r>
      <w:r w:rsidR="00C418AE">
        <w:rPr>
          <w:rFonts w:eastAsiaTheme="majorEastAsia"/>
          <w:sz w:val="20"/>
          <w:szCs w:val="20"/>
          <w:lang w:val="lt-LT"/>
        </w:rPr>
        <w:t>ptember 2001. UN Doc. S/RES/1373</w:t>
      </w:r>
      <w:r w:rsidR="00F63CC2" w:rsidRPr="00152A42">
        <w:rPr>
          <w:rFonts w:eastAsiaTheme="majorEastAsia"/>
          <w:sz w:val="20"/>
          <w:szCs w:val="20"/>
          <w:lang w:val="lt-LT"/>
        </w:rPr>
        <w:t xml:space="preserve">. // </w:t>
      </w:r>
      <w:hyperlink r:id="rId82" w:history="1">
        <w:r w:rsidRPr="005A432B">
          <w:rPr>
            <w:rStyle w:val="Hyperlink"/>
            <w:rFonts w:eastAsiaTheme="majorEastAsia"/>
            <w:sz w:val="20"/>
            <w:szCs w:val="20"/>
            <w:lang w:val="lt-LT"/>
          </w:rPr>
          <w:t>http://daccess-dds-ny.un.org</w:t>
        </w:r>
      </w:hyperlink>
      <w:r>
        <w:rPr>
          <w:rFonts w:eastAsiaTheme="majorEastAsia"/>
          <w:sz w:val="20"/>
          <w:szCs w:val="20"/>
          <w:lang w:val="lt-LT"/>
        </w:rPr>
        <w:t>;</w:t>
      </w:r>
      <w:r w:rsidR="00F63CC2" w:rsidRPr="00152A42">
        <w:rPr>
          <w:rFonts w:eastAsiaTheme="majorEastAsia"/>
          <w:sz w:val="20"/>
          <w:szCs w:val="20"/>
          <w:lang w:val="lt-LT"/>
        </w:rPr>
        <w:t xml:space="preserve"> prisijungimo laikas: 2010-12-01.)</w:t>
      </w:r>
    </w:p>
    <w:p w:rsidR="00F63CC2" w:rsidRPr="00152A42" w:rsidRDefault="00F63CC2" w:rsidP="001D6E17">
      <w:pPr>
        <w:spacing w:before="100" w:beforeAutospacing="1" w:after="100" w:afterAutospacing="1" w:line="240" w:lineRule="auto"/>
        <w:ind w:left="284"/>
        <w:contextualSpacing/>
        <w:rPr>
          <w:sz w:val="20"/>
          <w:szCs w:val="20"/>
          <w:lang w:val="lt-LT"/>
        </w:rPr>
      </w:pPr>
      <w:r w:rsidRPr="00152A42">
        <w:rPr>
          <w:sz w:val="20"/>
          <w:szCs w:val="20"/>
          <w:lang w:val="lt-LT"/>
        </w:rPr>
        <w:t>Matome, kad Saugumo Taryba savo rezoliucijomis patvirtino Jungtinių Valstijų teisę veikti savigynos ribose. Taip teroristinės atakos, nesvarbu, kad jos buvo vykdomos ne valstybės žinioje, išplėtė veikimo savigynos ribose sąvoką. Profesorė Christine Gray teigia, kad išsivystė nauja savigynos doktrina, kurioje teisė į savigyną prieš terorizmą gali egzistuoti tais atvejais, kai ji patvirtinama Saugumo Tarybos, kaip šiuo konkrečiu atveju - 1368 bei 1373 rezoliucijose.</w:t>
      </w:r>
      <w:r w:rsidRPr="00152A42">
        <w:rPr>
          <w:rFonts w:eastAsiaTheme="majorEastAsia"/>
          <w:sz w:val="20"/>
          <w:szCs w:val="20"/>
          <w:lang w:val="lt-LT"/>
        </w:rPr>
        <w:t xml:space="preserve"> (</w:t>
      </w:r>
      <w:r w:rsidRPr="00152A42">
        <w:rPr>
          <w:sz w:val="20"/>
          <w:szCs w:val="20"/>
          <w:lang w:val="lt-LT"/>
        </w:rPr>
        <w:t>Evans M. D. International Law. New York: Oxford University Press, 2006. P. 604.) Teisė į savigyną apima karinę ataką prieš valstybes, kurios aktyviai remia ar suteikia prieglobstį teroristinėms grupuotėms.</w:t>
      </w:r>
      <w:r w:rsidRPr="00152A42">
        <w:rPr>
          <w:rFonts w:eastAsiaTheme="majorEastAsia"/>
          <w:sz w:val="20"/>
          <w:szCs w:val="20"/>
          <w:lang w:val="lt-LT"/>
        </w:rPr>
        <w:t xml:space="preserve"> (</w:t>
      </w:r>
      <w:r w:rsidRPr="00152A42">
        <w:rPr>
          <w:sz w:val="20"/>
          <w:szCs w:val="20"/>
          <w:lang w:val="lt-LT"/>
        </w:rPr>
        <w:t>Henderson C. The Bush Doctrine: From Theory to Practice. Journal of Conflict and Security Law, Vol. 9  No. 1. 2004. P.</w:t>
      </w:r>
      <w:r w:rsidR="00FD2B5F">
        <w:rPr>
          <w:sz w:val="20"/>
          <w:szCs w:val="20"/>
          <w:lang w:val="lt-LT"/>
        </w:rPr>
        <w:t xml:space="preserve"> </w:t>
      </w:r>
      <w:r w:rsidRPr="00152A42">
        <w:rPr>
          <w:sz w:val="20"/>
          <w:szCs w:val="20"/>
          <w:lang w:val="lt-LT"/>
        </w:rPr>
        <w:t>5. //</w:t>
      </w:r>
      <w:r w:rsidR="00F9492A">
        <w:rPr>
          <w:sz w:val="20"/>
          <w:szCs w:val="20"/>
          <w:lang w:val="lt-LT"/>
        </w:rPr>
        <w:t xml:space="preserve"> </w:t>
      </w:r>
      <w:hyperlink r:id="rId83" w:history="1">
        <w:r w:rsidR="00F9492A" w:rsidRPr="005A432B">
          <w:rPr>
            <w:rStyle w:val="Hyperlink"/>
            <w:sz w:val="20"/>
            <w:szCs w:val="20"/>
            <w:lang w:val="lt-LT"/>
          </w:rPr>
          <w:t>http://jcsl.oxfordjournals.org</w:t>
        </w:r>
      </w:hyperlink>
      <w:r w:rsidRPr="00152A42">
        <w:rPr>
          <w:sz w:val="20"/>
          <w:szCs w:val="20"/>
          <w:lang w:val="lt-LT"/>
        </w:rPr>
        <w:t>; prisijungimo laikas: 2</w:t>
      </w:r>
      <w:r w:rsidR="00FD2B5F">
        <w:rPr>
          <w:sz w:val="20"/>
          <w:szCs w:val="20"/>
          <w:lang w:val="lt-LT"/>
        </w:rPr>
        <w:t xml:space="preserve">010-12-02.) Jungtinių Valstijų </w:t>
      </w:r>
      <w:r w:rsidRPr="00152A42">
        <w:rPr>
          <w:sz w:val="20"/>
          <w:szCs w:val="20"/>
          <w:lang w:val="lt-LT"/>
        </w:rPr>
        <w:t>karinių atakų įvykd</w:t>
      </w:r>
      <w:r w:rsidR="00FD2B5F">
        <w:rPr>
          <w:sz w:val="20"/>
          <w:szCs w:val="20"/>
          <w:lang w:val="lt-LT"/>
        </w:rPr>
        <w:t xml:space="preserve">ymas, veikiant savigynos ribose, buvo nukreiptas </w:t>
      </w:r>
      <w:r w:rsidRPr="00152A42">
        <w:rPr>
          <w:sz w:val="20"/>
          <w:szCs w:val="20"/>
          <w:lang w:val="lt-LT"/>
        </w:rPr>
        <w:t>prieš Talibano režimą, kuris aktyviai rėmė teroristinės grupuotės Al-Qaida režimą.</w:t>
      </w:r>
    </w:p>
  </w:footnote>
  <w:footnote w:id="113">
    <w:p w:rsidR="00F63CC2" w:rsidRPr="00152A42" w:rsidRDefault="00F63CC2" w:rsidP="006D5F99">
      <w:pPr>
        <w:pStyle w:val="FootnoteText"/>
        <w:spacing w:line="240" w:lineRule="auto"/>
        <w:ind w:left="284" w:hanging="284"/>
        <w:jc w:val="left"/>
        <w:rPr>
          <w:lang w:val="lt-LT"/>
        </w:rPr>
      </w:pPr>
      <w:r w:rsidRPr="00152A42">
        <w:rPr>
          <w:rStyle w:val="FootnoteReference"/>
          <w:rFonts w:eastAsiaTheme="majorEastAsia"/>
          <w:lang w:val="lt-LT"/>
        </w:rPr>
        <w:footnoteRef/>
      </w:r>
      <w:r w:rsidRPr="00152A42">
        <w:rPr>
          <w:lang w:val="lt-LT"/>
        </w:rPr>
        <w:t xml:space="preserve"> Cryer R. The Fine Art of Friendship: jus in bello in Afghanistan. Journal of Conflict and Security Law, Vol. 7 No. 1. 2002. P.</w:t>
      </w:r>
      <w:r w:rsidR="005C15FD">
        <w:rPr>
          <w:lang w:val="lt-LT"/>
        </w:rPr>
        <w:t xml:space="preserve"> </w:t>
      </w:r>
      <w:r w:rsidRPr="00152A42">
        <w:rPr>
          <w:lang w:val="lt-LT"/>
        </w:rPr>
        <w:t>4</w:t>
      </w:r>
      <w:r w:rsidR="005C15FD">
        <w:rPr>
          <w:lang w:val="lt-LT"/>
        </w:rPr>
        <w:t>.</w:t>
      </w:r>
      <w:r w:rsidRPr="00152A42">
        <w:rPr>
          <w:lang w:val="lt-LT"/>
        </w:rPr>
        <w:t xml:space="preserve"> //</w:t>
      </w:r>
      <w:r w:rsidR="005C15FD">
        <w:rPr>
          <w:lang w:val="lt-LT"/>
        </w:rPr>
        <w:t xml:space="preserve"> </w:t>
      </w:r>
      <w:hyperlink r:id="rId84" w:history="1">
        <w:r w:rsidR="00780CE5" w:rsidRPr="005A432B">
          <w:rPr>
            <w:rStyle w:val="Hyperlink"/>
            <w:lang w:val="lt-LT"/>
          </w:rPr>
          <w:t>http://jcsl.oxfordjournals.org</w:t>
        </w:r>
      </w:hyperlink>
      <w:r w:rsidRPr="00152A42">
        <w:rPr>
          <w:lang w:val="lt-LT"/>
        </w:rPr>
        <w:t>; prisijungimo laikas: 2010-12-02.</w:t>
      </w:r>
    </w:p>
  </w:footnote>
  <w:footnote w:id="114">
    <w:p w:rsidR="00F63CC2" w:rsidRPr="00152A42" w:rsidRDefault="00F63CC2" w:rsidP="006D5F99">
      <w:pPr>
        <w:pStyle w:val="FootnoteText"/>
        <w:spacing w:line="240" w:lineRule="auto"/>
        <w:ind w:left="284" w:hanging="284"/>
        <w:jc w:val="left"/>
        <w:rPr>
          <w:lang w:val="lt-LT"/>
        </w:rPr>
      </w:pPr>
      <w:r w:rsidRPr="00152A42">
        <w:rPr>
          <w:rStyle w:val="FootnoteReference"/>
          <w:rFonts w:eastAsiaTheme="majorEastAsia"/>
          <w:lang w:val="lt-LT"/>
        </w:rPr>
        <w:footnoteRef/>
      </w:r>
      <w:r w:rsidRPr="00152A42">
        <w:rPr>
          <w:lang w:val="lt-LT"/>
        </w:rPr>
        <w:t xml:space="preserve"> Agreement on Provisional Arrangements in Afghanistan Pending the Re-Establishment of Permanent Government Institutions ("Bonn Agreement") [Afghanistan], 5 December 2001. UN Doc. S/2001/1154. // </w:t>
      </w:r>
      <w:hyperlink r:id="rId85" w:history="1">
        <w:r w:rsidRPr="00152A42">
          <w:rPr>
            <w:rStyle w:val="Hyperlink"/>
            <w:rFonts w:eastAsiaTheme="majorEastAsia"/>
            <w:lang w:val="lt-LT"/>
          </w:rPr>
          <w:t>http://www.unhcr.org/refworld/docid/3f48f4754.html</w:t>
        </w:r>
      </w:hyperlink>
      <w:r w:rsidRPr="00152A42">
        <w:rPr>
          <w:lang w:val="lt-LT"/>
        </w:rPr>
        <w:t>; prisijungimo laikas: 2010-12-06.</w:t>
      </w:r>
    </w:p>
  </w:footnote>
  <w:footnote w:id="115">
    <w:p w:rsidR="00F63CC2" w:rsidRPr="00152A42" w:rsidRDefault="00F63CC2" w:rsidP="006D5F99">
      <w:pPr>
        <w:pStyle w:val="FootnoteText"/>
        <w:spacing w:line="240" w:lineRule="auto"/>
        <w:ind w:left="284" w:hanging="284"/>
        <w:jc w:val="left"/>
        <w:rPr>
          <w:lang w:val="lt-LT"/>
        </w:rPr>
      </w:pPr>
      <w:r w:rsidRPr="00152A42">
        <w:rPr>
          <w:rStyle w:val="FootnoteReference"/>
          <w:rFonts w:eastAsiaTheme="majorEastAsia"/>
          <w:lang w:val="lt-LT"/>
        </w:rPr>
        <w:footnoteRef/>
      </w:r>
      <w:r w:rsidRPr="00152A42">
        <w:rPr>
          <w:lang w:val="lt-LT"/>
        </w:rPr>
        <w:t xml:space="preserve"> Security Council Resolution 1386. 20 December 2001.S/RES/1386. // </w:t>
      </w:r>
      <w:hyperlink r:id="rId86" w:history="1">
        <w:r w:rsidRPr="00152A42">
          <w:rPr>
            <w:rStyle w:val="Hyperlink"/>
            <w:rFonts w:eastAsiaTheme="majorEastAsia"/>
            <w:lang w:val="lt-LT"/>
          </w:rPr>
          <w:t>http://daccess-dds-ny.un.org</w:t>
        </w:r>
      </w:hyperlink>
      <w:r w:rsidRPr="00152A42">
        <w:rPr>
          <w:lang w:val="lt-LT"/>
        </w:rPr>
        <w:t xml:space="preserve">; </w:t>
      </w:r>
      <w:r w:rsidR="00FA4E46">
        <w:rPr>
          <w:lang w:val="lt-LT"/>
        </w:rPr>
        <w:t>prisijungimo laikas: 2010-12-01.</w:t>
      </w:r>
    </w:p>
  </w:footnote>
  <w:footnote w:id="116">
    <w:p w:rsidR="00F63CC2" w:rsidRPr="00152A42" w:rsidRDefault="00F63CC2" w:rsidP="006D5F99">
      <w:pPr>
        <w:pStyle w:val="FootnoteText"/>
        <w:spacing w:line="240" w:lineRule="auto"/>
        <w:ind w:left="284" w:hanging="284"/>
        <w:jc w:val="left"/>
        <w:rPr>
          <w:lang w:val="lt-LT"/>
        </w:rPr>
      </w:pPr>
      <w:r w:rsidRPr="00152A42">
        <w:rPr>
          <w:rStyle w:val="FootnoteReference"/>
          <w:rFonts w:eastAsiaTheme="majorEastAsia"/>
          <w:lang w:val="lt-LT"/>
        </w:rPr>
        <w:footnoteRef/>
      </w:r>
      <w:r w:rsidRPr="00152A42">
        <w:rPr>
          <w:lang w:val="lt-LT"/>
        </w:rPr>
        <w:t xml:space="preserve"> Security Council Resolution 1401. 28 March 2002. S/RES/1401. // </w:t>
      </w:r>
      <w:hyperlink r:id="rId87" w:history="1">
        <w:r w:rsidRPr="00152A42">
          <w:rPr>
            <w:rStyle w:val="Hyperlink"/>
            <w:rFonts w:eastAsiaTheme="majorEastAsia"/>
            <w:lang w:val="lt-LT"/>
          </w:rPr>
          <w:t>http://daccess-dds-ny.un.org</w:t>
        </w:r>
      </w:hyperlink>
      <w:r w:rsidRPr="00152A42">
        <w:rPr>
          <w:lang w:val="lt-LT"/>
        </w:rPr>
        <w:t xml:space="preserve">; </w:t>
      </w:r>
      <w:r w:rsidR="00FA4E46">
        <w:rPr>
          <w:lang w:val="lt-LT"/>
        </w:rPr>
        <w:t>prisijungimo laikas: 2010-12-01.</w:t>
      </w:r>
    </w:p>
  </w:footnote>
  <w:footnote w:id="117">
    <w:p w:rsidR="00F63CC2" w:rsidRPr="00152A42" w:rsidRDefault="00F63CC2" w:rsidP="006D5F99">
      <w:pPr>
        <w:pStyle w:val="FootnoteText"/>
        <w:spacing w:line="240" w:lineRule="auto"/>
        <w:ind w:left="284" w:hanging="284"/>
        <w:jc w:val="left"/>
        <w:rPr>
          <w:lang w:val="lt-LT"/>
        </w:rPr>
      </w:pPr>
      <w:r w:rsidRPr="00152A42">
        <w:rPr>
          <w:rStyle w:val="FootnoteReference"/>
          <w:rFonts w:eastAsiaTheme="majorEastAsia"/>
          <w:lang w:val="lt-LT"/>
        </w:rPr>
        <w:footnoteRef/>
      </w:r>
      <w:r w:rsidRPr="00152A42">
        <w:rPr>
          <w:lang w:val="lt-LT"/>
        </w:rPr>
        <w:t xml:space="preserve"> Jungtinių Tautų pagalbos misija Afganistane // </w:t>
      </w:r>
      <w:hyperlink r:id="rId88" w:history="1">
        <w:r w:rsidRPr="00152A42">
          <w:rPr>
            <w:rStyle w:val="Hyperlink"/>
            <w:rFonts w:eastAsiaTheme="majorEastAsia"/>
            <w:lang w:val="lt-LT"/>
          </w:rPr>
          <w:t>http://unama.unmissions.org</w:t>
        </w:r>
      </w:hyperlink>
      <w:r w:rsidRPr="00152A42">
        <w:rPr>
          <w:lang w:val="lt-LT"/>
        </w:rPr>
        <w:t>; prisijungimo laikas: 2010-12-02.</w:t>
      </w:r>
    </w:p>
  </w:footnote>
  <w:footnote w:id="118">
    <w:p w:rsidR="00F63CC2" w:rsidRPr="00152A42" w:rsidRDefault="00F63CC2" w:rsidP="006D5F99">
      <w:pPr>
        <w:pStyle w:val="FootnoteText"/>
        <w:spacing w:line="240" w:lineRule="auto"/>
        <w:ind w:left="284" w:hanging="284"/>
        <w:jc w:val="left"/>
        <w:rPr>
          <w:lang w:val="lt-LT"/>
        </w:rPr>
      </w:pPr>
      <w:r w:rsidRPr="00152A42">
        <w:rPr>
          <w:rStyle w:val="FootnoteReference"/>
          <w:rFonts w:eastAsiaTheme="majorEastAsia"/>
          <w:lang w:val="lt-LT"/>
        </w:rPr>
        <w:footnoteRef/>
      </w:r>
      <w:r w:rsidRPr="00152A42">
        <w:rPr>
          <w:lang w:val="lt-LT"/>
        </w:rPr>
        <w:t xml:space="preserve"> Plačiau bus kalbama 2.4</w:t>
      </w:r>
      <w:r w:rsidR="003B585F">
        <w:rPr>
          <w:lang w:val="lt-LT"/>
        </w:rPr>
        <w:t>.</w:t>
      </w:r>
      <w:r w:rsidRPr="00152A42">
        <w:rPr>
          <w:lang w:val="lt-LT"/>
        </w:rPr>
        <w:t xml:space="preserve"> poskyryje.</w:t>
      </w:r>
    </w:p>
  </w:footnote>
  <w:footnote w:id="119">
    <w:p w:rsidR="00F63CC2" w:rsidRPr="00152A42" w:rsidRDefault="00F63CC2" w:rsidP="006D5F99">
      <w:pPr>
        <w:pStyle w:val="FootnoteText"/>
        <w:spacing w:line="240" w:lineRule="auto"/>
        <w:ind w:left="284" w:hanging="284"/>
        <w:jc w:val="left"/>
        <w:rPr>
          <w:lang w:val="lt-LT"/>
        </w:rPr>
      </w:pPr>
      <w:r w:rsidRPr="00152A42">
        <w:rPr>
          <w:rStyle w:val="FootnoteReference"/>
          <w:rFonts w:eastAsiaTheme="majorEastAsia"/>
          <w:lang w:val="lt-LT"/>
        </w:rPr>
        <w:footnoteRef/>
      </w:r>
      <w:r w:rsidRPr="00152A42">
        <w:rPr>
          <w:lang w:val="lt-LT"/>
        </w:rPr>
        <w:t xml:space="preserve"> Weiss T. G., Daws S. The Oxford Handbook on The United Nations. New York: Oxford University Press, 2007.  P. 410.</w:t>
      </w:r>
    </w:p>
  </w:footnote>
  <w:footnote w:id="120">
    <w:p w:rsidR="00F63CC2" w:rsidRPr="00152A42" w:rsidRDefault="00F63CC2" w:rsidP="006D5F99">
      <w:pPr>
        <w:pStyle w:val="FootnoteText"/>
        <w:spacing w:line="240" w:lineRule="auto"/>
        <w:ind w:left="284" w:hanging="284"/>
        <w:jc w:val="left"/>
        <w:rPr>
          <w:lang w:val="lt-LT"/>
        </w:rPr>
      </w:pPr>
      <w:r w:rsidRPr="00152A42">
        <w:rPr>
          <w:rStyle w:val="FootnoteReference"/>
          <w:rFonts w:eastAsiaTheme="majorEastAsia"/>
          <w:lang w:val="lt-LT"/>
        </w:rPr>
        <w:footnoteRef/>
      </w:r>
      <w:r w:rsidRPr="00152A42">
        <w:rPr>
          <w:lang w:val="lt-LT"/>
        </w:rPr>
        <w:t xml:space="preserve"> The National Security Strategy of the United States of America. The White House, Washington D.C. September 17, 2002. P.</w:t>
      </w:r>
      <w:r w:rsidR="004F3CEE">
        <w:rPr>
          <w:lang w:val="lt-LT"/>
        </w:rPr>
        <w:t xml:space="preserve"> </w:t>
      </w:r>
      <w:r w:rsidRPr="00152A42">
        <w:rPr>
          <w:lang w:val="lt-LT"/>
        </w:rPr>
        <w:t>12</w:t>
      </w:r>
      <w:r w:rsidR="004F3CEE">
        <w:rPr>
          <w:lang w:val="lt-LT"/>
        </w:rPr>
        <w:t>.</w:t>
      </w:r>
      <w:r w:rsidRPr="00152A42">
        <w:rPr>
          <w:lang w:val="lt-LT"/>
        </w:rPr>
        <w:t xml:space="preserve"> // </w:t>
      </w:r>
      <w:hyperlink r:id="rId89" w:history="1">
        <w:r w:rsidRPr="00152A42">
          <w:rPr>
            <w:rStyle w:val="Hyperlink"/>
            <w:rFonts w:eastAsiaTheme="majorEastAsia"/>
            <w:lang w:val="lt-LT"/>
          </w:rPr>
          <w:t>http://www.globalsecurity.org</w:t>
        </w:r>
      </w:hyperlink>
      <w:r w:rsidRPr="00152A42">
        <w:rPr>
          <w:lang w:val="lt-LT"/>
        </w:rPr>
        <w:t>; prisiungimo laikas: 2010-12-05.</w:t>
      </w:r>
    </w:p>
  </w:footnote>
  <w:footnote w:id="121">
    <w:p w:rsidR="00F63CC2" w:rsidRPr="00152A42" w:rsidRDefault="00F63CC2" w:rsidP="006D5F99">
      <w:pPr>
        <w:pStyle w:val="FootnoteText"/>
        <w:spacing w:line="240" w:lineRule="auto"/>
        <w:ind w:left="284" w:hanging="284"/>
        <w:jc w:val="left"/>
        <w:rPr>
          <w:lang w:val="lt-LT"/>
        </w:rPr>
      </w:pPr>
      <w:r w:rsidRPr="00152A42">
        <w:rPr>
          <w:rStyle w:val="FootnoteReference"/>
          <w:rFonts w:eastAsiaTheme="majorEastAsia"/>
          <w:lang w:val="lt-LT"/>
        </w:rPr>
        <w:footnoteRef/>
      </w:r>
      <w:r w:rsidRPr="00152A42">
        <w:rPr>
          <w:lang w:val="lt-LT"/>
        </w:rPr>
        <w:t xml:space="preserve"> Ibid, P.</w:t>
      </w:r>
      <w:r w:rsidR="004F3CEE">
        <w:rPr>
          <w:lang w:val="lt-LT"/>
        </w:rPr>
        <w:t xml:space="preserve"> </w:t>
      </w:r>
      <w:r w:rsidRPr="00152A42">
        <w:rPr>
          <w:lang w:val="lt-LT"/>
        </w:rPr>
        <w:t>13.</w:t>
      </w:r>
    </w:p>
  </w:footnote>
  <w:footnote w:id="122">
    <w:p w:rsidR="00F63CC2" w:rsidRPr="00152A42" w:rsidRDefault="00F63CC2" w:rsidP="006D5F99">
      <w:pPr>
        <w:pStyle w:val="FootnoteText"/>
        <w:spacing w:line="240" w:lineRule="auto"/>
        <w:ind w:left="284" w:hanging="284"/>
        <w:jc w:val="left"/>
        <w:rPr>
          <w:lang w:val="lt-LT"/>
        </w:rPr>
      </w:pPr>
      <w:r w:rsidRPr="00152A42">
        <w:rPr>
          <w:rStyle w:val="FootnoteReference"/>
          <w:rFonts w:eastAsiaTheme="majorEastAsia"/>
          <w:lang w:val="lt-LT"/>
        </w:rPr>
        <w:footnoteRef/>
      </w:r>
      <w:r w:rsidRPr="00152A42">
        <w:rPr>
          <w:lang w:val="lt-LT"/>
        </w:rPr>
        <w:t xml:space="preserve"> Weiss T. G., Daws S. The Oxford Handbook on The United Nations. New York: Oxford University Press, 2007.  P. 410.</w:t>
      </w:r>
    </w:p>
  </w:footnote>
  <w:footnote w:id="123">
    <w:p w:rsidR="00F63CC2" w:rsidRPr="00152A42" w:rsidRDefault="00F63CC2" w:rsidP="006D5F99">
      <w:pPr>
        <w:pStyle w:val="FootnoteText"/>
        <w:spacing w:line="240" w:lineRule="auto"/>
        <w:ind w:left="284" w:hanging="284"/>
        <w:jc w:val="left"/>
        <w:rPr>
          <w:lang w:val="lt-LT"/>
        </w:rPr>
      </w:pPr>
      <w:r w:rsidRPr="00152A42">
        <w:rPr>
          <w:rStyle w:val="FootnoteReference"/>
          <w:rFonts w:eastAsiaTheme="majorEastAsia"/>
          <w:lang w:val="lt-LT"/>
        </w:rPr>
        <w:footnoteRef/>
      </w:r>
      <w:r w:rsidRPr="00152A42">
        <w:rPr>
          <w:lang w:val="lt-LT"/>
        </w:rPr>
        <w:t xml:space="preserve"> Opening Statement by NATO Secretary General Anders Fogh Rasmussen at meeting on Afghanistan with Heads of State and Government. 20 November 2010. // </w:t>
      </w:r>
      <w:hyperlink r:id="rId90" w:history="1">
        <w:r w:rsidRPr="00152A42">
          <w:rPr>
            <w:rStyle w:val="Hyperlink"/>
            <w:rFonts w:eastAsiaTheme="majorEastAsia"/>
            <w:lang w:val="lt-LT"/>
          </w:rPr>
          <w:t>http://www.nato.int</w:t>
        </w:r>
      </w:hyperlink>
      <w:r w:rsidRPr="00152A42">
        <w:rPr>
          <w:lang w:val="lt-LT"/>
        </w:rPr>
        <w:t>; prisijungimo laikas:2010-12-06.</w:t>
      </w:r>
    </w:p>
  </w:footnote>
  <w:footnote w:id="124">
    <w:p w:rsidR="00F63CC2" w:rsidRPr="00152A42" w:rsidRDefault="00F63CC2" w:rsidP="006D5F99">
      <w:pPr>
        <w:pStyle w:val="FootnoteText"/>
        <w:spacing w:line="240" w:lineRule="auto"/>
        <w:ind w:left="284" w:hanging="284"/>
        <w:jc w:val="left"/>
        <w:rPr>
          <w:lang w:val="lt-LT"/>
        </w:rPr>
      </w:pPr>
      <w:r w:rsidRPr="00152A42">
        <w:rPr>
          <w:rStyle w:val="FootnoteReference"/>
          <w:rFonts w:eastAsiaTheme="majorEastAsia"/>
          <w:lang w:val="lt-LT"/>
        </w:rPr>
        <w:footnoteRef/>
      </w:r>
      <w:r w:rsidRPr="00152A42">
        <w:rPr>
          <w:lang w:val="lt-LT"/>
        </w:rPr>
        <w:t xml:space="preserve"> Asia Briefing N°115. Afghanistan: Exit vs Engagement. Kabul/Bru</w:t>
      </w:r>
      <w:r w:rsidR="004F3CEE">
        <w:rPr>
          <w:lang w:val="lt-LT"/>
        </w:rPr>
        <w:t xml:space="preserve">ssels, 28 November 2010. P. 1. </w:t>
      </w:r>
      <w:r w:rsidRPr="00152A42">
        <w:rPr>
          <w:lang w:val="lt-LT"/>
        </w:rPr>
        <w:t xml:space="preserve">// </w:t>
      </w:r>
      <w:hyperlink r:id="rId91" w:history="1">
        <w:r w:rsidRPr="00152A42">
          <w:rPr>
            <w:rStyle w:val="Hyperlink"/>
            <w:rFonts w:eastAsiaTheme="majorEastAsia"/>
            <w:lang w:val="lt-LT"/>
          </w:rPr>
          <w:t>http://www.crisisgroup.org</w:t>
        </w:r>
      </w:hyperlink>
      <w:r w:rsidRPr="00152A42">
        <w:rPr>
          <w:lang w:val="lt-LT"/>
        </w:rPr>
        <w:t>; prisijungimo laikas: 2010-12-02.</w:t>
      </w:r>
    </w:p>
  </w:footnote>
  <w:footnote w:id="125">
    <w:p w:rsidR="00F63CC2" w:rsidRPr="00152A42" w:rsidRDefault="00F63CC2" w:rsidP="006D5F99">
      <w:pPr>
        <w:pStyle w:val="FootnoteText"/>
        <w:spacing w:line="240" w:lineRule="auto"/>
        <w:ind w:left="284" w:hanging="284"/>
        <w:jc w:val="left"/>
        <w:rPr>
          <w:lang w:val="lt-LT"/>
        </w:rPr>
      </w:pPr>
      <w:r w:rsidRPr="00152A42">
        <w:rPr>
          <w:rStyle w:val="FootnoteReference"/>
          <w:rFonts w:eastAsiaTheme="majorEastAsia"/>
          <w:lang w:val="lt-LT"/>
        </w:rPr>
        <w:footnoteRef/>
      </w:r>
      <w:r w:rsidRPr="00152A42">
        <w:rPr>
          <w:lang w:val="lt-LT"/>
        </w:rPr>
        <w:t xml:space="preserve"> Ibid. P.</w:t>
      </w:r>
      <w:r w:rsidR="004F3CEE">
        <w:rPr>
          <w:lang w:val="lt-LT"/>
        </w:rPr>
        <w:t xml:space="preserve"> </w:t>
      </w:r>
      <w:r w:rsidRPr="00152A42">
        <w:rPr>
          <w:lang w:val="lt-LT"/>
        </w:rPr>
        <w:t>3.</w:t>
      </w:r>
    </w:p>
  </w:footnote>
  <w:footnote w:id="126">
    <w:p w:rsidR="00F63CC2" w:rsidRPr="00152A42" w:rsidRDefault="00F63CC2" w:rsidP="006D5F99">
      <w:pPr>
        <w:pStyle w:val="FootnoteText"/>
        <w:spacing w:line="240" w:lineRule="auto"/>
        <w:ind w:left="284" w:hanging="284"/>
        <w:jc w:val="left"/>
        <w:rPr>
          <w:lang w:val="lt-LT"/>
        </w:rPr>
      </w:pPr>
      <w:r w:rsidRPr="00152A42">
        <w:rPr>
          <w:rStyle w:val="FootnoteReference"/>
          <w:rFonts w:eastAsiaTheme="majorEastAsia"/>
          <w:lang w:val="lt-LT"/>
        </w:rPr>
        <w:footnoteRef/>
      </w:r>
      <w:r w:rsidRPr="00152A42">
        <w:rPr>
          <w:lang w:val="lt-LT"/>
        </w:rPr>
        <w:t xml:space="preserve"> Schmit</w:t>
      </w:r>
      <w:r w:rsidR="004F3CEE">
        <w:rPr>
          <w:lang w:val="lt-LT"/>
        </w:rPr>
        <w:t>t M. N. The War in Afghanistan:</w:t>
      </w:r>
      <w:r w:rsidRPr="00152A42">
        <w:rPr>
          <w:lang w:val="lt-LT"/>
        </w:rPr>
        <w:t xml:space="preserve"> A legal Analysis. Newport, Rhode Island: Naval War College, 2009. P. 92.</w:t>
      </w:r>
    </w:p>
  </w:footnote>
  <w:footnote w:id="127">
    <w:p w:rsidR="00F63CC2" w:rsidRPr="00152A42" w:rsidRDefault="00F63CC2" w:rsidP="006D5F99">
      <w:pPr>
        <w:pStyle w:val="FootnoteText"/>
        <w:spacing w:line="240" w:lineRule="auto"/>
        <w:ind w:left="284" w:hanging="284"/>
        <w:jc w:val="left"/>
        <w:rPr>
          <w:lang w:val="lt-LT"/>
        </w:rPr>
      </w:pPr>
      <w:r w:rsidRPr="00152A42">
        <w:rPr>
          <w:rStyle w:val="FootnoteReference"/>
          <w:rFonts w:eastAsiaTheme="majorEastAsia"/>
          <w:lang w:val="lt-LT"/>
        </w:rPr>
        <w:footnoteRef/>
      </w:r>
      <w:r w:rsidRPr="00152A42">
        <w:rPr>
          <w:lang w:val="lt-LT"/>
        </w:rPr>
        <w:t xml:space="preserve"> Durch W. J. Twenty-First Century Peace Operations. Washington DC: US Institute of  Peace, 2006. P. 543.</w:t>
      </w:r>
    </w:p>
  </w:footnote>
  <w:footnote w:id="128">
    <w:p w:rsidR="00F63CC2" w:rsidRPr="00152A42" w:rsidRDefault="00F63CC2" w:rsidP="006D5F99">
      <w:pPr>
        <w:pStyle w:val="FootnoteText"/>
        <w:spacing w:line="240" w:lineRule="auto"/>
        <w:ind w:left="284" w:hanging="284"/>
        <w:jc w:val="left"/>
        <w:rPr>
          <w:lang w:val="lt-LT"/>
        </w:rPr>
      </w:pPr>
      <w:r w:rsidRPr="00152A42">
        <w:rPr>
          <w:rStyle w:val="FootnoteReference"/>
          <w:rFonts w:eastAsiaTheme="majorEastAsia"/>
          <w:lang w:val="lt-LT"/>
        </w:rPr>
        <w:footnoteRef/>
      </w:r>
      <w:r w:rsidRPr="00152A42">
        <w:rPr>
          <w:lang w:val="lt-LT"/>
        </w:rPr>
        <w:t xml:space="preserve"> Asia Report N°145 – 6 February 2008. Afghanistan: The Need for International Resolve. 6 February 2008. P. 5. // </w:t>
      </w:r>
      <w:hyperlink r:id="rId92" w:history="1">
        <w:r w:rsidRPr="00152A42">
          <w:rPr>
            <w:rStyle w:val="Hyperlink"/>
            <w:rFonts w:eastAsiaTheme="majorEastAsia"/>
            <w:lang w:val="lt-LT"/>
          </w:rPr>
          <w:t>http://www.crisisgroup.org</w:t>
        </w:r>
      </w:hyperlink>
      <w:r w:rsidRPr="00152A42">
        <w:rPr>
          <w:lang w:val="lt-LT"/>
        </w:rPr>
        <w:t>; prisijungimo laikas:2010-12-02.</w:t>
      </w:r>
    </w:p>
  </w:footnote>
  <w:footnote w:id="129">
    <w:p w:rsidR="00F63CC2" w:rsidRPr="00152A42" w:rsidRDefault="00F63CC2" w:rsidP="006D5F99">
      <w:pPr>
        <w:pStyle w:val="FootnoteText"/>
        <w:spacing w:line="240" w:lineRule="auto"/>
        <w:ind w:left="284" w:hanging="284"/>
        <w:jc w:val="left"/>
        <w:rPr>
          <w:lang w:val="lt-LT"/>
        </w:rPr>
      </w:pPr>
      <w:r w:rsidRPr="00152A42">
        <w:rPr>
          <w:rStyle w:val="FootnoteReference"/>
          <w:rFonts w:eastAsiaTheme="majorEastAsia"/>
          <w:lang w:val="lt-LT"/>
        </w:rPr>
        <w:footnoteRef/>
      </w:r>
      <w:r w:rsidRPr="00152A42">
        <w:rPr>
          <w:lang w:val="lt-LT"/>
        </w:rPr>
        <w:t xml:space="preserve"> Tarptautinių </w:t>
      </w:r>
      <w:r w:rsidR="00A97343">
        <w:rPr>
          <w:lang w:val="lt-LT"/>
        </w:rPr>
        <w:t>Saugumo Paramos pajėgų istorija</w:t>
      </w:r>
      <w:r w:rsidRPr="00152A42">
        <w:rPr>
          <w:lang w:val="lt-LT"/>
        </w:rPr>
        <w:t xml:space="preserve"> // </w:t>
      </w:r>
      <w:hyperlink r:id="rId93" w:history="1">
        <w:r w:rsidRPr="00152A42">
          <w:rPr>
            <w:rStyle w:val="Hyperlink"/>
            <w:rFonts w:eastAsiaTheme="majorEastAsia"/>
            <w:lang w:val="lt-LT"/>
          </w:rPr>
          <w:t>http://www.isaf.nato.int/history.html</w:t>
        </w:r>
      </w:hyperlink>
      <w:r w:rsidRPr="00152A42">
        <w:rPr>
          <w:lang w:val="lt-LT"/>
        </w:rPr>
        <w:t>; prisijungimo laikas:2010-12-02.</w:t>
      </w:r>
    </w:p>
  </w:footnote>
  <w:footnote w:id="130">
    <w:p w:rsidR="00F63CC2" w:rsidRPr="00152A42" w:rsidRDefault="00F63CC2" w:rsidP="006D5F99">
      <w:pPr>
        <w:pStyle w:val="FootnoteText"/>
        <w:spacing w:line="240" w:lineRule="auto"/>
        <w:ind w:left="284" w:hanging="284"/>
        <w:jc w:val="left"/>
        <w:rPr>
          <w:lang w:val="lt-LT"/>
        </w:rPr>
      </w:pPr>
      <w:r w:rsidRPr="00152A42">
        <w:rPr>
          <w:rStyle w:val="FootnoteReference"/>
          <w:rFonts w:eastAsiaTheme="majorEastAsia"/>
          <w:lang w:val="lt-LT"/>
        </w:rPr>
        <w:footnoteRef/>
      </w:r>
      <w:r w:rsidRPr="00152A42">
        <w:rPr>
          <w:lang w:val="lt-LT"/>
        </w:rPr>
        <w:t xml:space="preserve"> United Nations Security Council. Resolution 1510. 13 October 2003. UN Doc. S/RES/1510. // </w:t>
      </w:r>
      <w:hyperlink r:id="rId94" w:history="1">
        <w:r w:rsidRPr="00152A42">
          <w:rPr>
            <w:rStyle w:val="Hyperlink"/>
            <w:rFonts w:eastAsiaTheme="majorEastAsia"/>
            <w:lang w:val="lt-LT"/>
          </w:rPr>
          <w:t>http://daccess-dds-ny.un.org</w:t>
        </w:r>
      </w:hyperlink>
      <w:r w:rsidRPr="00152A42">
        <w:rPr>
          <w:lang w:val="lt-LT"/>
        </w:rPr>
        <w:t>; prisijungimo laikas: 2010-12-01;</w:t>
      </w:r>
    </w:p>
  </w:footnote>
  <w:footnote w:id="131">
    <w:p w:rsidR="00F63CC2" w:rsidRPr="00152A42" w:rsidRDefault="00F63CC2" w:rsidP="006D5F99">
      <w:pPr>
        <w:pStyle w:val="FootnoteText"/>
        <w:spacing w:line="240" w:lineRule="auto"/>
        <w:ind w:left="284" w:hanging="284"/>
        <w:jc w:val="left"/>
        <w:rPr>
          <w:lang w:val="lt-LT"/>
        </w:rPr>
      </w:pPr>
      <w:r w:rsidRPr="00152A42">
        <w:rPr>
          <w:rStyle w:val="FootnoteReference"/>
          <w:rFonts w:eastAsiaTheme="majorEastAsia"/>
          <w:lang w:val="lt-LT"/>
        </w:rPr>
        <w:footnoteRef/>
      </w:r>
      <w:r w:rsidRPr="00152A42">
        <w:rPr>
          <w:lang w:val="lt-LT"/>
        </w:rPr>
        <w:t xml:space="preserve"> Tarptautinių Saugumo Paramos paj</w:t>
      </w:r>
      <w:r w:rsidR="00A97343">
        <w:rPr>
          <w:lang w:val="lt-LT"/>
        </w:rPr>
        <w:t>ėgų istorija</w:t>
      </w:r>
      <w:r w:rsidRPr="00152A42">
        <w:rPr>
          <w:lang w:val="lt-LT"/>
        </w:rPr>
        <w:t xml:space="preserve"> // </w:t>
      </w:r>
      <w:hyperlink r:id="rId95" w:history="1">
        <w:r w:rsidRPr="00152A42">
          <w:rPr>
            <w:rStyle w:val="Hyperlink"/>
            <w:rFonts w:eastAsiaTheme="majorEastAsia"/>
            <w:lang w:val="lt-LT"/>
          </w:rPr>
          <w:t>http://www.isaf.nato.int/history.html</w:t>
        </w:r>
      </w:hyperlink>
      <w:r w:rsidRPr="00152A42">
        <w:rPr>
          <w:lang w:val="lt-LT"/>
        </w:rPr>
        <w:t>; prisijungimo laikas: 2010-12-02.</w:t>
      </w:r>
    </w:p>
  </w:footnote>
  <w:footnote w:id="132">
    <w:p w:rsidR="00F63CC2" w:rsidRPr="00152A42" w:rsidRDefault="00F63CC2" w:rsidP="006D5F99">
      <w:pPr>
        <w:pStyle w:val="FootnoteText"/>
        <w:spacing w:line="240" w:lineRule="auto"/>
        <w:ind w:left="284" w:hanging="284"/>
        <w:jc w:val="left"/>
        <w:rPr>
          <w:lang w:val="lt-LT"/>
        </w:rPr>
      </w:pPr>
      <w:r w:rsidRPr="00152A42">
        <w:rPr>
          <w:rStyle w:val="FootnoteReference"/>
          <w:rFonts w:eastAsiaTheme="majorEastAsia"/>
          <w:lang w:val="lt-LT"/>
        </w:rPr>
        <w:footnoteRef/>
      </w:r>
      <w:r w:rsidRPr="00152A42">
        <w:rPr>
          <w:lang w:val="lt-LT"/>
        </w:rPr>
        <w:t xml:space="preserve"> Prezidento sutikimas įkurti taikos misiją netiesiogiai išplauk</w:t>
      </w:r>
      <w:r w:rsidR="00041552">
        <w:rPr>
          <w:lang w:val="lt-LT"/>
        </w:rPr>
        <w:t>ia iš Bonos susitarimo I priedo,</w:t>
      </w:r>
      <w:r w:rsidRPr="00152A42">
        <w:rPr>
          <w:lang w:val="lt-LT"/>
        </w:rPr>
        <w:t xml:space="preserve"> </w:t>
      </w:r>
      <w:r w:rsidR="00A97343" w:rsidRPr="00383AB2">
        <w:rPr>
          <w:i/>
          <w:lang w:val="lt-LT"/>
        </w:rPr>
        <w:t>supra note</w:t>
      </w:r>
      <w:r w:rsidRPr="00152A42">
        <w:rPr>
          <w:i/>
          <w:lang w:val="lt-LT"/>
        </w:rPr>
        <w:t xml:space="preserve"> </w:t>
      </w:r>
      <w:r w:rsidRPr="00152A42">
        <w:rPr>
          <w:lang w:val="lt-LT"/>
        </w:rPr>
        <w:t>124</w:t>
      </w:r>
      <w:r w:rsidR="00383AB2">
        <w:rPr>
          <w:lang w:val="lt-LT"/>
        </w:rPr>
        <w:t>.</w:t>
      </w:r>
    </w:p>
  </w:footnote>
  <w:footnote w:id="133">
    <w:p w:rsidR="00F63CC2" w:rsidRPr="00152A42" w:rsidRDefault="00F63CC2" w:rsidP="006D5F99">
      <w:pPr>
        <w:pStyle w:val="FootnoteText"/>
        <w:spacing w:line="240" w:lineRule="auto"/>
        <w:ind w:left="284" w:hanging="284"/>
        <w:jc w:val="left"/>
        <w:rPr>
          <w:lang w:val="lt-LT"/>
        </w:rPr>
      </w:pPr>
      <w:r w:rsidRPr="00152A42">
        <w:rPr>
          <w:rStyle w:val="FootnoteReference"/>
          <w:rFonts w:eastAsiaTheme="majorEastAsia"/>
          <w:lang w:val="lt-LT"/>
        </w:rPr>
        <w:footnoteRef/>
      </w:r>
      <w:r w:rsidRPr="00152A42">
        <w:rPr>
          <w:lang w:val="lt-LT"/>
        </w:rPr>
        <w:t xml:space="preserve"> Bellamy A. J., Williams P. D. Understanding peacekeeping. United Kingdom: Polity Press, 2010. P. 291</w:t>
      </w:r>
    </w:p>
  </w:footnote>
  <w:footnote w:id="134">
    <w:p w:rsidR="00F63CC2" w:rsidRPr="00152A42" w:rsidRDefault="00F63CC2" w:rsidP="006D5F99">
      <w:pPr>
        <w:pStyle w:val="FootnoteText"/>
        <w:spacing w:line="240" w:lineRule="auto"/>
        <w:ind w:left="284" w:hanging="284"/>
        <w:jc w:val="left"/>
        <w:rPr>
          <w:lang w:val="lt-LT"/>
        </w:rPr>
      </w:pPr>
      <w:r w:rsidRPr="00152A42">
        <w:rPr>
          <w:rStyle w:val="FootnoteReference"/>
          <w:rFonts w:eastAsiaTheme="majorEastAsia"/>
          <w:lang w:val="lt-LT"/>
        </w:rPr>
        <w:footnoteRef/>
      </w:r>
      <w:r w:rsidRPr="00152A42">
        <w:rPr>
          <w:lang w:val="lt-LT"/>
        </w:rPr>
        <w:t xml:space="preserve"> Scott C. Assessing ISAF: A Baseline Study of NATO‘s Role in Afghanistan. London: British American Security Information Council, 2007. P. 4.</w:t>
      </w:r>
    </w:p>
  </w:footnote>
  <w:footnote w:id="135">
    <w:p w:rsidR="00F63CC2" w:rsidRPr="00152A42" w:rsidRDefault="00F63CC2" w:rsidP="006D5F99">
      <w:pPr>
        <w:pStyle w:val="FootnoteText"/>
        <w:spacing w:line="240" w:lineRule="auto"/>
        <w:ind w:left="284" w:hanging="284"/>
        <w:jc w:val="left"/>
        <w:rPr>
          <w:lang w:val="lt-LT"/>
        </w:rPr>
      </w:pPr>
      <w:r w:rsidRPr="00152A42">
        <w:rPr>
          <w:rStyle w:val="FootnoteReference"/>
          <w:rFonts w:eastAsiaTheme="majorEastAsia"/>
          <w:lang w:val="lt-LT"/>
        </w:rPr>
        <w:footnoteRef/>
      </w:r>
      <w:r w:rsidRPr="00152A42">
        <w:rPr>
          <w:lang w:val="lt-LT"/>
        </w:rPr>
        <w:t xml:space="preserve"> United Nations Security Council. Resolution 1510. 13 October 2003. UN Doc S/RES/1510. // </w:t>
      </w:r>
      <w:hyperlink r:id="rId96" w:history="1">
        <w:r w:rsidRPr="00152A42">
          <w:rPr>
            <w:rStyle w:val="Hyperlink"/>
            <w:rFonts w:eastAsiaTheme="majorEastAsia"/>
            <w:lang w:val="lt-LT"/>
          </w:rPr>
          <w:t>http://daccess-dds-ny.un.org</w:t>
        </w:r>
      </w:hyperlink>
      <w:r w:rsidRPr="00152A42">
        <w:rPr>
          <w:lang w:val="lt-LT"/>
        </w:rPr>
        <w:t>; prisijungimo laikas: 2010-12-01;</w:t>
      </w:r>
    </w:p>
  </w:footnote>
  <w:footnote w:id="136">
    <w:p w:rsidR="00F63CC2" w:rsidRPr="00152A42" w:rsidRDefault="00F63CC2" w:rsidP="006D5F99">
      <w:pPr>
        <w:pStyle w:val="FootnoteText"/>
        <w:spacing w:line="240" w:lineRule="auto"/>
        <w:ind w:left="284" w:hanging="284"/>
        <w:jc w:val="left"/>
        <w:rPr>
          <w:lang w:val="lt-LT"/>
        </w:rPr>
      </w:pPr>
      <w:r w:rsidRPr="00152A42">
        <w:rPr>
          <w:rStyle w:val="FootnoteReference"/>
          <w:rFonts w:eastAsiaTheme="majorEastAsia"/>
          <w:lang w:val="lt-LT"/>
        </w:rPr>
        <w:footnoteRef/>
      </w:r>
      <w:r w:rsidRPr="00152A42">
        <w:rPr>
          <w:lang w:val="lt-LT"/>
        </w:rPr>
        <w:t xml:space="preserve"> Deazen Y. J. Troop Needs Open NATO Rift. Wall Street Journal, A8, Col. 1. 8 February 2008.  </w:t>
      </w:r>
    </w:p>
  </w:footnote>
  <w:footnote w:id="137">
    <w:p w:rsidR="00F63CC2" w:rsidRPr="00152A42" w:rsidRDefault="00F63CC2" w:rsidP="006D5F99">
      <w:pPr>
        <w:pStyle w:val="FootnoteText"/>
        <w:spacing w:line="240" w:lineRule="auto"/>
        <w:ind w:left="284" w:hanging="284"/>
        <w:jc w:val="left"/>
        <w:rPr>
          <w:lang w:val="lt-LT"/>
        </w:rPr>
      </w:pPr>
      <w:r w:rsidRPr="00152A42">
        <w:rPr>
          <w:rStyle w:val="FootnoteReference"/>
          <w:rFonts w:eastAsiaTheme="majorEastAsia"/>
          <w:lang w:val="lt-LT"/>
        </w:rPr>
        <w:footnoteRef/>
      </w:r>
      <w:r w:rsidRPr="00152A42">
        <w:rPr>
          <w:lang w:val="lt-LT"/>
        </w:rPr>
        <w:t xml:space="preserve"> Schmi</w:t>
      </w:r>
      <w:r w:rsidR="0032536E">
        <w:rPr>
          <w:lang w:val="lt-LT"/>
        </w:rPr>
        <w:t>tt M. N. The War in Afghanistan</w:t>
      </w:r>
      <w:r w:rsidRPr="00152A42">
        <w:rPr>
          <w:lang w:val="lt-LT"/>
        </w:rPr>
        <w:t>: A legal Analysis. Newport, Rhode Island: Naval War College, 2009. P. 21.</w:t>
      </w:r>
    </w:p>
  </w:footnote>
  <w:footnote w:id="138">
    <w:p w:rsidR="00F63CC2" w:rsidRPr="00152A42" w:rsidRDefault="00F63CC2" w:rsidP="006D5F99">
      <w:pPr>
        <w:pStyle w:val="FootnoteText"/>
        <w:spacing w:line="240" w:lineRule="auto"/>
        <w:ind w:left="284" w:hanging="284"/>
        <w:jc w:val="left"/>
        <w:rPr>
          <w:lang w:val="lt-LT"/>
        </w:rPr>
      </w:pPr>
      <w:r w:rsidRPr="00152A42">
        <w:rPr>
          <w:rStyle w:val="FootnoteReference"/>
          <w:rFonts w:eastAsiaTheme="majorEastAsia"/>
          <w:lang w:val="lt-LT"/>
        </w:rPr>
        <w:footnoteRef/>
      </w:r>
      <w:r w:rsidRPr="00152A42">
        <w:rPr>
          <w:lang w:val="lt-LT"/>
        </w:rPr>
        <w:t xml:space="preserve"> Bellamy A. J., Williams P. D. Understanding peacekeeping. United Kingdom: Polity Press, 2010. P. 294.</w:t>
      </w:r>
    </w:p>
  </w:footnote>
  <w:footnote w:id="139">
    <w:p w:rsidR="00F63CC2" w:rsidRPr="00152A42" w:rsidRDefault="00F63CC2" w:rsidP="006D5F99">
      <w:pPr>
        <w:pStyle w:val="FootnoteText"/>
        <w:spacing w:line="240" w:lineRule="auto"/>
        <w:ind w:left="284" w:hanging="284"/>
        <w:jc w:val="left"/>
        <w:rPr>
          <w:lang w:val="lt-LT"/>
        </w:rPr>
      </w:pPr>
      <w:r w:rsidRPr="00152A42">
        <w:rPr>
          <w:rStyle w:val="FootnoteReference"/>
          <w:rFonts w:eastAsiaTheme="majorEastAsia"/>
          <w:lang w:val="lt-LT"/>
        </w:rPr>
        <w:footnoteRef/>
      </w:r>
      <w:r w:rsidRPr="00152A42">
        <w:rPr>
          <w:lang w:val="lt-LT"/>
        </w:rPr>
        <w:t xml:space="preserve"> The Afghanistan Compact. The London Conference of Afghanistan, 31 January- 1 February. P. 3.</w:t>
      </w:r>
      <w:r w:rsidR="008A2258">
        <w:rPr>
          <w:lang w:val="lt-LT"/>
        </w:rPr>
        <w:t xml:space="preserve"> </w:t>
      </w:r>
      <w:r w:rsidRPr="00152A42">
        <w:rPr>
          <w:lang w:val="lt-LT"/>
        </w:rPr>
        <w:t xml:space="preserve">// </w:t>
      </w:r>
      <w:hyperlink r:id="rId97" w:history="1">
        <w:r w:rsidRPr="00152A42">
          <w:rPr>
            <w:rStyle w:val="Hyperlink"/>
            <w:rFonts w:eastAsiaTheme="majorEastAsia"/>
            <w:lang w:val="lt-LT"/>
          </w:rPr>
          <w:t>http://www.nato.int/isaf/docu/epub/pdf/afghanistan_compact.pdf</w:t>
        </w:r>
      </w:hyperlink>
      <w:r w:rsidRPr="00152A42">
        <w:rPr>
          <w:lang w:val="lt-LT"/>
        </w:rPr>
        <w:t>; prisijungimo laikas: 2010-12-02.</w:t>
      </w:r>
    </w:p>
  </w:footnote>
  <w:footnote w:id="140">
    <w:p w:rsidR="00F63CC2" w:rsidRPr="00152A42" w:rsidRDefault="00F63CC2" w:rsidP="006D5F99">
      <w:pPr>
        <w:pStyle w:val="FootnoteText"/>
        <w:spacing w:line="240" w:lineRule="auto"/>
        <w:ind w:left="284" w:hanging="284"/>
        <w:jc w:val="left"/>
        <w:rPr>
          <w:lang w:val="lt-LT"/>
        </w:rPr>
      </w:pPr>
      <w:r w:rsidRPr="00152A42">
        <w:rPr>
          <w:rStyle w:val="FootnoteReference"/>
          <w:rFonts w:eastAsiaTheme="majorEastAsia"/>
          <w:lang w:val="lt-LT"/>
        </w:rPr>
        <w:footnoteRef/>
      </w:r>
      <w:r w:rsidRPr="00152A42">
        <w:rPr>
          <w:lang w:val="lt-LT"/>
        </w:rPr>
        <w:t xml:space="preserve"> Nacionalinė Saugumo Strategija.  Patvirtinta Lietuvos Respublikos Seimo 2005 m. sausio 20 d. nutarimu Nr. X-91. // </w:t>
      </w:r>
      <w:hyperlink r:id="rId98" w:history="1">
        <w:r w:rsidRPr="00152A42">
          <w:rPr>
            <w:rStyle w:val="Hyperlink"/>
            <w:rFonts w:eastAsiaTheme="majorEastAsia"/>
            <w:lang w:val="lt-LT"/>
          </w:rPr>
          <w:t>http://www3.lrs.lt</w:t>
        </w:r>
      </w:hyperlink>
      <w:r w:rsidRPr="00152A42">
        <w:rPr>
          <w:rFonts w:eastAsiaTheme="majorEastAsia"/>
          <w:lang w:val="lt-LT"/>
        </w:rPr>
        <w:t>;</w:t>
      </w:r>
      <w:r w:rsidRPr="00152A42">
        <w:rPr>
          <w:lang w:val="lt-LT"/>
        </w:rPr>
        <w:t xml:space="preserve">  prisijungimo laikas: 2010-11-26.</w:t>
      </w:r>
    </w:p>
  </w:footnote>
  <w:footnote w:id="141">
    <w:p w:rsidR="00F63CC2" w:rsidRPr="00152A42" w:rsidRDefault="00F63CC2" w:rsidP="006D5F99">
      <w:pPr>
        <w:pStyle w:val="FootnoteText"/>
        <w:spacing w:line="240" w:lineRule="auto"/>
        <w:ind w:left="284" w:hanging="284"/>
        <w:jc w:val="left"/>
        <w:rPr>
          <w:lang w:val="lt-LT"/>
        </w:rPr>
      </w:pPr>
      <w:r w:rsidRPr="00152A42">
        <w:rPr>
          <w:rStyle w:val="FootnoteReference"/>
          <w:rFonts w:eastAsiaTheme="majorEastAsia"/>
          <w:lang w:val="lt-LT"/>
        </w:rPr>
        <w:footnoteRef/>
      </w:r>
      <w:r w:rsidRPr="00152A42">
        <w:rPr>
          <w:lang w:val="lt-LT"/>
        </w:rPr>
        <w:t xml:space="preserve"> Lie</w:t>
      </w:r>
      <w:r w:rsidR="008F529D">
        <w:rPr>
          <w:lang w:val="lt-LT"/>
        </w:rPr>
        <w:t>tuvos Respublikos Konstitucija</w:t>
      </w:r>
      <w:r w:rsidR="00AD4D18">
        <w:rPr>
          <w:lang w:val="lt-LT"/>
        </w:rPr>
        <w:t xml:space="preserve"> </w:t>
      </w:r>
      <w:r w:rsidRPr="00152A42">
        <w:rPr>
          <w:lang w:val="lt-LT"/>
        </w:rPr>
        <w:t xml:space="preserve">135 str. 1 d. // </w:t>
      </w:r>
      <w:hyperlink r:id="rId99" w:history="1">
        <w:r w:rsidRPr="00152A42">
          <w:rPr>
            <w:rStyle w:val="Hyperlink"/>
            <w:rFonts w:eastAsiaTheme="majorEastAsia"/>
            <w:lang w:val="lt-LT"/>
          </w:rPr>
          <w:t>http://www3.lrs.lt</w:t>
        </w:r>
      </w:hyperlink>
      <w:r w:rsidRPr="00152A42">
        <w:rPr>
          <w:rFonts w:eastAsiaTheme="majorEastAsia"/>
          <w:lang w:val="lt-LT"/>
        </w:rPr>
        <w:t xml:space="preserve">; </w:t>
      </w:r>
      <w:r w:rsidRPr="00152A42">
        <w:rPr>
          <w:lang w:val="lt-LT"/>
        </w:rPr>
        <w:t>prisijungimo laikas: 2010-11-26.</w:t>
      </w:r>
    </w:p>
  </w:footnote>
  <w:footnote w:id="142">
    <w:p w:rsidR="00F63CC2" w:rsidRPr="00152A42" w:rsidRDefault="00F63CC2" w:rsidP="006D5F99">
      <w:pPr>
        <w:pStyle w:val="FootnoteText"/>
        <w:spacing w:line="240" w:lineRule="auto"/>
        <w:ind w:left="284" w:hanging="284"/>
        <w:jc w:val="left"/>
        <w:rPr>
          <w:lang w:val="lt-LT"/>
        </w:rPr>
      </w:pPr>
      <w:r w:rsidRPr="00152A42">
        <w:rPr>
          <w:rStyle w:val="FootnoteReference"/>
          <w:rFonts w:eastAsiaTheme="majorEastAsia"/>
          <w:lang w:val="lt-LT"/>
        </w:rPr>
        <w:footnoteRef/>
      </w:r>
      <w:r w:rsidRPr="00152A42">
        <w:rPr>
          <w:lang w:val="lt-LT"/>
        </w:rPr>
        <w:t xml:space="preserve"> Lietuvos Respublikos Nacionalinio Saugumo pagrindų įstatymas</w:t>
      </w:r>
      <w:bookmarkStart w:id="26" w:name="data_menuo"/>
      <w:bookmarkStart w:id="27" w:name="data_diena"/>
      <w:bookmarkStart w:id="28" w:name="dok_nr"/>
      <w:bookmarkEnd w:id="26"/>
      <w:bookmarkEnd w:id="27"/>
      <w:bookmarkEnd w:id="28"/>
      <w:r w:rsidRPr="00152A42">
        <w:rPr>
          <w:lang w:val="lt-LT"/>
        </w:rPr>
        <w:t xml:space="preserve"> // </w:t>
      </w:r>
      <w:hyperlink r:id="rId100" w:history="1">
        <w:r w:rsidRPr="00152A42">
          <w:rPr>
            <w:rStyle w:val="Hyperlink"/>
            <w:rFonts w:eastAsiaTheme="majorEastAsia"/>
            <w:lang w:val="lt-LT"/>
          </w:rPr>
          <w:t>http://www3.lrs.lt</w:t>
        </w:r>
      </w:hyperlink>
      <w:r w:rsidRPr="00152A42">
        <w:rPr>
          <w:rFonts w:eastAsiaTheme="majorEastAsia"/>
          <w:lang w:val="lt-LT"/>
        </w:rPr>
        <w:t>;</w:t>
      </w:r>
      <w:r w:rsidRPr="00152A42">
        <w:rPr>
          <w:lang w:val="lt-LT"/>
        </w:rPr>
        <w:t xml:space="preserve"> prisijungimo laikas: 2010-11-26.</w:t>
      </w:r>
    </w:p>
  </w:footnote>
  <w:footnote w:id="143">
    <w:p w:rsidR="00F63CC2" w:rsidRPr="00152A42" w:rsidRDefault="00F63CC2" w:rsidP="006D5F99">
      <w:pPr>
        <w:pStyle w:val="FootnoteText"/>
        <w:spacing w:line="240" w:lineRule="auto"/>
        <w:ind w:left="284" w:hanging="284"/>
        <w:jc w:val="left"/>
        <w:rPr>
          <w:lang w:val="lt-LT"/>
        </w:rPr>
      </w:pPr>
      <w:r w:rsidRPr="00152A42">
        <w:rPr>
          <w:rStyle w:val="FootnoteReference"/>
          <w:rFonts w:eastAsiaTheme="majorEastAsia"/>
          <w:lang w:val="lt-LT"/>
        </w:rPr>
        <w:footnoteRef/>
      </w:r>
      <w:r w:rsidRPr="00152A42">
        <w:rPr>
          <w:lang w:val="lt-LT"/>
        </w:rPr>
        <w:t xml:space="preserve"> Lietuvos Respublikos Vyriausybės 2007 m. birželio 14 d. nutarimas Nr. X-1184 “Dėl Lietuvos Respublikos karinių vienetų dalyvavimo tarptautinėse operacijose Balkanų, Centrinės ir Pietų Azijos, Pietų Kaukazo bei Persijos įlankos regionuose”</w:t>
      </w:r>
      <w:r w:rsidR="008E5CA1">
        <w:rPr>
          <w:lang w:val="lt-LT"/>
        </w:rPr>
        <w:t xml:space="preserve"> </w:t>
      </w:r>
      <w:r w:rsidRPr="00152A42">
        <w:rPr>
          <w:lang w:val="lt-LT"/>
        </w:rPr>
        <w:t>// Valstybės žinios. 2007, Nr. 69-2726.</w:t>
      </w:r>
    </w:p>
  </w:footnote>
  <w:footnote w:id="144">
    <w:p w:rsidR="00F63CC2" w:rsidRPr="00152A42" w:rsidRDefault="00F63CC2" w:rsidP="001D6E17">
      <w:pPr>
        <w:pStyle w:val="FootnoteText"/>
        <w:spacing w:line="240" w:lineRule="auto"/>
        <w:ind w:left="284" w:hanging="284"/>
        <w:rPr>
          <w:lang w:val="lt-LT"/>
        </w:rPr>
      </w:pPr>
      <w:r w:rsidRPr="00152A42">
        <w:rPr>
          <w:rStyle w:val="FootnoteReference"/>
          <w:lang w:val="lt-LT"/>
        </w:rPr>
        <w:footnoteRef/>
      </w:r>
      <w:r w:rsidRPr="00152A42">
        <w:rPr>
          <w:lang w:val="lt-LT"/>
        </w:rPr>
        <w:t xml:space="preserve"> </w:t>
      </w:r>
      <w:r w:rsidRPr="00152A42">
        <w:rPr>
          <w:color w:val="000000"/>
          <w:lang w:val="lt-LT" w:eastAsia="lt-LT"/>
        </w:rPr>
        <w:t>Viena iš kompetentingų institucijų</w:t>
      </w:r>
      <w:r w:rsidR="008E5CA1">
        <w:rPr>
          <w:color w:val="000000"/>
          <w:lang w:val="lt-LT" w:eastAsia="lt-LT"/>
        </w:rPr>
        <w:t>,</w:t>
      </w:r>
      <w:r w:rsidRPr="00152A42">
        <w:rPr>
          <w:color w:val="000000"/>
          <w:lang w:val="lt-LT" w:eastAsia="lt-LT"/>
        </w:rPr>
        <w:t xml:space="preserve"> atsakingų už tarptautinių operacijų sudarymo, finansavimo, parengimo tvarką yra Lietuvos Respublikos Vyriausybė.</w:t>
      </w:r>
      <w:r w:rsidRPr="00152A42">
        <w:rPr>
          <w:rFonts w:eastAsiaTheme="majorEastAsia"/>
          <w:color w:val="000000"/>
          <w:lang w:val="lt-LT" w:eastAsia="lt-LT"/>
        </w:rPr>
        <w:t xml:space="preserve"> (Lietuvos Respublikos Tarptautinių operacijų, pratybų ir kitų karinio bendradarbiavimo renginių įstatymas // </w:t>
      </w:r>
      <w:hyperlink r:id="rId101" w:history="1">
        <w:r w:rsidRPr="00152A42">
          <w:rPr>
            <w:rStyle w:val="Hyperlink"/>
            <w:rFonts w:eastAsiaTheme="majorEastAsia"/>
            <w:lang w:val="lt-LT" w:eastAsia="lt-LT"/>
          </w:rPr>
          <w:t>http://www3.lrs.lt</w:t>
        </w:r>
      </w:hyperlink>
      <w:r w:rsidRPr="00152A42">
        <w:rPr>
          <w:rFonts w:eastAsiaTheme="majorEastAsia"/>
          <w:color w:val="000000"/>
          <w:lang w:val="lt-LT" w:eastAsia="lt-LT"/>
        </w:rPr>
        <w:t xml:space="preserve">; prisijungimo laikas: 2010-11-28.) </w:t>
      </w:r>
      <w:r w:rsidRPr="00152A42">
        <w:rPr>
          <w:color w:val="000000"/>
          <w:lang w:val="lt-LT" w:eastAsia="lt-LT"/>
        </w:rPr>
        <w:t xml:space="preserve">Pažymėtina, kad </w:t>
      </w:r>
      <w:r w:rsidRPr="00152A42">
        <w:rPr>
          <w:lang w:val="lt-LT"/>
        </w:rPr>
        <w:t xml:space="preserve">Krašto apsaugos ministerija ir Užsienio reikalų ministerija politine parama tiesiogiai atsakingos už Lietuvos karinę veiklą. (Lietuvos Respublikos dalyvavimo tarptautinės bendruomenės veikloje Afganistano Islamo Respublikoje 2009–2013 metų strategija. Patvirtinta Lietuvos RespublikosVyriausybės 2009 m. rugpjūčio 19 d.nutarimu Nr. 989 // </w:t>
      </w:r>
      <w:hyperlink r:id="rId102" w:history="1">
        <w:r w:rsidRPr="00152A42">
          <w:rPr>
            <w:rStyle w:val="Hyperlink"/>
            <w:rFonts w:eastAsiaTheme="majorEastAsia"/>
            <w:lang w:val="lt-LT"/>
          </w:rPr>
          <w:t>http://kariuomene.kam.lt</w:t>
        </w:r>
      </w:hyperlink>
      <w:r w:rsidRPr="00152A42">
        <w:rPr>
          <w:lang w:val="lt-LT"/>
        </w:rPr>
        <w:t>; prisijungimo laikas: 2010-11-26.) Šios dvi ministerijos dalyvauja užtikrinant ir civilių veiklą: “Užsienio reikalų ministerija iš anksto informuoja Krašto apsaugos ministeriją apie numatomą siųsti civilinio elemento personalą ir jo planuojamą vykdyti veiklą. Krašto apsaugos ministerija pateikia Užsienio reikalų ministerijai saugumo situacijos ir galimybių sudaryti sąlygas vykdyti planuojamą civilinio personalo veiklą operacijų rajone vertinimą.”</w:t>
      </w:r>
      <w:r w:rsidRPr="00152A42">
        <w:rPr>
          <w:rFonts w:eastAsiaTheme="majorEastAsia"/>
          <w:lang w:val="lt-LT"/>
        </w:rPr>
        <w:t xml:space="preserve"> (</w:t>
      </w:r>
      <w:r w:rsidRPr="00152A42">
        <w:rPr>
          <w:lang w:val="lt-LT"/>
        </w:rPr>
        <w:t xml:space="preserve">Lietuvos Respublikos krašto apsaugos ministro ir Lietuvos Respublikos užsienio reikalų ministro 2009 m. rugsėjo 3 d. įsakymas Nr. V-846/V-155 “Lietuvos Respublikos vadovaujamos Afganistano Islamo Respublikos Goro provincijos atkūrimo grupės veikloje dalyvaujančių karinio vieneto ir civilinio elemento sąveikos tvarkos aprašas” // </w:t>
      </w:r>
      <w:hyperlink r:id="rId103" w:history="1">
        <w:r w:rsidRPr="00152A42">
          <w:rPr>
            <w:rStyle w:val="Hyperlink"/>
            <w:rFonts w:eastAsiaTheme="majorEastAsia"/>
            <w:lang w:val="lt-LT"/>
          </w:rPr>
          <w:t>http://www.kam.lt</w:t>
        </w:r>
      </w:hyperlink>
      <w:r w:rsidRPr="00152A42">
        <w:rPr>
          <w:lang w:val="lt-LT"/>
        </w:rPr>
        <w:t>; prisijungimo laikas: 2010-11-26.)</w:t>
      </w:r>
    </w:p>
  </w:footnote>
  <w:footnote w:id="145">
    <w:p w:rsidR="00F63CC2" w:rsidRPr="00152A42" w:rsidRDefault="00F63CC2" w:rsidP="006D5F99">
      <w:pPr>
        <w:pStyle w:val="FootnoteText"/>
        <w:spacing w:line="240" w:lineRule="auto"/>
        <w:ind w:left="284" w:hanging="284"/>
        <w:jc w:val="left"/>
        <w:rPr>
          <w:lang w:val="lt-LT"/>
        </w:rPr>
      </w:pPr>
      <w:r w:rsidRPr="00152A42">
        <w:rPr>
          <w:rStyle w:val="FootnoteReference"/>
          <w:rFonts w:eastAsiaTheme="majorEastAsia"/>
          <w:lang w:val="lt-LT"/>
        </w:rPr>
        <w:footnoteRef/>
      </w:r>
      <w:r w:rsidRPr="00152A42">
        <w:rPr>
          <w:lang w:val="lt-LT"/>
        </w:rPr>
        <w:t xml:space="preserve"> Lietuvos Respublikos Tarptautinių operacijų, pratybų ir kitų karinio bendradarbiavimo renginių įstatymas // </w:t>
      </w:r>
      <w:hyperlink r:id="rId104" w:history="1">
        <w:r w:rsidRPr="00152A42">
          <w:rPr>
            <w:rStyle w:val="Hyperlink"/>
            <w:rFonts w:eastAsiaTheme="majorEastAsia"/>
            <w:lang w:val="lt-LT"/>
          </w:rPr>
          <w:t>http://www3.lrs.lt</w:t>
        </w:r>
      </w:hyperlink>
      <w:r w:rsidRPr="00152A42">
        <w:rPr>
          <w:rFonts w:eastAsiaTheme="majorEastAsia"/>
          <w:lang w:val="lt-LT"/>
        </w:rPr>
        <w:t>;</w:t>
      </w:r>
      <w:r w:rsidRPr="00152A42">
        <w:rPr>
          <w:lang w:val="lt-LT"/>
        </w:rPr>
        <w:t xml:space="preserve"> prisijungimo laikas: 2010-11-28.</w:t>
      </w:r>
    </w:p>
  </w:footnote>
  <w:footnote w:id="146">
    <w:p w:rsidR="00F63CC2" w:rsidRPr="00152A42" w:rsidRDefault="00F63CC2" w:rsidP="006D5F99">
      <w:pPr>
        <w:pStyle w:val="FootnoteText"/>
        <w:spacing w:line="240" w:lineRule="auto"/>
        <w:ind w:left="284" w:hanging="284"/>
        <w:jc w:val="left"/>
        <w:rPr>
          <w:lang w:val="lt-LT"/>
        </w:rPr>
      </w:pPr>
      <w:r w:rsidRPr="00152A42">
        <w:rPr>
          <w:rStyle w:val="FootnoteReference"/>
          <w:rFonts w:eastAsiaTheme="majorEastAsia"/>
          <w:lang w:val="lt-LT"/>
        </w:rPr>
        <w:footnoteRef/>
      </w:r>
      <w:r w:rsidRPr="00152A42">
        <w:rPr>
          <w:lang w:val="lt-LT"/>
        </w:rPr>
        <w:t xml:space="preserve"> Ministry of National Defence of The Republic of Lithuania. The Lithuanian Armed Forces. In Service for Peace. Lithuania: ARX Baltica.  P. 18. // </w:t>
      </w:r>
      <w:hyperlink r:id="rId105" w:history="1">
        <w:r w:rsidRPr="00152A42">
          <w:rPr>
            <w:rStyle w:val="Hyperlink"/>
            <w:rFonts w:eastAsiaTheme="majorEastAsia"/>
            <w:lang w:val="lt-LT"/>
          </w:rPr>
          <w:t>http://www.kam.lt</w:t>
        </w:r>
      </w:hyperlink>
      <w:r w:rsidRPr="00152A42">
        <w:rPr>
          <w:lang w:val="lt-LT"/>
        </w:rPr>
        <w:t>; prisijungimo laikas: 2010-11-26</w:t>
      </w:r>
    </w:p>
  </w:footnote>
  <w:footnote w:id="147">
    <w:p w:rsidR="00F63CC2" w:rsidRPr="00152A42" w:rsidRDefault="00F63CC2" w:rsidP="006D5F99">
      <w:pPr>
        <w:pStyle w:val="FootnoteText"/>
        <w:spacing w:line="240" w:lineRule="auto"/>
        <w:ind w:left="284" w:hanging="284"/>
        <w:jc w:val="left"/>
        <w:rPr>
          <w:lang w:val="lt-LT"/>
        </w:rPr>
      </w:pPr>
      <w:r w:rsidRPr="00152A42">
        <w:rPr>
          <w:rStyle w:val="FootnoteReference"/>
          <w:rFonts w:eastAsiaTheme="majorEastAsia"/>
          <w:lang w:val="lt-LT"/>
        </w:rPr>
        <w:footnoteRef/>
      </w:r>
      <w:r w:rsidRPr="00152A42">
        <w:rPr>
          <w:lang w:val="lt-LT"/>
        </w:rPr>
        <w:t xml:space="preserve"> Lietuvos Respublikos Vyriausybės 2005 m. gegužės 23 d. nutarimas  Nr. 569 „Dėl tikslingumo dalyvauti Afganistano Goro provi</w:t>
      </w:r>
      <w:r w:rsidR="00A0673B">
        <w:rPr>
          <w:lang w:val="lt-LT"/>
        </w:rPr>
        <w:t>ncijos atkūrimo grupės veikloje</w:t>
      </w:r>
      <w:r w:rsidRPr="00152A42">
        <w:rPr>
          <w:lang w:val="lt-LT"/>
        </w:rPr>
        <w:t>”</w:t>
      </w:r>
      <w:r w:rsidR="00A0673B">
        <w:rPr>
          <w:lang w:val="lt-LT"/>
        </w:rPr>
        <w:t xml:space="preserve"> </w:t>
      </w:r>
      <w:r w:rsidRPr="00152A42">
        <w:rPr>
          <w:lang w:val="lt-LT"/>
        </w:rPr>
        <w:t>// Valstybės žinios. 2005, Nr. 66-2364.</w:t>
      </w:r>
    </w:p>
  </w:footnote>
  <w:footnote w:id="148">
    <w:p w:rsidR="00F63CC2" w:rsidRPr="00152A42" w:rsidRDefault="00F63CC2" w:rsidP="006D5F99">
      <w:pPr>
        <w:pStyle w:val="FootnoteText"/>
        <w:spacing w:line="240" w:lineRule="auto"/>
        <w:ind w:left="284" w:hanging="284"/>
        <w:jc w:val="left"/>
        <w:rPr>
          <w:lang w:val="lt-LT"/>
        </w:rPr>
      </w:pPr>
      <w:r w:rsidRPr="00152A42">
        <w:rPr>
          <w:rStyle w:val="FootnoteReference"/>
          <w:rFonts w:eastAsiaTheme="majorEastAsia"/>
          <w:lang w:val="lt-LT"/>
        </w:rPr>
        <w:footnoteRef/>
      </w:r>
      <w:r w:rsidRPr="00152A42">
        <w:rPr>
          <w:lang w:val="lt-LT"/>
        </w:rPr>
        <w:t xml:space="preserve"> Lietuvos Respublikos Vyriausybės 2005 m. birželio 30 d. nutarimas  Nr. 732 “Dėl Lietuvos Respublikos specialiosios misijos Afganistano Islamo Respublikoje ”</w:t>
      </w:r>
      <w:r w:rsidR="00A0673B">
        <w:rPr>
          <w:lang w:val="lt-LT"/>
        </w:rPr>
        <w:t xml:space="preserve"> </w:t>
      </w:r>
      <w:r w:rsidRPr="00152A42">
        <w:rPr>
          <w:lang w:val="lt-LT"/>
        </w:rPr>
        <w:t>// Valstybės žinios. 2005, Nr. 82-3017.</w:t>
      </w:r>
    </w:p>
  </w:footnote>
  <w:footnote w:id="149">
    <w:p w:rsidR="00F63CC2" w:rsidRPr="00152A42" w:rsidRDefault="00F63CC2" w:rsidP="006D5F99">
      <w:pPr>
        <w:pStyle w:val="FootnoteText"/>
        <w:spacing w:line="240" w:lineRule="auto"/>
        <w:ind w:left="284" w:hanging="284"/>
        <w:jc w:val="left"/>
        <w:rPr>
          <w:lang w:val="lt-LT"/>
        </w:rPr>
      </w:pPr>
      <w:r w:rsidRPr="00152A42">
        <w:rPr>
          <w:rStyle w:val="FootnoteReference"/>
          <w:rFonts w:eastAsiaTheme="majorEastAsia"/>
          <w:lang w:val="lt-LT"/>
        </w:rPr>
        <w:footnoteRef/>
      </w:r>
      <w:r w:rsidRPr="00152A42">
        <w:rPr>
          <w:lang w:val="lt-LT"/>
        </w:rPr>
        <w:t xml:space="preserve"> Ministry of National Defence of  The Republic of Lithuania. The Lithuanian Armed Forces. In Service for Peace. Lithuania: ARX Baltica.  P. 17. // </w:t>
      </w:r>
      <w:hyperlink r:id="rId106" w:history="1">
        <w:r w:rsidRPr="00152A42">
          <w:rPr>
            <w:rStyle w:val="Hyperlink"/>
            <w:rFonts w:eastAsiaTheme="majorEastAsia"/>
            <w:lang w:val="lt-LT"/>
          </w:rPr>
          <w:t>http://www.kam.lt</w:t>
        </w:r>
      </w:hyperlink>
      <w:r w:rsidRPr="00152A42">
        <w:rPr>
          <w:lang w:val="lt-LT"/>
        </w:rPr>
        <w:t>; prisijungimo laikas: 2010-11-26.</w:t>
      </w:r>
    </w:p>
  </w:footnote>
  <w:footnote w:id="150">
    <w:p w:rsidR="00F63CC2" w:rsidRPr="00152A42" w:rsidRDefault="00F63CC2" w:rsidP="006D5F99">
      <w:pPr>
        <w:pStyle w:val="FootnoteText"/>
        <w:spacing w:line="240" w:lineRule="auto"/>
        <w:ind w:left="284" w:hanging="284"/>
        <w:jc w:val="left"/>
        <w:rPr>
          <w:lang w:val="lt-LT"/>
        </w:rPr>
      </w:pPr>
      <w:r w:rsidRPr="00152A42">
        <w:rPr>
          <w:rStyle w:val="FootnoteReference"/>
          <w:rFonts w:eastAsiaTheme="majorEastAsia"/>
          <w:lang w:val="lt-LT"/>
        </w:rPr>
        <w:footnoteRef/>
      </w:r>
      <w:r w:rsidRPr="00152A42">
        <w:rPr>
          <w:lang w:val="lt-LT"/>
        </w:rPr>
        <w:t xml:space="preserve"> Lietuvos karių dalyvavimo tarptautinėse operacijose 2009-2010 m. perspektyvos // </w:t>
      </w:r>
      <w:hyperlink r:id="rId107" w:history="1">
        <w:r w:rsidRPr="00152A42">
          <w:rPr>
            <w:rStyle w:val="Hyperlink"/>
            <w:rFonts w:eastAsiaTheme="majorEastAsia"/>
            <w:lang w:val="lt-LT"/>
          </w:rPr>
          <w:t>http://kariuomene.kam.lt</w:t>
        </w:r>
      </w:hyperlink>
      <w:r w:rsidRPr="00152A42">
        <w:rPr>
          <w:rFonts w:eastAsiaTheme="majorEastAsia"/>
          <w:lang w:val="lt-LT"/>
        </w:rPr>
        <w:t>;</w:t>
      </w:r>
      <w:r w:rsidRPr="00152A42">
        <w:rPr>
          <w:lang w:val="lt-LT"/>
        </w:rPr>
        <w:t xml:space="preserve"> prisijungimo laikas: 2010-11-26.</w:t>
      </w:r>
    </w:p>
  </w:footnote>
  <w:footnote w:id="151">
    <w:p w:rsidR="00F63CC2" w:rsidRPr="00152A42" w:rsidRDefault="00F63CC2" w:rsidP="006D5F99">
      <w:pPr>
        <w:pStyle w:val="FootnoteText"/>
        <w:spacing w:line="240" w:lineRule="auto"/>
        <w:ind w:left="284" w:hanging="284"/>
        <w:jc w:val="left"/>
        <w:rPr>
          <w:lang w:val="lt-LT"/>
        </w:rPr>
      </w:pPr>
      <w:r w:rsidRPr="00152A42">
        <w:rPr>
          <w:rStyle w:val="FootnoteReference"/>
          <w:rFonts w:eastAsiaTheme="majorEastAsia"/>
          <w:lang w:val="lt-LT"/>
        </w:rPr>
        <w:footnoteRef/>
      </w:r>
      <w:r w:rsidRPr="00152A42">
        <w:rPr>
          <w:lang w:val="lt-LT"/>
        </w:rPr>
        <w:t xml:space="preserve"> Troop numbers and contributions // </w:t>
      </w:r>
      <w:hyperlink r:id="rId108" w:history="1">
        <w:r w:rsidRPr="00152A42">
          <w:rPr>
            <w:rStyle w:val="Hyperlink"/>
            <w:rFonts w:eastAsiaTheme="majorEastAsia"/>
            <w:lang w:val="lt-LT"/>
          </w:rPr>
          <w:t>http://www.isaf.nato.int</w:t>
        </w:r>
      </w:hyperlink>
      <w:r w:rsidRPr="00152A42">
        <w:rPr>
          <w:lang w:val="lt-LT"/>
        </w:rPr>
        <w:t>; prisijungimo laikas: 2010-11-26.</w:t>
      </w:r>
    </w:p>
  </w:footnote>
  <w:footnote w:id="152">
    <w:p w:rsidR="00F63CC2" w:rsidRPr="00152A42" w:rsidRDefault="00F63CC2" w:rsidP="006D5F99">
      <w:pPr>
        <w:spacing w:line="240" w:lineRule="auto"/>
        <w:ind w:left="284" w:hanging="284"/>
        <w:jc w:val="left"/>
        <w:rPr>
          <w:lang w:val="lt-LT"/>
        </w:rPr>
      </w:pPr>
      <w:r w:rsidRPr="00152A42">
        <w:rPr>
          <w:rStyle w:val="FootnoteReference"/>
          <w:rFonts w:eastAsiaTheme="majorEastAsia"/>
          <w:sz w:val="20"/>
          <w:szCs w:val="20"/>
          <w:lang w:val="lt-LT"/>
        </w:rPr>
        <w:footnoteRef/>
      </w:r>
      <w:r w:rsidRPr="00152A42">
        <w:rPr>
          <w:sz w:val="20"/>
          <w:szCs w:val="20"/>
          <w:lang w:val="lt-LT"/>
        </w:rPr>
        <w:t xml:space="preserve"> Lietuvos Respublikos dalyvavimo tarptautinės bendruomenės veikloje Afganistano Islamo Respublikoje 2009-2013 metų strategija. Patvirtinta Lietuvos Respublikos Vyriausybės 2009 m. rugpjūčio 19 d. nutarimu Nr. 989 // </w:t>
      </w:r>
      <w:hyperlink r:id="rId109" w:history="1">
        <w:r w:rsidRPr="00152A42">
          <w:rPr>
            <w:rStyle w:val="Hyperlink"/>
            <w:rFonts w:eastAsiaTheme="majorEastAsia"/>
            <w:sz w:val="20"/>
            <w:szCs w:val="20"/>
            <w:lang w:val="lt-LT"/>
          </w:rPr>
          <w:t>http://www.kam.lt</w:t>
        </w:r>
      </w:hyperlink>
      <w:r w:rsidRPr="00152A42">
        <w:rPr>
          <w:sz w:val="20"/>
          <w:szCs w:val="20"/>
          <w:lang w:val="lt-LT"/>
        </w:rPr>
        <w:t>; prisijungimo laikas: 2010-11-26.</w:t>
      </w:r>
    </w:p>
  </w:footnote>
  <w:footnote w:id="153">
    <w:p w:rsidR="00F63CC2" w:rsidRPr="00152A42" w:rsidRDefault="00F63CC2" w:rsidP="006D5F99">
      <w:pPr>
        <w:pStyle w:val="FootnoteText"/>
        <w:spacing w:line="240" w:lineRule="auto"/>
        <w:ind w:left="284" w:hanging="284"/>
        <w:jc w:val="left"/>
        <w:rPr>
          <w:lang w:val="lt-LT"/>
        </w:rPr>
      </w:pPr>
      <w:r w:rsidRPr="00152A42">
        <w:rPr>
          <w:rStyle w:val="FootnoteReference"/>
          <w:rFonts w:eastAsiaTheme="majorEastAsia"/>
          <w:lang w:val="lt-LT"/>
        </w:rPr>
        <w:footnoteRef/>
      </w:r>
      <w:r w:rsidRPr="00152A42">
        <w:rPr>
          <w:lang w:val="lt-LT"/>
        </w:rPr>
        <w:t xml:space="preserve"> Ten pat</w:t>
      </w:r>
    </w:p>
  </w:footnote>
  <w:footnote w:id="154">
    <w:p w:rsidR="00F63CC2" w:rsidRPr="00152A42" w:rsidRDefault="00F63CC2" w:rsidP="001D6E17">
      <w:pPr>
        <w:pStyle w:val="FootnoteText"/>
        <w:spacing w:line="240" w:lineRule="auto"/>
        <w:ind w:left="255" w:hanging="255"/>
        <w:jc w:val="left"/>
        <w:rPr>
          <w:lang w:val="lt-LT"/>
        </w:rPr>
      </w:pPr>
      <w:r w:rsidRPr="00152A42">
        <w:rPr>
          <w:rStyle w:val="FootnoteReference"/>
          <w:rFonts w:eastAsiaTheme="majorEastAsia"/>
          <w:lang w:val="lt-LT"/>
        </w:rPr>
        <w:footnoteRef/>
      </w:r>
      <w:r w:rsidR="00AF0A94">
        <w:rPr>
          <w:lang w:val="lt-LT"/>
        </w:rPr>
        <w:t xml:space="preserve"> </w:t>
      </w:r>
      <w:r w:rsidRPr="00152A42">
        <w:rPr>
          <w:lang w:val="lt-LT"/>
        </w:rPr>
        <w:t xml:space="preserve">Islamic Republic of Afghanistan. Afghanistan National Development Strategy 2008-2013. P. 5. // </w:t>
      </w:r>
      <w:hyperlink r:id="rId110" w:history="1">
        <w:r w:rsidRPr="00152A42">
          <w:rPr>
            <w:rStyle w:val="Hyperlink"/>
            <w:rFonts w:eastAsiaTheme="majorEastAsia"/>
            <w:lang w:val="lt-LT"/>
          </w:rPr>
          <w:t>http://www.embassyofafghanistan.org</w:t>
        </w:r>
      </w:hyperlink>
      <w:r w:rsidRPr="00152A42">
        <w:rPr>
          <w:lang w:val="lt-LT"/>
        </w:rPr>
        <w:t xml:space="preserve">; prisijungimo laikas: 2010-12-06. </w:t>
      </w:r>
    </w:p>
  </w:footnote>
  <w:footnote w:id="155">
    <w:p w:rsidR="00F63CC2" w:rsidRPr="00152A42" w:rsidRDefault="00F63CC2" w:rsidP="001D6E17">
      <w:pPr>
        <w:pStyle w:val="FootnoteText"/>
        <w:spacing w:line="240" w:lineRule="auto"/>
        <w:ind w:left="255" w:hanging="255"/>
        <w:jc w:val="left"/>
        <w:rPr>
          <w:lang w:val="lt-LT"/>
        </w:rPr>
      </w:pPr>
      <w:r w:rsidRPr="00152A42">
        <w:rPr>
          <w:rStyle w:val="FootnoteReference"/>
          <w:rFonts w:eastAsiaTheme="majorEastAsia"/>
          <w:lang w:val="lt-LT"/>
        </w:rPr>
        <w:footnoteRef/>
      </w:r>
      <w:r>
        <w:rPr>
          <w:lang w:val="lt-LT"/>
        </w:rPr>
        <w:t xml:space="preserve"> </w:t>
      </w:r>
      <w:r w:rsidRPr="00152A42">
        <w:rPr>
          <w:lang w:val="lt-LT"/>
        </w:rPr>
        <w:t xml:space="preserve">Krašto Apsaugos Ministerija. 2009 metų veiklos ataskaita. P. 22. // </w:t>
      </w:r>
      <w:hyperlink r:id="rId111" w:history="1">
        <w:r w:rsidRPr="00152A42">
          <w:rPr>
            <w:rStyle w:val="Hyperlink"/>
            <w:rFonts w:eastAsiaTheme="majorEastAsia"/>
            <w:lang w:val="lt-LT"/>
          </w:rPr>
          <w:t>http://www.kam.lt</w:t>
        </w:r>
      </w:hyperlink>
      <w:r w:rsidRPr="00152A42">
        <w:rPr>
          <w:rFonts w:eastAsiaTheme="majorEastAsia"/>
          <w:lang w:val="lt-LT"/>
        </w:rPr>
        <w:t xml:space="preserve">; </w:t>
      </w:r>
      <w:r w:rsidRPr="00152A42">
        <w:rPr>
          <w:lang w:val="lt-LT"/>
        </w:rPr>
        <w:t>prisijungimo laikas: 2010-12-12.</w:t>
      </w:r>
    </w:p>
  </w:footnote>
  <w:footnote w:id="156">
    <w:p w:rsidR="00F63CC2" w:rsidRPr="00152A42" w:rsidRDefault="00F63CC2" w:rsidP="001D6E17">
      <w:pPr>
        <w:pStyle w:val="FootnoteText"/>
        <w:spacing w:line="240" w:lineRule="auto"/>
        <w:ind w:left="255" w:hanging="255"/>
        <w:jc w:val="left"/>
        <w:rPr>
          <w:lang w:val="lt-LT"/>
        </w:rPr>
      </w:pPr>
      <w:r w:rsidRPr="00152A42">
        <w:rPr>
          <w:rStyle w:val="FootnoteReference"/>
          <w:rFonts w:eastAsiaTheme="majorEastAsia"/>
          <w:lang w:val="lt-LT"/>
        </w:rPr>
        <w:footnoteRef/>
      </w:r>
      <w:r w:rsidRPr="00152A42">
        <w:rPr>
          <w:lang w:val="lt-LT"/>
        </w:rPr>
        <w:t xml:space="preserve"> Ten pat, P. 17. </w:t>
      </w:r>
    </w:p>
  </w:footnote>
  <w:footnote w:id="157">
    <w:p w:rsidR="00F63CC2" w:rsidRPr="00152A42" w:rsidRDefault="00F63CC2" w:rsidP="001D6E17">
      <w:pPr>
        <w:pStyle w:val="FootnoteText"/>
        <w:spacing w:line="240" w:lineRule="auto"/>
        <w:ind w:left="255" w:hanging="255"/>
        <w:jc w:val="left"/>
        <w:rPr>
          <w:lang w:val="lt-LT"/>
        </w:rPr>
      </w:pPr>
      <w:r w:rsidRPr="00152A42">
        <w:rPr>
          <w:rStyle w:val="FootnoteReference"/>
          <w:rFonts w:eastAsiaTheme="majorEastAsia"/>
          <w:lang w:val="lt-LT"/>
        </w:rPr>
        <w:footnoteRef/>
      </w:r>
      <w:r w:rsidR="00AF0A94">
        <w:rPr>
          <w:lang w:val="lt-LT"/>
        </w:rPr>
        <w:t xml:space="preserve"> Lietuvos narystė  NATO</w:t>
      </w:r>
      <w:r w:rsidRPr="00152A42">
        <w:rPr>
          <w:lang w:val="lt-LT"/>
        </w:rPr>
        <w:t xml:space="preserve"> // </w:t>
      </w:r>
      <w:hyperlink r:id="rId112" w:history="1">
        <w:r w:rsidRPr="00152A42">
          <w:rPr>
            <w:rStyle w:val="Hyperlink"/>
            <w:rFonts w:eastAsiaTheme="majorEastAsia"/>
            <w:lang w:val="lt-LT"/>
          </w:rPr>
          <w:t>http://www.urm.lt/index.php?475826570</w:t>
        </w:r>
      </w:hyperlink>
      <w:r w:rsidRPr="00152A42">
        <w:rPr>
          <w:lang w:val="lt-LT"/>
        </w:rPr>
        <w:t>; prisijungimo laikas: 2010-12-12.</w:t>
      </w:r>
    </w:p>
  </w:footnote>
  <w:footnote w:id="158">
    <w:p w:rsidR="00F63CC2" w:rsidRPr="00152A42" w:rsidRDefault="00F63CC2" w:rsidP="006D5F99">
      <w:pPr>
        <w:pStyle w:val="FootnoteText"/>
        <w:spacing w:line="240" w:lineRule="auto"/>
        <w:ind w:left="284" w:hanging="284"/>
        <w:jc w:val="left"/>
        <w:rPr>
          <w:lang w:val="lt-LT"/>
        </w:rPr>
      </w:pPr>
      <w:r w:rsidRPr="00152A42">
        <w:rPr>
          <w:rStyle w:val="FootnoteReference"/>
          <w:rFonts w:eastAsiaTheme="majorEastAsia"/>
          <w:lang w:val="lt-LT"/>
        </w:rPr>
        <w:footnoteRef/>
      </w:r>
      <w:r w:rsidRPr="00152A42">
        <w:rPr>
          <w:lang w:val="lt-LT"/>
        </w:rPr>
        <w:t xml:space="preserve"> 2010 m. asignavimai krašto apsaugai // </w:t>
      </w:r>
      <w:hyperlink r:id="rId113" w:history="1">
        <w:r w:rsidRPr="00152A42">
          <w:rPr>
            <w:rStyle w:val="Hyperlink"/>
            <w:rFonts w:eastAsiaTheme="majorEastAsia"/>
            <w:lang w:val="lt-LT"/>
          </w:rPr>
          <w:t>http://www.kam.lt/lt/veikla_576/biudzetas_538.html</w:t>
        </w:r>
      </w:hyperlink>
      <w:r w:rsidRPr="00152A42">
        <w:rPr>
          <w:lang w:val="lt-LT"/>
        </w:rPr>
        <w:t>; prisijungimo laikas: 2010-12-12.</w:t>
      </w:r>
    </w:p>
  </w:footnote>
  <w:footnote w:id="159">
    <w:p w:rsidR="00F63CC2" w:rsidRPr="00152A42" w:rsidRDefault="00F63CC2" w:rsidP="006D5F99">
      <w:pPr>
        <w:pStyle w:val="FootnoteText"/>
        <w:spacing w:line="240" w:lineRule="auto"/>
        <w:ind w:left="284" w:hanging="284"/>
        <w:jc w:val="left"/>
        <w:rPr>
          <w:lang w:val="lt-LT"/>
        </w:rPr>
      </w:pPr>
      <w:r w:rsidRPr="00152A42">
        <w:rPr>
          <w:rStyle w:val="FootnoteReference"/>
          <w:rFonts w:eastAsiaTheme="majorEastAsia"/>
          <w:lang w:val="lt-LT"/>
        </w:rPr>
        <w:footnoteRef/>
      </w:r>
      <w:r w:rsidRPr="00152A42">
        <w:rPr>
          <w:lang w:val="lt-LT"/>
        </w:rPr>
        <w:t xml:space="preserve"> Ten pat</w:t>
      </w:r>
    </w:p>
  </w:footnote>
  <w:footnote w:id="160">
    <w:p w:rsidR="00F63CC2" w:rsidRPr="00647319" w:rsidRDefault="00F63CC2" w:rsidP="006D5F99">
      <w:pPr>
        <w:pStyle w:val="FootnoteText"/>
        <w:spacing w:line="240" w:lineRule="auto"/>
        <w:ind w:left="284" w:hanging="284"/>
        <w:jc w:val="left"/>
        <w:rPr>
          <w:lang w:val="lt-LT"/>
        </w:rPr>
      </w:pPr>
      <w:r>
        <w:rPr>
          <w:rStyle w:val="FootnoteReference"/>
        </w:rPr>
        <w:footnoteRef/>
      </w:r>
      <w:r w:rsidRPr="006D5F99">
        <w:rPr>
          <w:lang w:val="lt-LT"/>
        </w:rPr>
        <w:t xml:space="preserve"> Vienos Konvencija dėl tarptautinių sutarčių teisės, 1969. </w:t>
      </w:r>
      <w:r w:rsidR="00FF7DE9">
        <w:t xml:space="preserve">27 str. </w:t>
      </w:r>
      <w:r>
        <w:t xml:space="preserve">// </w:t>
      </w:r>
      <w:hyperlink r:id="rId114" w:history="1">
        <w:r w:rsidRPr="00BA2C05">
          <w:rPr>
            <w:rStyle w:val="Hyperlink"/>
            <w:rFonts w:eastAsiaTheme="majorEastAsia"/>
          </w:rPr>
          <w:t>http://www3.lrs.lt</w:t>
        </w:r>
      </w:hyperlink>
      <w:r>
        <w:rPr>
          <w:rFonts w:eastAsiaTheme="majorEastAsia"/>
        </w:rPr>
        <w:t xml:space="preserve">; prisijungimo laikas: 2010-12-12. </w:t>
      </w:r>
    </w:p>
  </w:footnote>
  <w:footnote w:id="161">
    <w:p w:rsidR="00F63CC2" w:rsidRPr="00E26304" w:rsidRDefault="00F63CC2" w:rsidP="006D5F99">
      <w:pPr>
        <w:pStyle w:val="FootnoteText"/>
        <w:spacing w:line="240" w:lineRule="auto"/>
        <w:ind w:left="284" w:hanging="284"/>
        <w:jc w:val="left"/>
        <w:rPr>
          <w:lang w:val="lt-LT"/>
        </w:rPr>
      </w:pPr>
      <w:r>
        <w:rPr>
          <w:rStyle w:val="FootnoteReference"/>
        </w:rPr>
        <w:footnoteRef/>
      </w:r>
      <w:r>
        <w:t xml:space="preserve"> </w:t>
      </w:r>
      <w:r w:rsidRPr="00152A42">
        <w:rPr>
          <w:lang w:val="lt-LT"/>
        </w:rPr>
        <w:t xml:space="preserve">Lietuvos Respublikos dalyvavimo tarptautinės bendruomenės veikloje Afganistano Islamo Respublikoje 2009-2013 metų strategija. Patvirtinta Lietuvos Respublikos Vyriausybės 2009 m. rugpjūčio 19 d. nutarimu Nr. 989 // </w:t>
      </w:r>
      <w:hyperlink r:id="rId115" w:history="1">
        <w:r w:rsidRPr="00152A42">
          <w:rPr>
            <w:rStyle w:val="Hyperlink"/>
            <w:rFonts w:eastAsiaTheme="majorEastAsia"/>
            <w:lang w:val="lt-LT"/>
          </w:rPr>
          <w:t>http://www.kam.lt</w:t>
        </w:r>
      </w:hyperlink>
      <w:r w:rsidRPr="00152A42">
        <w:rPr>
          <w:lang w:val="lt-LT"/>
        </w:rPr>
        <w:t>; prisijungimo laikas: 2010-11-26.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C4113"/>
    <w:multiLevelType w:val="hybridMultilevel"/>
    <w:tmpl w:val="6836776C"/>
    <w:lvl w:ilvl="0" w:tplc="04270001">
      <w:start w:val="1"/>
      <w:numFmt w:val="bullet"/>
      <w:lvlText w:val=""/>
      <w:lvlJc w:val="left"/>
      <w:pPr>
        <w:ind w:left="2291" w:hanging="360"/>
      </w:pPr>
      <w:rPr>
        <w:rFonts w:ascii="Symbol" w:hAnsi="Symbol" w:hint="default"/>
      </w:rPr>
    </w:lvl>
    <w:lvl w:ilvl="1" w:tplc="04270003" w:tentative="1">
      <w:start w:val="1"/>
      <w:numFmt w:val="bullet"/>
      <w:lvlText w:val="o"/>
      <w:lvlJc w:val="left"/>
      <w:pPr>
        <w:ind w:left="3011" w:hanging="360"/>
      </w:pPr>
      <w:rPr>
        <w:rFonts w:ascii="Courier New" w:hAnsi="Courier New" w:cs="Courier New" w:hint="default"/>
      </w:rPr>
    </w:lvl>
    <w:lvl w:ilvl="2" w:tplc="04270005" w:tentative="1">
      <w:start w:val="1"/>
      <w:numFmt w:val="bullet"/>
      <w:lvlText w:val=""/>
      <w:lvlJc w:val="left"/>
      <w:pPr>
        <w:ind w:left="3731" w:hanging="360"/>
      </w:pPr>
      <w:rPr>
        <w:rFonts w:ascii="Wingdings" w:hAnsi="Wingdings" w:hint="default"/>
      </w:rPr>
    </w:lvl>
    <w:lvl w:ilvl="3" w:tplc="04270001" w:tentative="1">
      <w:start w:val="1"/>
      <w:numFmt w:val="bullet"/>
      <w:lvlText w:val=""/>
      <w:lvlJc w:val="left"/>
      <w:pPr>
        <w:ind w:left="4451" w:hanging="360"/>
      </w:pPr>
      <w:rPr>
        <w:rFonts w:ascii="Symbol" w:hAnsi="Symbol" w:hint="default"/>
      </w:rPr>
    </w:lvl>
    <w:lvl w:ilvl="4" w:tplc="04270003" w:tentative="1">
      <w:start w:val="1"/>
      <w:numFmt w:val="bullet"/>
      <w:lvlText w:val="o"/>
      <w:lvlJc w:val="left"/>
      <w:pPr>
        <w:ind w:left="5171" w:hanging="360"/>
      </w:pPr>
      <w:rPr>
        <w:rFonts w:ascii="Courier New" w:hAnsi="Courier New" w:cs="Courier New" w:hint="default"/>
      </w:rPr>
    </w:lvl>
    <w:lvl w:ilvl="5" w:tplc="04270005" w:tentative="1">
      <w:start w:val="1"/>
      <w:numFmt w:val="bullet"/>
      <w:lvlText w:val=""/>
      <w:lvlJc w:val="left"/>
      <w:pPr>
        <w:ind w:left="5891" w:hanging="360"/>
      </w:pPr>
      <w:rPr>
        <w:rFonts w:ascii="Wingdings" w:hAnsi="Wingdings" w:hint="default"/>
      </w:rPr>
    </w:lvl>
    <w:lvl w:ilvl="6" w:tplc="04270001" w:tentative="1">
      <w:start w:val="1"/>
      <w:numFmt w:val="bullet"/>
      <w:lvlText w:val=""/>
      <w:lvlJc w:val="left"/>
      <w:pPr>
        <w:ind w:left="6611" w:hanging="360"/>
      </w:pPr>
      <w:rPr>
        <w:rFonts w:ascii="Symbol" w:hAnsi="Symbol" w:hint="default"/>
      </w:rPr>
    </w:lvl>
    <w:lvl w:ilvl="7" w:tplc="04270003" w:tentative="1">
      <w:start w:val="1"/>
      <w:numFmt w:val="bullet"/>
      <w:lvlText w:val="o"/>
      <w:lvlJc w:val="left"/>
      <w:pPr>
        <w:ind w:left="7331" w:hanging="360"/>
      </w:pPr>
      <w:rPr>
        <w:rFonts w:ascii="Courier New" w:hAnsi="Courier New" w:cs="Courier New" w:hint="default"/>
      </w:rPr>
    </w:lvl>
    <w:lvl w:ilvl="8" w:tplc="04270005" w:tentative="1">
      <w:start w:val="1"/>
      <w:numFmt w:val="bullet"/>
      <w:lvlText w:val=""/>
      <w:lvlJc w:val="left"/>
      <w:pPr>
        <w:ind w:left="8051" w:hanging="360"/>
      </w:pPr>
      <w:rPr>
        <w:rFonts w:ascii="Wingdings" w:hAnsi="Wingdings" w:hint="default"/>
      </w:rPr>
    </w:lvl>
  </w:abstractNum>
  <w:abstractNum w:abstractNumId="1">
    <w:nsid w:val="06F64B3A"/>
    <w:multiLevelType w:val="hybridMultilevel"/>
    <w:tmpl w:val="5156AB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72E16C1"/>
    <w:multiLevelType w:val="hybridMultilevel"/>
    <w:tmpl w:val="76589A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0791943"/>
    <w:multiLevelType w:val="hybridMultilevel"/>
    <w:tmpl w:val="B72A4C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30F59E4"/>
    <w:multiLevelType w:val="hybridMultilevel"/>
    <w:tmpl w:val="B5C82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CB0653"/>
    <w:multiLevelType w:val="hybridMultilevel"/>
    <w:tmpl w:val="9C7CDA3E"/>
    <w:lvl w:ilvl="0" w:tplc="04090001">
      <w:start w:val="1"/>
      <w:numFmt w:val="bullet"/>
      <w:lvlText w:val=""/>
      <w:lvlJc w:val="left"/>
      <w:pPr>
        <w:ind w:left="2651" w:hanging="360"/>
      </w:pPr>
      <w:rPr>
        <w:rFonts w:ascii="Symbol" w:hAnsi="Symbol" w:hint="default"/>
      </w:rPr>
    </w:lvl>
    <w:lvl w:ilvl="1" w:tplc="04090003" w:tentative="1">
      <w:start w:val="1"/>
      <w:numFmt w:val="bullet"/>
      <w:lvlText w:val="o"/>
      <w:lvlJc w:val="left"/>
      <w:pPr>
        <w:ind w:left="3371" w:hanging="360"/>
      </w:pPr>
      <w:rPr>
        <w:rFonts w:ascii="Courier New" w:hAnsi="Courier New" w:cs="Courier New" w:hint="default"/>
      </w:rPr>
    </w:lvl>
    <w:lvl w:ilvl="2" w:tplc="04090005" w:tentative="1">
      <w:start w:val="1"/>
      <w:numFmt w:val="bullet"/>
      <w:lvlText w:val=""/>
      <w:lvlJc w:val="left"/>
      <w:pPr>
        <w:ind w:left="4091" w:hanging="360"/>
      </w:pPr>
      <w:rPr>
        <w:rFonts w:ascii="Wingdings" w:hAnsi="Wingdings" w:hint="default"/>
      </w:rPr>
    </w:lvl>
    <w:lvl w:ilvl="3" w:tplc="04090001" w:tentative="1">
      <w:start w:val="1"/>
      <w:numFmt w:val="bullet"/>
      <w:lvlText w:val=""/>
      <w:lvlJc w:val="left"/>
      <w:pPr>
        <w:ind w:left="4811" w:hanging="360"/>
      </w:pPr>
      <w:rPr>
        <w:rFonts w:ascii="Symbol" w:hAnsi="Symbol" w:hint="default"/>
      </w:rPr>
    </w:lvl>
    <w:lvl w:ilvl="4" w:tplc="04090003" w:tentative="1">
      <w:start w:val="1"/>
      <w:numFmt w:val="bullet"/>
      <w:lvlText w:val="o"/>
      <w:lvlJc w:val="left"/>
      <w:pPr>
        <w:ind w:left="5531" w:hanging="360"/>
      </w:pPr>
      <w:rPr>
        <w:rFonts w:ascii="Courier New" w:hAnsi="Courier New" w:cs="Courier New" w:hint="default"/>
      </w:rPr>
    </w:lvl>
    <w:lvl w:ilvl="5" w:tplc="04090005" w:tentative="1">
      <w:start w:val="1"/>
      <w:numFmt w:val="bullet"/>
      <w:lvlText w:val=""/>
      <w:lvlJc w:val="left"/>
      <w:pPr>
        <w:ind w:left="6251" w:hanging="360"/>
      </w:pPr>
      <w:rPr>
        <w:rFonts w:ascii="Wingdings" w:hAnsi="Wingdings" w:hint="default"/>
      </w:rPr>
    </w:lvl>
    <w:lvl w:ilvl="6" w:tplc="04090001" w:tentative="1">
      <w:start w:val="1"/>
      <w:numFmt w:val="bullet"/>
      <w:lvlText w:val=""/>
      <w:lvlJc w:val="left"/>
      <w:pPr>
        <w:ind w:left="6971" w:hanging="360"/>
      </w:pPr>
      <w:rPr>
        <w:rFonts w:ascii="Symbol" w:hAnsi="Symbol" w:hint="default"/>
      </w:rPr>
    </w:lvl>
    <w:lvl w:ilvl="7" w:tplc="04090003" w:tentative="1">
      <w:start w:val="1"/>
      <w:numFmt w:val="bullet"/>
      <w:lvlText w:val="o"/>
      <w:lvlJc w:val="left"/>
      <w:pPr>
        <w:ind w:left="7691" w:hanging="360"/>
      </w:pPr>
      <w:rPr>
        <w:rFonts w:ascii="Courier New" w:hAnsi="Courier New" w:cs="Courier New" w:hint="default"/>
      </w:rPr>
    </w:lvl>
    <w:lvl w:ilvl="8" w:tplc="04090005" w:tentative="1">
      <w:start w:val="1"/>
      <w:numFmt w:val="bullet"/>
      <w:lvlText w:val=""/>
      <w:lvlJc w:val="left"/>
      <w:pPr>
        <w:ind w:left="8411" w:hanging="360"/>
      </w:pPr>
      <w:rPr>
        <w:rFonts w:ascii="Wingdings" w:hAnsi="Wingdings" w:hint="default"/>
      </w:rPr>
    </w:lvl>
  </w:abstractNum>
  <w:abstractNum w:abstractNumId="6">
    <w:nsid w:val="48A53857"/>
    <w:multiLevelType w:val="hybridMultilevel"/>
    <w:tmpl w:val="2F4E4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684F04"/>
    <w:multiLevelType w:val="hybridMultilevel"/>
    <w:tmpl w:val="37B0A3B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nsid w:val="5C0A448F"/>
    <w:multiLevelType w:val="multilevel"/>
    <w:tmpl w:val="8A6CDA92"/>
    <w:lvl w:ilvl="0">
      <w:start w:val="2"/>
      <w:numFmt w:val="decimal"/>
      <w:lvlText w:val="%1."/>
      <w:lvlJc w:val="left"/>
      <w:pPr>
        <w:ind w:left="360" w:hanging="360"/>
      </w:pPr>
      <w:rPr>
        <w:rFonts w:hint="default"/>
      </w:rPr>
    </w:lvl>
    <w:lvl w:ilvl="1">
      <w:start w:val="5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652C0D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40B21E2"/>
    <w:multiLevelType w:val="hybridMultilevel"/>
    <w:tmpl w:val="060EADBA"/>
    <w:lvl w:ilvl="0" w:tplc="413AA388">
      <w:start w:val="1"/>
      <w:numFmt w:val="bullet"/>
      <w:lvlText w:val=""/>
      <w:lvlJc w:val="left"/>
      <w:pPr>
        <w:tabs>
          <w:tab w:val="num" w:pos="216"/>
        </w:tabs>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C51AFA"/>
    <w:multiLevelType w:val="hybridMultilevel"/>
    <w:tmpl w:val="1EA4027A"/>
    <w:lvl w:ilvl="0" w:tplc="04270001">
      <w:start w:val="1"/>
      <w:numFmt w:val="bullet"/>
      <w:lvlText w:val=""/>
      <w:lvlJc w:val="left"/>
      <w:pPr>
        <w:ind w:left="1500" w:hanging="360"/>
      </w:pPr>
      <w:rPr>
        <w:rFonts w:ascii="Symbol" w:hAnsi="Symbo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12">
    <w:nsid w:val="7BCE5F3A"/>
    <w:multiLevelType w:val="hybridMultilevel"/>
    <w:tmpl w:val="E8FE1D1E"/>
    <w:lvl w:ilvl="0" w:tplc="0427000F">
      <w:start w:val="1"/>
      <w:numFmt w:val="decimal"/>
      <w:lvlText w:val="%1."/>
      <w:lvlJc w:val="left"/>
      <w:pPr>
        <w:ind w:left="1494" w:hanging="360"/>
      </w:p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3">
    <w:nsid w:val="7D74134B"/>
    <w:multiLevelType w:val="hybridMultilevel"/>
    <w:tmpl w:val="9BCEA6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11"/>
  </w:num>
  <w:num w:numId="5">
    <w:abstractNumId w:val="2"/>
  </w:num>
  <w:num w:numId="6">
    <w:abstractNumId w:val="0"/>
  </w:num>
  <w:num w:numId="7">
    <w:abstractNumId w:val="3"/>
  </w:num>
  <w:num w:numId="8">
    <w:abstractNumId w:val="12"/>
  </w:num>
  <w:num w:numId="9">
    <w:abstractNumId w:val="1"/>
  </w:num>
  <w:num w:numId="10">
    <w:abstractNumId w:val="6"/>
  </w:num>
  <w:num w:numId="11">
    <w:abstractNumId w:val="8"/>
  </w:num>
  <w:num w:numId="12">
    <w:abstractNumId w:val="4"/>
  </w:num>
  <w:num w:numId="13">
    <w:abstractNumId w:val="5"/>
  </w:num>
  <w:num w:numId="14">
    <w:abstractNumId w:val="1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1298"/>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F234E7"/>
    <w:rsid w:val="0000529F"/>
    <w:rsid w:val="00005DCB"/>
    <w:rsid w:val="00012C06"/>
    <w:rsid w:val="00014963"/>
    <w:rsid w:val="00016BA9"/>
    <w:rsid w:val="00020A1E"/>
    <w:rsid w:val="00022948"/>
    <w:rsid w:val="000239AD"/>
    <w:rsid w:val="00023B3E"/>
    <w:rsid w:val="00023B55"/>
    <w:rsid w:val="00024FF9"/>
    <w:rsid w:val="00030C8D"/>
    <w:rsid w:val="0003177E"/>
    <w:rsid w:val="00033A2D"/>
    <w:rsid w:val="00033F18"/>
    <w:rsid w:val="00036F1B"/>
    <w:rsid w:val="0004150D"/>
    <w:rsid w:val="00041552"/>
    <w:rsid w:val="00041FA6"/>
    <w:rsid w:val="00042490"/>
    <w:rsid w:val="00043CC2"/>
    <w:rsid w:val="00045753"/>
    <w:rsid w:val="0004628F"/>
    <w:rsid w:val="0004669C"/>
    <w:rsid w:val="0005055B"/>
    <w:rsid w:val="00051FE7"/>
    <w:rsid w:val="000529F0"/>
    <w:rsid w:val="000609B8"/>
    <w:rsid w:val="00061E13"/>
    <w:rsid w:val="0006604A"/>
    <w:rsid w:val="00066A93"/>
    <w:rsid w:val="00066F73"/>
    <w:rsid w:val="00087D51"/>
    <w:rsid w:val="0009103C"/>
    <w:rsid w:val="00092D25"/>
    <w:rsid w:val="000A0298"/>
    <w:rsid w:val="000A0B5A"/>
    <w:rsid w:val="000A1B63"/>
    <w:rsid w:val="000A1C01"/>
    <w:rsid w:val="000A62D2"/>
    <w:rsid w:val="000A6892"/>
    <w:rsid w:val="000B0AA3"/>
    <w:rsid w:val="000B21AC"/>
    <w:rsid w:val="000B4B2F"/>
    <w:rsid w:val="000B5589"/>
    <w:rsid w:val="000C0328"/>
    <w:rsid w:val="000C1A00"/>
    <w:rsid w:val="000C3032"/>
    <w:rsid w:val="000C33E7"/>
    <w:rsid w:val="000C6956"/>
    <w:rsid w:val="000C6D2F"/>
    <w:rsid w:val="000D0117"/>
    <w:rsid w:val="000D388B"/>
    <w:rsid w:val="000E11D7"/>
    <w:rsid w:val="000E2C59"/>
    <w:rsid w:val="000E5209"/>
    <w:rsid w:val="000F296A"/>
    <w:rsid w:val="000F2BA7"/>
    <w:rsid w:val="000F52AF"/>
    <w:rsid w:val="000F6853"/>
    <w:rsid w:val="0010003B"/>
    <w:rsid w:val="00100E48"/>
    <w:rsid w:val="00101D31"/>
    <w:rsid w:val="00104199"/>
    <w:rsid w:val="0010524A"/>
    <w:rsid w:val="001054C6"/>
    <w:rsid w:val="001065D5"/>
    <w:rsid w:val="00113D43"/>
    <w:rsid w:val="001157E6"/>
    <w:rsid w:val="0011658B"/>
    <w:rsid w:val="00116A50"/>
    <w:rsid w:val="00120946"/>
    <w:rsid w:val="00121B59"/>
    <w:rsid w:val="0012515E"/>
    <w:rsid w:val="001271C0"/>
    <w:rsid w:val="0013179B"/>
    <w:rsid w:val="00131FE2"/>
    <w:rsid w:val="00132B01"/>
    <w:rsid w:val="00134620"/>
    <w:rsid w:val="001371B0"/>
    <w:rsid w:val="00137893"/>
    <w:rsid w:val="00140C99"/>
    <w:rsid w:val="00141115"/>
    <w:rsid w:val="001426AF"/>
    <w:rsid w:val="001433FF"/>
    <w:rsid w:val="00143F96"/>
    <w:rsid w:val="00144CB8"/>
    <w:rsid w:val="00146276"/>
    <w:rsid w:val="00146BA7"/>
    <w:rsid w:val="0014782D"/>
    <w:rsid w:val="00147A26"/>
    <w:rsid w:val="00151848"/>
    <w:rsid w:val="00152A42"/>
    <w:rsid w:val="00154223"/>
    <w:rsid w:val="00160A1B"/>
    <w:rsid w:val="001715E8"/>
    <w:rsid w:val="001775A8"/>
    <w:rsid w:val="001824D5"/>
    <w:rsid w:val="00186612"/>
    <w:rsid w:val="00193594"/>
    <w:rsid w:val="00193AC5"/>
    <w:rsid w:val="001949CD"/>
    <w:rsid w:val="001954BB"/>
    <w:rsid w:val="00195C57"/>
    <w:rsid w:val="001A1346"/>
    <w:rsid w:val="001A56CB"/>
    <w:rsid w:val="001A74ED"/>
    <w:rsid w:val="001B2150"/>
    <w:rsid w:val="001B3E78"/>
    <w:rsid w:val="001B63F2"/>
    <w:rsid w:val="001B6FC1"/>
    <w:rsid w:val="001C078D"/>
    <w:rsid w:val="001C4414"/>
    <w:rsid w:val="001C589F"/>
    <w:rsid w:val="001C63F6"/>
    <w:rsid w:val="001D0936"/>
    <w:rsid w:val="001D0EFC"/>
    <w:rsid w:val="001D174D"/>
    <w:rsid w:val="001D2B4E"/>
    <w:rsid w:val="001D3351"/>
    <w:rsid w:val="001D580A"/>
    <w:rsid w:val="001D6E17"/>
    <w:rsid w:val="001E07E0"/>
    <w:rsid w:val="001E5300"/>
    <w:rsid w:val="001E5665"/>
    <w:rsid w:val="001E7F5B"/>
    <w:rsid w:val="001F05C6"/>
    <w:rsid w:val="001F4104"/>
    <w:rsid w:val="001F48F9"/>
    <w:rsid w:val="001F72B8"/>
    <w:rsid w:val="00200487"/>
    <w:rsid w:val="00202CB7"/>
    <w:rsid w:val="00205453"/>
    <w:rsid w:val="00210CA0"/>
    <w:rsid w:val="00210F51"/>
    <w:rsid w:val="00211EE9"/>
    <w:rsid w:val="00220EA7"/>
    <w:rsid w:val="002218C0"/>
    <w:rsid w:val="002232E6"/>
    <w:rsid w:val="00223F8F"/>
    <w:rsid w:val="00225BAB"/>
    <w:rsid w:val="0023191F"/>
    <w:rsid w:val="00233318"/>
    <w:rsid w:val="00234FD2"/>
    <w:rsid w:val="00236507"/>
    <w:rsid w:val="00240BAE"/>
    <w:rsid w:val="002413C0"/>
    <w:rsid w:val="0024182F"/>
    <w:rsid w:val="0024560C"/>
    <w:rsid w:val="00246E58"/>
    <w:rsid w:val="002625A6"/>
    <w:rsid w:val="002628E3"/>
    <w:rsid w:val="002641F0"/>
    <w:rsid w:val="0027076C"/>
    <w:rsid w:val="002729CE"/>
    <w:rsid w:val="002744FA"/>
    <w:rsid w:val="00275463"/>
    <w:rsid w:val="00280566"/>
    <w:rsid w:val="00280A5C"/>
    <w:rsid w:val="002821B4"/>
    <w:rsid w:val="00282765"/>
    <w:rsid w:val="00283E53"/>
    <w:rsid w:val="002840B0"/>
    <w:rsid w:val="00284899"/>
    <w:rsid w:val="002876A7"/>
    <w:rsid w:val="00290A75"/>
    <w:rsid w:val="0029704E"/>
    <w:rsid w:val="00297254"/>
    <w:rsid w:val="00297725"/>
    <w:rsid w:val="002A1C9E"/>
    <w:rsid w:val="002B02E3"/>
    <w:rsid w:val="002B1491"/>
    <w:rsid w:val="002B3264"/>
    <w:rsid w:val="002B4DD8"/>
    <w:rsid w:val="002B4E4D"/>
    <w:rsid w:val="002C11E0"/>
    <w:rsid w:val="002C39E1"/>
    <w:rsid w:val="002C6430"/>
    <w:rsid w:val="002C6CD8"/>
    <w:rsid w:val="002D21B8"/>
    <w:rsid w:val="002D280D"/>
    <w:rsid w:val="002D3599"/>
    <w:rsid w:val="002D58EE"/>
    <w:rsid w:val="002D6219"/>
    <w:rsid w:val="002D65EB"/>
    <w:rsid w:val="002D7072"/>
    <w:rsid w:val="002E0671"/>
    <w:rsid w:val="002E0F69"/>
    <w:rsid w:val="002E2316"/>
    <w:rsid w:val="002E3666"/>
    <w:rsid w:val="002E4B25"/>
    <w:rsid w:val="002E69F6"/>
    <w:rsid w:val="002F408C"/>
    <w:rsid w:val="002F5D39"/>
    <w:rsid w:val="002F5DEF"/>
    <w:rsid w:val="002F7173"/>
    <w:rsid w:val="003013BF"/>
    <w:rsid w:val="00301438"/>
    <w:rsid w:val="00302CC7"/>
    <w:rsid w:val="0030352A"/>
    <w:rsid w:val="00306C91"/>
    <w:rsid w:val="0030757F"/>
    <w:rsid w:val="00307D1D"/>
    <w:rsid w:val="00310A82"/>
    <w:rsid w:val="00312864"/>
    <w:rsid w:val="00317A7E"/>
    <w:rsid w:val="00317C9A"/>
    <w:rsid w:val="00321032"/>
    <w:rsid w:val="0032276C"/>
    <w:rsid w:val="003235B3"/>
    <w:rsid w:val="00323B79"/>
    <w:rsid w:val="0032536E"/>
    <w:rsid w:val="00327F57"/>
    <w:rsid w:val="003327AA"/>
    <w:rsid w:val="00341B4A"/>
    <w:rsid w:val="003421F7"/>
    <w:rsid w:val="00344C4C"/>
    <w:rsid w:val="00347329"/>
    <w:rsid w:val="003548F2"/>
    <w:rsid w:val="00354A4B"/>
    <w:rsid w:val="003559F3"/>
    <w:rsid w:val="00355E96"/>
    <w:rsid w:val="00357428"/>
    <w:rsid w:val="0035743D"/>
    <w:rsid w:val="00362938"/>
    <w:rsid w:val="003647A5"/>
    <w:rsid w:val="00371BCE"/>
    <w:rsid w:val="00374834"/>
    <w:rsid w:val="00376BD5"/>
    <w:rsid w:val="00376E56"/>
    <w:rsid w:val="00380251"/>
    <w:rsid w:val="0038228E"/>
    <w:rsid w:val="0038398D"/>
    <w:rsid w:val="00383A15"/>
    <w:rsid w:val="00383AB2"/>
    <w:rsid w:val="00393F6A"/>
    <w:rsid w:val="00395C65"/>
    <w:rsid w:val="00397DF2"/>
    <w:rsid w:val="003A0713"/>
    <w:rsid w:val="003A0E7D"/>
    <w:rsid w:val="003A2C89"/>
    <w:rsid w:val="003A460E"/>
    <w:rsid w:val="003A512B"/>
    <w:rsid w:val="003A6BC0"/>
    <w:rsid w:val="003B0F2A"/>
    <w:rsid w:val="003B585F"/>
    <w:rsid w:val="003C018A"/>
    <w:rsid w:val="003C0BB9"/>
    <w:rsid w:val="003C15BF"/>
    <w:rsid w:val="003C1DB1"/>
    <w:rsid w:val="003C3589"/>
    <w:rsid w:val="003C427D"/>
    <w:rsid w:val="003C6E95"/>
    <w:rsid w:val="003D7905"/>
    <w:rsid w:val="003E3F52"/>
    <w:rsid w:val="003E3FFB"/>
    <w:rsid w:val="003E7761"/>
    <w:rsid w:val="003F345E"/>
    <w:rsid w:val="003F5C52"/>
    <w:rsid w:val="003F662E"/>
    <w:rsid w:val="003F6E84"/>
    <w:rsid w:val="003F70D4"/>
    <w:rsid w:val="00400BB2"/>
    <w:rsid w:val="00402593"/>
    <w:rsid w:val="004029BF"/>
    <w:rsid w:val="0040433D"/>
    <w:rsid w:val="00404455"/>
    <w:rsid w:val="0040597B"/>
    <w:rsid w:val="00410DA3"/>
    <w:rsid w:val="00414E29"/>
    <w:rsid w:val="0041528E"/>
    <w:rsid w:val="004166FF"/>
    <w:rsid w:val="00417801"/>
    <w:rsid w:val="00421A54"/>
    <w:rsid w:val="00423FD7"/>
    <w:rsid w:val="004312C6"/>
    <w:rsid w:val="0043317A"/>
    <w:rsid w:val="004356C7"/>
    <w:rsid w:val="00436956"/>
    <w:rsid w:val="004425FE"/>
    <w:rsid w:val="004429FE"/>
    <w:rsid w:val="00442CCA"/>
    <w:rsid w:val="0044333E"/>
    <w:rsid w:val="00443774"/>
    <w:rsid w:val="00445A72"/>
    <w:rsid w:val="00446D00"/>
    <w:rsid w:val="00447D85"/>
    <w:rsid w:val="00450078"/>
    <w:rsid w:val="00450846"/>
    <w:rsid w:val="00450A36"/>
    <w:rsid w:val="00453A30"/>
    <w:rsid w:val="00453DE7"/>
    <w:rsid w:val="00454BC4"/>
    <w:rsid w:val="004561DD"/>
    <w:rsid w:val="00456F2E"/>
    <w:rsid w:val="0046115F"/>
    <w:rsid w:val="00462116"/>
    <w:rsid w:val="004636AA"/>
    <w:rsid w:val="004638F6"/>
    <w:rsid w:val="0046435C"/>
    <w:rsid w:val="004665AC"/>
    <w:rsid w:val="00467322"/>
    <w:rsid w:val="00475B91"/>
    <w:rsid w:val="004819AC"/>
    <w:rsid w:val="00483276"/>
    <w:rsid w:val="0049219E"/>
    <w:rsid w:val="00494011"/>
    <w:rsid w:val="00495175"/>
    <w:rsid w:val="004953AC"/>
    <w:rsid w:val="004A6496"/>
    <w:rsid w:val="004A6EC7"/>
    <w:rsid w:val="004A7842"/>
    <w:rsid w:val="004B1AA2"/>
    <w:rsid w:val="004B3829"/>
    <w:rsid w:val="004B4642"/>
    <w:rsid w:val="004B4C63"/>
    <w:rsid w:val="004B750F"/>
    <w:rsid w:val="004C5AC3"/>
    <w:rsid w:val="004C6397"/>
    <w:rsid w:val="004D0C37"/>
    <w:rsid w:val="004D37D8"/>
    <w:rsid w:val="004D68B1"/>
    <w:rsid w:val="004E2C5D"/>
    <w:rsid w:val="004E2FE7"/>
    <w:rsid w:val="004E77BA"/>
    <w:rsid w:val="004F248F"/>
    <w:rsid w:val="004F30D6"/>
    <w:rsid w:val="004F3CEE"/>
    <w:rsid w:val="0050057F"/>
    <w:rsid w:val="00500E39"/>
    <w:rsid w:val="0050113D"/>
    <w:rsid w:val="00502605"/>
    <w:rsid w:val="00503A4A"/>
    <w:rsid w:val="00503A68"/>
    <w:rsid w:val="00503F16"/>
    <w:rsid w:val="00505F28"/>
    <w:rsid w:val="00511509"/>
    <w:rsid w:val="00514D30"/>
    <w:rsid w:val="00515656"/>
    <w:rsid w:val="00517ACE"/>
    <w:rsid w:val="00520BF7"/>
    <w:rsid w:val="00525FB0"/>
    <w:rsid w:val="0052764B"/>
    <w:rsid w:val="0052766E"/>
    <w:rsid w:val="005312ED"/>
    <w:rsid w:val="00532958"/>
    <w:rsid w:val="00532F14"/>
    <w:rsid w:val="0053380E"/>
    <w:rsid w:val="0053432A"/>
    <w:rsid w:val="005343EA"/>
    <w:rsid w:val="00537A4F"/>
    <w:rsid w:val="00537E37"/>
    <w:rsid w:val="00540FA0"/>
    <w:rsid w:val="00541100"/>
    <w:rsid w:val="00541A0E"/>
    <w:rsid w:val="00542DC7"/>
    <w:rsid w:val="00544980"/>
    <w:rsid w:val="0054549D"/>
    <w:rsid w:val="00547B7A"/>
    <w:rsid w:val="0055203D"/>
    <w:rsid w:val="00552105"/>
    <w:rsid w:val="005538AE"/>
    <w:rsid w:val="00555F04"/>
    <w:rsid w:val="005569B5"/>
    <w:rsid w:val="00564A7D"/>
    <w:rsid w:val="00564F4D"/>
    <w:rsid w:val="0056600B"/>
    <w:rsid w:val="005674C0"/>
    <w:rsid w:val="00567BC6"/>
    <w:rsid w:val="005733A1"/>
    <w:rsid w:val="00577A24"/>
    <w:rsid w:val="005807D7"/>
    <w:rsid w:val="00580B69"/>
    <w:rsid w:val="005835DD"/>
    <w:rsid w:val="005860AC"/>
    <w:rsid w:val="00587B96"/>
    <w:rsid w:val="005901C9"/>
    <w:rsid w:val="00593CBE"/>
    <w:rsid w:val="00594278"/>
    <w:rsid w:val="0059428C"/>
    <w:rsid w:val="00595F80"/>
    <w:rsid w:val="00596CCB"/>
    <w:rsid w:val="005A041F"/>
    <w:rsid w:val="005A24EB"/>
    <w:rsid w:val="005A283D"/>
    <w:rsid w:val="005A3423"/>
    <w:rsid w:val="005A500A"/>
    <w:rsid w:val="005B0C0C"/>
    <w:rsid w:val="005B0C24"/>
    <w:rsid w:val="005B209B"/>
    <w:rsid w:val="005B3B41"/>
    <w:rsid w:val="005B3B7B"/>
    <w:rsid w:val="005B514D"/>
    <w:rsid w:val="005B69A8"/>
    <w:rsid w:val="005C15FD"/>
    <w:rsid w:val="005C46F6"/>
    <w:rsid w:val="005C789B"/>
    <w:rsid w:val="005D0B08"/>
    <w:rsid w:val="005D304B"/>
    <w:rsid w:val="005D35CC"/>
    <w:rsid w:val="005D3F58"/>
    <w:rsid w:val="005D4158"/>
    <w:rsid w:val="005E13E8"/>
    <w:rsid w:val="005E60BC"/>
    <w:rsid w:val="005E6362"/>
    <w:rsid w:val="005E70BA"/>
    <w:rsid w:val="005E7370"/>
    <w:rsid w:val="005F0E90"/>
    <w:rsid w:val="005F1D4C"/>
    <w:rsid w:val="005F25A1"/>
    <w:rsid w:val="005F4470"/>
    <w:rsid w:val="005F4D9B"/>
    <w:rsid w:val="005F789C"/>
    <w:rsid w:val="00605A37"/>
    <w:rsid w:val="00610976"/>
    <w:rsid w:val="0061256C"/>
    <w:rsid w:val="00612B04"/>
    <w:rsid w:val="00613CBC"/>
    <w:rsid w:val="006148A0"/>
    <w:rsid w:val="00614E9F"/>
    <w:rsid w:val="00620687"/>
    <w:rsid w:val="006206CA"/>
    <w:rsid w:val="00621B99"/>
    <w:rsid w:val="006329C3"/>
    <w:rsid w:val="00633D75"/>
    <w:rsid w:val="00640187"/>
    <w:rsid w:val="00641360"/>
    <w:rsid w:val="00644ADD"/>
    <w:rsid w:val="0064684D"/>
    <w:rsid w:val="0064717C"/>
    <w:rsid w:val="00647319"/>
    <w:rsid w:val="006506FE"/>
    <w:rsid w:val="00653FE4"/>
    <w:rsid w:val="006562CD"/>
    <w:rsid w:val="006602A9"/>
    <w:rsid w:val="00662A10"/>
    <w:rsid w:val="00664E3D"/>
    <w:rsid w:val="00666F1E"/>
    <w:rsid w:val="006675C7"/>
    <w:rsid w:val="00672314"/>
    <w:rsid w:val="00675D73"/>
    <w:rsid w:val="00680BD4"/>
    <w:rsid w:val="006820A8"/>
    <w:rsid w:val="00686671"/>
    <w:rsid w:val="0068677C"/>
    <w:rsid w:val="0068793F"/>
    <w:rsid w:val="00694E2B"/>
    <w:rsid w:val="0069680D"/>
    <w:rsid w:val="006968DE"/>
    <w:rsid w:val="006A01BA"/>
    <w:rsid w:val="006A045C"/>
    <w:rsid w:val="006A1080"/>
    <w:rsid w:val="006A1351"/>
    <w:rsid w:val="006A5B1F"/>
    <w:rsid w:val="006B1664"/>
    <w:rsid w:val="006B467A"/>
    <w:rsid w:val="006C5A69"/>
    <w:rsid w:val="006C7869"/>
    <w:rsid w:val="006D2D3A"/>
    <w:rsid w:val="006D5F99"/>
    <w:rsid w:val="006E3BEC"/>
    <w:rsid w:val="006E3DCC"/>
    <w:rsid w:val="006E6F0A"/>
    <w:rsid w:val="006F13C3"/>
    <w:rsid w:val="006F1532"/>
    <w:rsid w:val="006F173F"/>
    <w:rsid w:val="006F5578"/>
    <w:rsid w:val="006F57B7"/>
    <w:rsid w:val="00700241"/>
    <w:rsid w:val="00701F77"/>
    <w:rsid w:val="00706B39"/>
    <w:rsid w:val="00710B54"/>
    <w:rsid w:val="00714331"/>
    <w:rsid w:val="00714344"/>
    <w:rsid w:val="007207F5"/>
    <w:rsid w:val="007214BB"/>
    <w:rsid w:val="00721959"/>
    <w:rsid w:val="00723E5F"/>
    <w:rsid w:val="00725950"/>
    <w:rsid w:val="00726A63"/>
    <w:rsid w:val="00726DFB"/>
    <w:rsid w:val="00727FC7"/>
    <w:rsid w:val="00734B42"/>
    <w:rsid w:val="00743C4A"/>
    <w:rsid w:val="00744B5C"/>
    <w:rsid w:val="00745686"/>
    <w:rsid w:val="00745C2F"/>
    <w:rsid w:val="007473EC"/>
    <w:rsid w:val="00747F7F"/>
    <w:rsid w:val="007557C6"/>
    <w:rsid w:val="0075729D"/>
    <w:rsid w:val="00757A8D"/>
    <w:rsid w:val="007627EE"/>
    <w:rsid w:val="007628D1"/>
    <w:rsid w:val="007641C0"/>
    <w:rsid w:val="007677BB"/>
    <w:rsid w:val="00767CF2"/>
    <w:rsid w:val="007735AF"/>
    <w:rsid w:val="00773BFD"/>
    <w:rsid w:val="0077472A"/>
    <w:rsid w:val="00775A59"/>
    <w:rsid w:val="00780CE5"/>
    <w:rsid w:val="00787377"/>
    <w:rsid w:val="00790449"/>
    <w:rsid w:val="00791548"/>
    <w:rsid w:val="007928EF"/>
    <w:rsid w:val="007A2C35"/>
    <w:rsid w:val="007A3818"/>
    <w:rsid w:val="007A4A6D"/>
    <w:rsid w:val="007A4ABB"/>
    <w:rsid w:val="007A53F2"/>
    <w:rsid w:val="007A544A"/>
    <w:rsid w:val="007A5F81"/>
    <w:rsid w:val="007A6A8B"/>
    <w:rsid w:val="007B0C15"/>
    <w:rsid w:val="007B1B5D"/>
    <w:rsid w:val="007B30EE"/>
    <w:rsid w:val="007C00EF"/>
    <w:rsid w:val="007C03E3"/>
    <w:rsid w:val="007C1313"/>
    <w:rsid w:val="007C54ED"/>
    <w:rsid w:val="007D0E31"/>
    <w:rsid w:val="007D1B21"/>
    <w:rsid w:val="007D2676"/>
    <w:rsid w:val="007E4C9B"/>
    <w:rsid w:val="007E5B44"/>
    <w:rsid w:val="007F023E"/>
    <w:rsid w:val="007F1FE5"/>
    <w:rsid w:val="007F4304"/>
    <w:rsid w:val="007F4C59"/>
    <w:rsid w:val="0080243F"/>
    <w:rsid w:val="008029A3"/>
    <w:rsid w:val="00804369"/>
    <w:rsid w:val="008058B5"/>
    <w:rsid w:val="0080642A"/>
    <w:rsid w:val="008077A0"/>
    <w:rsid w:val="00815588"/>
    <w:rsid w:val="008165D5"/>
    <w:rsid w:val="0081759D"/>
    <w:rsid w:val="0081778D"/>
    <w:rsid w:val="008210AF"/>
    <w:rsid w:val="0082193E"/>
    <w:rsid w:val="0082525D"/>
    <w:rsid w:val="00827881"/>
    <w:rsid w:val="00830593"/>
    <w:rsid w:val="00830CB7"/>
    <w:rsid w:val="00833852"/>
    <w:rsid w:val="00833906"/>
    <w:rsid w:val="008349FF"/>
    <w:rsid w:val="0083549F"/>
    <w:rsid w:val="00837544"/>
    <w:rsid w:val="0084289D"/>
    <w:rsid w:val="00844003"/>
    <w:rsid w:val="00844564"/>
    <w:rsid w:val="00844870"/>
    <w:rsid w:val="008511C4"/>
    <w:rsid w:val="00852D4B"/>
    <w:rsid w:val="0086072A"/>
    <w:rsid w:val="00862189"/>
    <w:rsid w:val="008631B5"/>
    <w:rsid w:val="00863BB6"/>
    <w:rsid w:val="008649E7"/>
    <w:rsid w:val="00871D5F"/>
    <w:rsid w:val="00876BFB"/>
    <w:rsid w:val="00877336"/>
    <w:rsid w:val="00877627"/>
    <w:rsid w:val="00880379"/>
    <w:rsid w:val="00881003"/>
    <w:rsid w:val="00882EB9"/>
    <w:rsid w:val="00885002"/>
    <w:rsid w:val="008871F0"/>
    <w:rsid w:val="00892F14"/>
    <w:rsid w:val="008939C5"/>
    <w:rsid w:val="008954E6"/>
    <w:rsid w:val="00896078"/>
    <w:rsid w:val="008964C3"/>
    <w:rsid w:val="00897AD3"/>
    <w:rsid w:val="008A2258"/>
    <w:rsid w:val="008B0657"/>
    <w:rsid w:val="008B2A7C"/>
    <w:rsid w:val="008B3FCA"/>
    <w:rsid w:val="008B4550"/>
    <w:rsid w:val="008B463A"/>
    <w:rsid w:val="008B4D28"/>
    <w:rsid w:val="008B515D"/>
    <w:rsid w:val="008B5ABC"/>
    <w:rsid w:val="008B5F39"/>
    <w:rsid w:val="008B745C"/>
    <w:rsid w:val="008B7F70"/>
    <w:rsid w:val="008C2998"/>
    <w:rsid w:val="008C4221"/>
    <w:rsid w:val="008C63FD"/>
    <w:rsid w:val="008D2047"/>
    <w:rsid w:val="008D23F2"/>
    <w:rsid w:val="008D2E1D"/>
    <w:rsid w:val="008D6FCF"/>
    <w:rsid w:val="008E4B3A"/>
    <w:rsid w:val="008E4ED6"/>
    <w:rsid w:val="008E5CA1"/>
    <w:rsid w:val="008E61D5"/>
    <w:rsid w:val="008E6285"/>
    <w:rsid w:val="008E64CC"/>
    <w:rsid w:val="008F0C17"/>
    <w:rsid w:val="008F254A"/>
    <w:rsid w:val="008F49F0"/>
    <w:rsid w:val="008F4A4B"/>
    <w:rsid w:val="008F529D"/>
    <w:rsid w:val="008F6C5C"/>
    <w:rsid w:val="00900750"/>
    <w:rsid w:val="00900AB9"/>
    <w:rsid w:val="0090181F"/>
    <w:rsid w:val="00903220"/>
    <w:rsid w:val="009035A6"/>
    <w:rsid w:val="00906300"/>
    <w:rsid w:val="00912A77"/>
    <w:rsid w:val="00914331"/>
    <w:rsid w:val="00914AF1"/>
    <w:rsid w:val="009168DD"/>
    <w:rsid w:val="00920F31"/>
    <w:rsid w:val="00922586"/>
    <w:rsid w:val="00923B6A"/>
    <w:rsid w:val="00925B1F"/>
    <w:rsid w:val="00925F33"/>
    <w:rsid w:val="009278A5"/>
    <w:rsid w:val="0093221F"/>
    <w:rsid w:val="00942211"/>
    <w:rsid w:val="00943C3C"/>
    <w:rsid w:val="00944D73"/>
    <w:rsid w:val="00945EF3"/>
    <w:rsid w:val="00952088"/>
    <w:rsid w:val="00953CB5"/>
    <w:rsid w:val="00953CC9"/>
    <w:rsid w:val="00957E91"/>
    <w:rsid w:val="009609E5"/>
    <w:rsid w:val="0096345F"/>
    <w:rsid w:val="00965FD7"/>
    <w:rsid w:val="0096767F"/>
    <w:rsid w:val="00971B78"/>
    <w:rsid w:val="00974DD4"/>
    <w:rsid w:val="009758B6"/>
    <w:rsid w:val="00977D07"/>
    <w:rsid w:val="00981AFE"/>
    <w:rsid w:val="00982E5F"/>
    <w:rsid w:val="00987ADB"/>
    <w:rsid w:val="00987EF7"/>
    <w:rsid w:val="00991C17"/>
    <w:rsid w:val="0099290C"/>
    <w:rsid w:val="009965CF"/>
    <w:rsid w:val="009A40DD"/>
    <w:rsid w:val="009A689C"/>
    <w:rsid w:val="009B0501"/>
    <w:rsid w:val="009B13F4"/>
    <w:rsid w:val="009B32A6"/>
    <w:rsid w:val="009B3E01"/>
    <w:rsid w:val="009B456F"/>
    <w:rsid w:val="009C1F7F"/>
    <w:rsid w:val="009C20C2"/>
    <w:rsid w:val="009C3099"/>
    <w:rsid w:val="009D28D6"/>
    <w:rsid w:val="009D3C86"/>
    <w:rsid w:val="009D5DA3"/>
    <w:rsid w:val="009F00A9"/>
    <w:rsid w:val="009F1300"/>
    <w:rsid w:val="009F607B"/>
    <w:rsid w:val="00A018DD"/>
    <w:rsid w:val="00A06122"/>
    <w:rsid w:val="00A0673B"/>
    <w:rsid w:val="00A10187"/>
    <w:rsid w:val="00A1498D"/>
    <w:rsid w:val="00A14C12"/>
    <w:rsid w:val="00A15DED"/>
    <w:rsid w:val="00A15E3A"/>
    <w:rsid w:val="00A16D90"/>
    <w:rsid w:val="00A17289"/>
    <w:rsid w:val="00A178ED"/>
    <w:rsid w:val="00A23910"/>
    <w:rsid w:val="00A27E34"/>
    <w:rsid w:val="00A31F9F"/>
    <w:rsid w:val="00A351AF"/>
    <w:rsid w:val="00A40587"/>
    <w:rsid w:val="00A42037"/>
    <w:rsid w:val="00A439A3"/>
    <w:rsid w:val="00A54114"/>
    <w:rsid w:val="00A55103"/>
    <w:rsid w:val="00A55C50"/>
    <w:rsid w:val="00A55D5F"/>
    <w:rsid w:val="00A602FC"/>
    <w:rsid w:val="00A6052A"/>
    <w:rsid w:val="00A607E3"/>
    <w:rsid w:val="00A651CB"/>
    <w:rsid w:val="00A65DCB"/>
    <w:rsid w:val="00A6723D"/>
    <w:rsid w:val="00A70AF0"/>
    <w:rsid w:val="00A7374B"/>
    <w:rsid w:val="00A766E9"/>
    <w:rsid w:val="00A77EC3"/>
    <w:rsid w:val="00A81D7F"/>
    <w:rsid w:val="00A843AF"/>
    <w:rsid w:val="00A855DA"/>
    <w:rsid w:val="00A93E21"/>
    <w:rsid w:val="00A97343"/>
    <w:rsid w:val="00A97DD7"/>
    <w:rsid w:val="00AA2859"/>
    <w:rsid w:val="00AA79BF"/>
    <w:rsid w:val="00AB03E0"/>
    <w:rsid w:val="00AB2946"/>
    <w:rsid w:val="00AB4FB6"/>
    <w:rsid w:val="00AB5AFE"/>
    <w:rsid w:val="00AB5C42"/>
    <w:rsid w:val="00AC3446"/>
    <w:rsid w:val="00AC46CA"/>
    <w:rsid w:val="00AD4724"/>
    <w:rsid w:val="00AD4D18"/>
    <w:rsid w:val="00AD5309"/>
    <w:rsid w:val="00AD60DC"/>
    <w:rsid w:val="00AE0D09"/>
    <w:rsid w:val="00AE222C"/>
    <w:rsid w:val="00AE4D95"/>
    <w:rsid w:val="00AE7142"/>
    <w:rsid w:val="00AE79FC"/>
    <w:rsid w:val="00AF01FD"/>
    <w:rsid w:val="00AF0A94"/>
    <w:rsid w:val="00AF19DF"/>
    <w:rsid w:val="00AF2ADF"/>
    <w:rsid w:val="00AF624C"/>
    <w:rsid w:val="00AF728C"/>
    <w:rsid w:val="00B04CA9"/>
    <w:rsid w:val="00B04CBB"/>
    <w:rsid w:val="00B11BB6"/>
    <w:rsid w:val="00B13D2E"/>
    <w:rsid w:val="00B146BE"/>
    <w:rsid w:val="00B15A15"/>
    <w:rsid w:val="00B1753D"/>
    <w:rsid w:val="00B17B80"/>
    <w:rsid w:val="00B21E44"/>
    <w:rsid w:val="00B21F38"/>
    <w:rsid w:val="00B23079"/>
    <w:rsid w:val="00B237CB"/>
    <w:rsid w:val="00B23D87"/>
    <w:rsid w:val="00B24694"/>
    <w:rsid w:val="00B248E0"/>
    <w:rsid w:val="00B328E6"/>
    <w:rsid w:val="00B32BE8"/>
    <w:rsid w:val="00B36EF2"/>
    <w:rsid w:val="00B4349A"/>
    <w:rsid w:val="00B4451D"/>
    <w:rsid w:val="00B51D55"/>
    <w:rsid w:val="00B542CB"/>
    <w:rsid w:val="00B551F6"/>
    <w:rsid w:val="00B55376"/>
    <w:rsid w:val="00B6147C"/>
    <w:rsid w:val="00B61D59"/>
    <w:rsid w:val="00B636B9"/>
    <w:rsid w:val="00B644CD"/>
    <w:rsid w:val="00B6472D"/>
    <w:rsid w:val="00B65E3C"/>
    <w:rsid w:val="00B70F7F"/>
    <w:rsid w:val="00B73AA4"/>
    <w:rsid w:val="00B7475F"/>
    <w:rsid w:val="00B83BE1"/>
    <w:rsid w:val="00B8761C"/>
    <w:rsid w:val="00B911AF"/>
    <w:rsid w:val="00B925B0"/>
    <w:rsid w:val="00B92C5E"/>
    <w:rsid w:val="00B96D03"/>
    <w:rsid w:val="00BA08BC"/>
    <w:rsid w:val="00BA11FE"/>
    <w:rsid w:val="00BA3D3D"/>
    <w:rsid w:val="00BA4D14"/>
    <w:rsid w:val="00BA5B09"/>
    <w:rsid w:val="00BA62E1"/>
    <w:rsid w:val="00BA6BF1"/>
    <w:rsid w:val="00BA7416"/>
    <w:rsid w:val="00BB0B57"/>
    <w:rsid w:val="00BB2590"/>
    <w:rsid w:val="00BB2850"/>
    <w:rsid w:val="00BB4BAD"/>
    <w:rsid w:val="00BB5674"/>
    <w:rsid w:val="00BB6745"/>
    <w:rsid w:val="00BB703E"/>
    <w:rsid w:val="00BB751F"/>
    <w:rsid w:val="00BC0E63"/>
    <w:rsid w:val="00BC2668"/>
    <w:rsid w:val="00BC4100"/>
    <w:rsid w:val="00BC4136"/>
    <w:rsid w:val="00BC4355"/>
    <w:rsid w:val="00BC5528"/>
    <w:rsid w:val="00BC7BDB"/>
    <w:rsid w:val="00BC7EB8"/>
    <w:rsid w:val="00BD2ACA"/>
    <w:rsid w:val="00BD445C"/>
    <w:rsid w:val="00BE151E"/>
    <w:rsid w:val="00BE5B85"/>
    <w:rsid w:val="00BF118B"/>
    <w:rsid w:val="00BF4AA1"/>
    <w:rsid w:val="00BF4F44"/>
    <w:rsid w:val="00BF7F63"/>
    <w:rsid w:val="00C00583"/>
    <w:rsid w:val="00C0126E"/>
    <w:rsid w:val="00C018F0"/>
    <w:rsid w:val="00C07389"/>
    <w:rsid w:val="00C07F96"/>
    <w:rsid w:val="00C11B63"/>
    <w:rsid w:val="00C1332C"/>
    <w:rsid w:val="00C14935"/>
    <w:rsid w:val="00C14B12"/>
    <w:rsid w:val="00C15EB2"/>
    <w:rsid w:val="00C1650D"/>
    <w:rsid w:val="00C17733"/>
    <w:rsid w:val="00C203A9"/>
    <w:rsid w:val="00C21C1D"/>
    <w:rsid w:val="00C2213E"/>
    <w:rsid w:val="00C2282F"/>
    <w:rsid w:val="00C23300"/>
    <w:rsid w:val="00C23F2E"/>
    <w:rsid w:val="00C24316"/>
    <w:rsid w:val="00C33908"/>
    <w:rsid w:val="00C368BD"/>
    <w:rsid w:val="00C36EC9"/>
    <w:rsid w:val="00C371B8"/>
    <w:rsid w:val="00C404A0"/>
    <w:rsid w:val="00C41033"/>
    <w:rsid w:val="00C418AE"/>
    <w:rsid w:val="00C43335"/>
    <w:rsid w:val="00C50A4D"/>
    <w:rsid w:val="00C5112E"/>
    <w:rsid w:val="00C55C51"/>
    <w:rsid w:val="00C56167"/>
    <w:rsid w:val="00C5765B"/>
    <w:rsid w:val="00C57CC0"/>
    <w:rsid w:val="00C60792"/>
    <w:rsid w:val="00C6230E"/>
    <w:rsid w:val="00C63894"/>
    <w:rsid w:val="00C64D69"/>
    <w:rsid w:val="00C6631B"/>
    <w:rsid w:val="00C66711"/>
    <w:rsid w:val="00C66D1D"/>
    <w:rsid w:val="00C67E90"/>
    <w:rsid w:val="00C74451"/>
    <w:rsid w:val="00C74AB2"/>
    <w:rsid w:val="00C76206"/>
    <w:rsid w:val="00C764B7"/>
    <w:rsid w:val="00C80E7C"/>
    <w:rsid w:val="00C813CE"/>
    <w:rsid w:val="00C81591"/>
    <w:rsid w:val="00C8215F"/>
    <w:rsid w:val="00C879CB"/>
    <w:rsid w:val="00C907D6"/>
    <w:rsid w:val="00C93051"/>
    <w:rsid w:val="00C9326F"/>
    <w:rsid w:val="00C93A2C"/>
    <w:rsid w:val="00C949E1"/>
    <w:rsid w:val="00C957DF"/>
    <w:rsid w:val="00C96EE6"/>
    <w:rsid w:val="00CA075F"/>
    <w:rsid w:val="00CA4997"/>
    <w:rsid w:val="00CA529E"/>
    <w:rsid w:val="00CB08E1"/>
    <w:rsid w:val="00CB11C3"/>
    <w:rsid w:val="00CB3DC6"/>
    <w:rsid w:val="00CB56E2"/>
    <w:rsid w:val="00CB5AAB"/>
    <w:rsid w:val="00CB6531"/>
    <w:rsid w:val="00CB6FB5"/>
    <w:rsid w:val="00CC1CAC"/>
    <w:rsid w:val="00CD0F07"/>
    <w:rsid w:val="00CD1A97"/>
    <w:rsid w:val="00CD3485"/>
    <w:rsid w:val="00CD3643"/>
    <w:rsid w:val="00CD3C9D"/>
    <w:rsid w:val="00CD59A6"/>
    <w:rsid w:val="00CE3A6F"/>
    <w:rsid w:val="00CE3AF2"/>
    <w:rsid w:val="00CE3B19"/>
    <w:rsid w:val="00CE4547"/>
    <w:rsid w:val="00CE5EA9"/>
    <w:rsid w:val="00CE67FB"/>
    <w:rsid w:val="00CE720B"/>
    <w:rsid w:val="00CF229A"/>
    <w:rsid w:val="00CF2549"/>
    <w:rsid w:val="00D01441"/>
    <w:rsid w:val="00D04C63"/>
    <w:rsid w:val="00D0555C"/>
    <w:rsid w:val="00D067B2"/>
    <w:rsid w:val="00D06841"/>
    <w:rsid w:val="00D13866"/>
    <w:rsid w:val="00D14B7E"/>
    <w:rsid w:val="00D14C01"/>
    <w:rsid w:val="00D15679"/>
    <w:rsid w:val="00D1624A"/>
    <w:rsid w:val="00D16E96"/>
    <w:rsid w:val="00D22DCA"/>
    <w:rsid w:val="00D242B6"/>
    <w:rsid w:val="00D27C0A"/>
    <w:rsid w:val="00D35FA0"/>
    <w:rsid w:val="00D4124E"/>
    <w:rsid w:val="00D42C6D"/>
    <w:rsid w:val="00D453E8"/>
    <w:rsid w:val="00D45472"/>
    <w:rsid w:val="00D46C52"/>
    <w:rsid w:val="00D47155"/>
    <w:rsid w:val="00D52DEC"/>
    <w:rsid w:val="00D53D53"/>
    <w:rsid w:val="00D57E23"/>
    <w:rsid w:val="00D601BD"/>
    <w:rsid w:val="00D60200"/>
    <w:rsid w:val="00D604A2"/>
    <w:rsid w:val="00D64403"/>
    <w:rsid w:val="00D64B6C"/>
    <w:rsid w:val="00D66BAC"/>
    <w:rsid w:val="00D66CA4"/>
    <w:rsid w:val="00D672EA"/>
    <w:rsid w:val="00D67E85"/>
    <w:rsid w:val="00D71727"/>
    <w:rsid w:val="00D75B2C"/>
    <w:rsid w:val="00D80130"/>
    <w:rsid w:val="00D842B7"/>
    <w:rsid w:val="00D85106"/>
    <w:rsid w:val="00D85984"/>
    <w:rsid w:val="00D87053"/>
    <w:rsid w:val="00D87A04"/>
    <w:rsid w:val="00D908F5"/>
    <w:rsid w:val="00D9265A"/>
    <w:rsid w:val="00DA0F12"/>
    <w:rsid w:val="00DA1E31"/>
    <w:rsid w:val="00DA3BFF"/>
    <w:rsid w:val="00DA3C01"/>
    <w:rsid w:val="00DA6189"/>
    <w:rsid w:val="00DA7511"/>
    <w:rsid w:val="00DB073D"/>
    <w:rsid w:val="00DB16CF"/>
    <w:rsid w:val="00DB42A0"/>
    <w:rsid w:val="00DB51F3"/>
    <w:rsid w:val="00DB73E0"/>
    <w:rsid w:val="00DD0AF2"/>
    <w:rsid w:val="00DD3D7A"/>
    <w:rsid w:val="00DD6A49"/>
    <w:rsid w:val="00DE1700"/>
    <w:rsid w:val="00DE22DB"/>
    <w:rsid w:val="00DE2F6B"/>
    <w:rsid w:val="00DE3159"/>
    <w:rsid w:val="00DE48B2"/>
    <w:rsid w:val="00DE4AF4"/>
    <w:rsid w:val="00DE5035"/>
    <w:rsid w:val="00DF084F"/>
    <w:rsid w:val="00DF12E8"/>
    <w:rsid w:val="00DF19E8"/>
    <w:rsid w:val="00DF1C93"/>
    <w:rsid w:val="00DF3E4A"/>
    <w:rsid w:val="00DF51ED"/>
    <w:rsid w:val="00DF59EC"/>
    <w:rsid w:val="00DF5B94"/>
    <w:rsid w:val="00DF79B0"/>
    <w:rsid w:val="00E057C7"/>
    <w:rsid w:val="00E0765A"/>
    <w:rsid w:val="00E13A7B"/>
    <w:rsid w:val="00E159D9"/>
    <w:rsid w:val="00E15C1E"/>
    <w:rsid w:val="00E1617D"/>
    <w:rsid w:val="00E2109C"/>
    <w:rsid w:val="00E22CA4"/>
    <w:rsid w:val="00E25BDD"/>
    <w:rsid w:val="00E26304"/>
    <w:rsid w:val="00E264CA"/>
    <w:rsid w:val="00E2654C"/>
    <w:rsid w:val="00E308FC"/>
    <w:rsid w:val="00E3233E"/>
    <w:rsid w:val="00E34C86"/>
    <w:rsid w:val="00E408DF"/>
    <w:rsid w:val="00E42170"/>
    <w:rsid w:val="00E42528"/>
    <w:rsid w:val="00E43FE3"/>
    <w:rsid w:val="00E452F5"/>
    <w:rsid w:val="00E456F8"/>
    <w:rsid w:val="00E45C35"/>
    <w:rsid w:val="00E62492"/>
    <w:rsid w:val="00E625D0"/>
    <w:rsid w:val="00E62CB3"/>
    <w:rsid w:val="00E62F72"/>
    <w:rsid w:val="00E66C66"/>
    <w:rsid w:val="00E67515"/>
    <w:rsid w:val="00E710DD"/>
    <w:rsid w:val="00E72D7D"/>
    <w:rsid w:val="00E73101"/>
    <w:rsid w:val="00E744C5"/>
    <w:rsid w:val="00E74F75"/>
    <w:rsid w:val="00E75618"/>
    <w:rsid w:val="00E756F3"/>
    <w:rsid w:val="00E76084"/>
    <w:rsid w:val="00E804F5"/>
    <w:rsid w:val="00E81196"/>
    <w:rsid w:val="00E85BA5"/>
    <w:rsid w:val="00E90CC1"/>
    <w:rsid w:val="00E912F3"/>
    <w:rsid w:val="00E92659"/>
    <w:rsid w:val="00E9583F"/>
    <w:rsid w:val="00E95FBA"/>
    <w:rsid w:val="00E9638B"/>
    <w:rsid w:val="00E964D8"/>
    <w:rsid w:val="00EA3CB0"/>
    <w:rsid w:val="00EA70F4"/>
    <w:rsid w:val="00EB036D"/>
    <w:rsid w:val="00EB06BE"/>
    <w:rsid w:val="00EB2471"/>
    <w:rsid w:val="00EB24FB"/>
    <w:rsid w:val="00EB33B2"/>
    <w:rsid w:val="00EB7633"/>
    <w:rsid w:val="00EB76B9"/>
    <w:rsid w:val="00EC3854"/>
    <w:rsid w:val="00EC41F7"/>
    <w:rsid w:val="00EC4448"/>
    <w:rsid w:val="00EC5DEE"/>
    <w:rsid w:val="00EC6114"/>
    <w:rsid w:val="00ED1408"/>
    <w:rsid w:val="00EE57EF"/>
    <w:rsid w:val="00EE5FF2"/>
    <w:rsid w:val="00EE73FF"/>
    <w:rsid w:val="00EF1793"/>
    <w:rsid w:val="00EF1E4A"/>
    <w:rsid w:val="00EF42D7"/>
    <w:rsid w:val="00EF627A"/>
    <w:rsid w:val="00EF65DD"/>
    <w:rsid w:val="00F0454E"/>
    <w:rsid w:val="00F04CD2"/>
    <w:rsid w:val="00F1094F"/>
    <w:rsid w:val="00F1369D"/>
    <w:rsid w:val="00F136A0"/>
    <w:rsid w:val="00F15256"/>
    <w:rsid w:val="00F17337"/>
    <w:rsid w:val="00F234E7"/>
    <w:rsid w:val="00F24975"/>
    <w:rsid w:val="00F24C9E"/>
    <w:rsid w:val="00F257F9"/>
    <w:rsid w:val="00F266DA"/>
    <w:rsid w:val="00F3014F"/>
    <w:rsid w:val="00F3043D"/>
    <w:rsid w:val="00F30DB7"/>
    <w:rsid w:val="00F3158C"/>
    <w:rsid w:val="00F3623A"/>
    <w:rsid w:val="00F37C4B"/>
    <w:rsid w:val="00F40662"/>
    <w:rsid w:val="00F42356"/>
    <w:rsid w:val="00F425D4"/>
    <w:rsid w:val="00F43D57"/>
    <w:rsid w:val="00F44BE9"/>
    <w:rsid w:val="00F5257D"/>
    <w:rsid w:val="00F5526A"/>
    <w:rsid w:val="00F55799"/>
    <w:rsid w:val="00F56475"/>
    <w:rsid w:val="00F5779B"/>
    <w:rsid w:val="00F6037F"/>
    <w:rsid w:val="00F604C7"/>
    <w:rsid w:val="00F60ACD"/>
    <w:rsid w:val="00F61F91"/>
    <w:rsid w:val="00F63CC2"/>
    <w:rsid w:val="00F71783"/>
    <w:rsid w:val="00F7309C"/>
    <w:rsid w:val="00F75C3D"/>
    <w:rsid w:val="00F76EF3"/>
    <w:rsid w:val="00F77EAD"/>
    <w:rsid w:val="00F829C6"/>
    <w:rsid w:val="00F850FB"/>
    <w:rsid w:val="00F8512B"/>
    <w:rsid w:val="00F86103"/>
    <w:rsid w:val="00F8716E"/>
    <w:rsid w:val="00F87575"/>
    <w:rsid w:val="00F877C1"/>
    <w:rsid w:val="00F9068C"/>
    <w:rsid w:val="00F9492A"/>
    <w:rsid w:val="00F96425"/>
    <w:rsid w:val="00FA22DC"/>
    <w:rsid w:val="00FA31B2"/>
    <w:rsid w:val="00FA4E46"/>
    <w:rsid w:val="00FA7B7F"/>
    <w:rsid w:val="00FB2453"/>
    <w:rsid w:val="00FB3B37"/>
    <w:rsid w:val="00FB5EB5"/>
    <w:rsid w:val="00FB691D"/>
    <w:rsid w:val="00FB6F73"/>
    <w:rsid w:val="00FC11B5"/>
    <w:rsid w:val="00FC3FC3"/>
    <w:rsid w:val="00FC685C"/>
    <w:rsid w:val="00FD1EC2"/>
    <w:rsid w:val="00FD1FA2"/>
    <w:rsid w:val="00FD2337"/>
    <w:rsid w:val="00FD2B5F"/>
    <w:rsid w:val="00FD63B5"/>
    <w:rsid w:val="00FE0286"/>
    <w:rsid w:val="00FE29C7"/>
    <w:rsid w:val="00FE59FB"/>
    <w:rsid w:val="00FF15C0"/>
    <w:rsid w:val="00FF182C"/>
    <w:rsid w:val="00FF236A"/>
    <w:rsid w:val="00FF2CBE"/>
    <w:rsid w:val="00FF4046"/>
    <w:rsid w:val="00FF449D"/>
    <w:rsid w:val="00FF5419"/>
    <w:rsid w:val="00FF66A8"/>
    <w:rsid w:val="00FF7571"/>
    <w:rsid w:val="00FF7DE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FollowedHyperlink" w:uiPriority="0"/>
    <w:lsdException w:name="Strong" w:semiHidden="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D43"/>
    <w:pPr>
      <w:spacing w:after="0" w:line="360" w:lineRule="auto"/>
      <w:jc w:val="both"/>
    </w:pPr>
    <w:rPr>
      <w:rFonts w:ascii="Times New Roman" w:eastAsia="Times New Roman" w:hAnsi="Times New Roman" w:cs="Times New Roman"/>
      <w:sz w:val="24"/>
      <w:szCs w:val="24"/>
      <w:lang w:val="en-US"/>
    </w:rPr>
  </w:style>
  <w:style w:type="paragraph" w:styleId="Heading1">
    <w:name w:val="heading 1"/>
    <w:aliases w:val="Skyriai"/>
    <w:basedOn w:val="Normal"/>
    <w:next w:val="Normal"/>
    <w:link w:val="Heading1Char"/>
    <w:qFormat/>
    <w:rsid w:val="002B1491"/>
    <w:pPr>
      <w:keepNext/>
      <w:keepLines/>
      <w:spacing w:before="600" w:after="600"/>
      <w:jc w:val="center"/>
      <w:outlineLvl w:val="0"/>
    </w:pPr>
    <w:rPr>
      <w:rFonts w:eastAsiaTheme="majorEastAsia" w:cstheme="majorBidi"/>
      <w:b/>
      <w:bCs/>
      <w:sz w:val="28"/>
      <w:szCs w:val="28"/>
    </w:rPr>
  </w:style>
  <w:style w:type="paragraph" w:styleId="Heading2">
    <w:name w:val="heading 2"/>
    <w:basedOn w:val="Normal"/>
    <w:next w:val="Normal"/>
    <w:link w:val="Heading2Char"/>
    <w:unhideWhenUsed/>
    <w:qFormat/>
    <w:rsid w:val="002B1491"/>
    <w:pPr>
      <w:keepNext/>
      <w:keepLines/>
      <w:spacing w:before="100" w:beforeAutospacing="1" w:after="100" w:afterAutospacing="1"/>
      <w:jc w:val="center"/>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BB0B57"/>
    <w:pPr>
      <w:keepNext/>
      <w:keepLines/>
      <w:spacing w:before="200"/>
      <w:jc w:val="center"/>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F234E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Heading,Poskyriai"/>
    <w:next w:val="Normal"/>
    <w:link w:val="Heading5Char"/>
    <w:qFormat/>
    <w:rsid w:val="00F234E7"/>
    <w:pPr>
      <w:spacing w:before="100" w:beforeAutospacing="1" w:after="100" w:afterAutospacing="1" w:line="240" w:lineRule="auto"/>
      <w:ind w:left="720"/>
      <w:jc w:val="center"/>
      <w:outlineLvl w:val="4"/>
    </w:pPr>
    <w:rPr>
      <w:rFonts w:ascii="Times New Roman" w:eastAsia="Times New Roman" w:hAnsi="Times New Roman" w:cs="Times New Roman"/>
      <w:b/>
      <w:iCs/>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kyriai Char"/>
    <w:basedOn w:val="DefaultParagraphFont"/>
    <w:link w:val="Heading1"/>
    <w:rsid w:val="002B1491"/>
    <w:rPr>
      <w:rFonts w:ascii="Times New Roman" w:eastAsiaTheme="majorEastAsia" w:hAnsi="Times New Roman" w:cstheme="majorBidi"/>
      <w:b/>
      <w:bCs/>
      <w:sz w:val="28"/>
      <w:szCs w:val="28"/>
      <w:lang w:val="en-US"/>
    </w:rPr>
  </w:style>
  <w:style w:type="character" w:customStyle="1" w:styleId="Heading2Char">
    <w:name w:val="Heading 2 Char"/>
    <w:basedOn w:val="DefaultParagraphFont"/>
    <w:link w:val="Heading2"/>
    <w:rsid w:val="002B1491"/>
    <w:rPr>
      <w:rFonts w:ascii="Times New Roman" w:eastAsiaTheme="majorEastAsia" w:hAnsi="Times New Roman" w:cstheme="majorBidi"/>
      <w:b/>
      <w:bCs/>
      <w:sz w:val="28"/>
      <w:szCs w:val="26"/>
      <w:lang w:val="en-US"/>
    </w:rPr>
  </w:style>
  <w:style w:type="character" w:customStyle="1" w:styleId="Heading3Char">
    <w:name w:val="Heading 3 Char"/>
    <w:basedOn w:val="DefaultParagraphFont"/>
    <w:link w:val="Heading3"/>
    <w:uiPriority w:val="9"/>
    <w:rsid w:val="00BB0B57"/>
    <w:rPr>
      <w:rFonts w:ascii="Times New Roman" w:eastAsiaTheme="majorEastAsia" w:hAnsi="Times New Roman" w:cstheme="majorBidi"/>
      <w:b/>
      <w:bCs/>
      <w:sz w:val="28"/>
      <w:szCs w:val="24"/>
      <w:lang w:val="en-US"/>
    </w:rPr>
  </w:style>
  <w:style w:type="character" w:customStyle="1" w:styleId="Heading4Char">
    <w:name w:val="Heading 4 Char"/>
    <w:basedOn w:val="DefaultParagraphFont"/>
    <w:link w:val="Heading4"/>
    <w:uiPriority w:val="9"/>
    <w:rsid w:val="00F234E7"/>
    <w:rPr>
      <w:rFonts w:asciiTheme="majorHAnsi" w:eastAsiaTheme="majorEastAsia" w:hAnsiTheme="majorHAnsi" w:cstheme="majorBidi"/>
      <w:b/>
      <w:bCs/>
      <w:i/>
      <w:iCs/>
      <w:color w:val="4F81BD" w:themeColor="accent1"/>
    </w:rPr>
  </w:style>
  <w:style w:type="character" w:customStyle="1" w:styleId="Heading5Char">
    <w:name w:val="Heading 5 Char"/>
    <w:aliases w:val="Heading Char,Poskyriai Char"/>
    <w:basedOn w:val="DefaultParagraphFont"/>
    <w:link w:val="Heading5"/>
    <w:rsid w:val="00F234E7"/>
    <w:rPr>
      <w:rFonts w:ascii="Times New Roman" w:eastAsia="Times New Roman" w:hAnsi="Times New Roman" w:cs="Times New Roman"/>
      <w:b/>
      <w:iCs/>
      <w:sz w:val="28"/>
      <w:szCs w:val="20"/>
      <w:lang w:val="en-US"/>
    </w:rPr>
  </w:style>
  <w:style w:type="paragraph" w:styleId="FootnoteText">
    <w:name w:val="footnote text"/>
    <w:basedOn w:val="Normal"/>
    <w:link w:val="FootnoteTextChar"/>
    <w:semiHidden/>
    <w:rsid w:val="00F234E7"/>
    <w:rPr>
      <w:sz w:val="20"/>
      <w:szCs w:val="20"/>
    </w:rPr>
  </w:style>
  <w:style w:type="character" w:customStyle="1" w:styleId="FootnoteTextChar">
    <w:name w:val="Footnote Text Char"/>
    <w:basedOn w:val="DefaultParagraphFont"/>
    <w:link w:val="FootnoteText"/>
    <w:semiHidden/>
    <w:rsid w:val="00F234E7"/>
    <w:rPr>
      <w:rFonts w:ascii="Times New Roman" w:eastAsia="Times New Roman" w:hAnsi="Times New Roman" w:cs="Times New Roman"/>
      <w:sz w:val="20"/>
      <w:szCs w:val="20"/>
      <w:lang w:val="en-US"/>
    </w:rPr>
  </w:style>
  <w:style w:type="character" w:styleId="FootnoteReference">
    <w:name w:val="footnote reference"/>
    <w:semiHidden/>
    <w:rsid w:val="00F234E7"/>
    <w:rPr>
      <w:vertAlign w:val="superscript"/>
    </w:rPr>
  </w:style>
  <w:style w:type="character" w:styleId="Hyperlink">
    <w:name w:val="Hyperlink"/>
    <w:uiPriority w:val="99"/>
    <w:rsid w:val="00F234E7"/>
    <w:rPr>
      <w:color w:val="0000FF"/>
      <w:u w:val="single"/>
    </w:rPr>
  </w:style>
  <w:style w:type="paragraph" w:styleId="Footer">
    <w:name w:val="footer"/>
    <w:basedOn w:val="Normal"/>
    <w:link w:val="FooterChar"/>
    <w:uiPriority w:val="99"/>
    <w:rsid w:val="00F234E7"/>
    <w:pPr>
      <w:tabs>
        <w:tab w:val="center" w:pos="4320"/>
        <w:tab w:val="right" w:pos="8640"/>
      </w:tabs>
    </w:pPr>
  </w:style>
  <w:style w:type="character" w:customStyle="1" w:styleId="FooterChar">
    <w:name w:val="Footer Char"/>
    <w:basedOn w:val="DefaultParagraphFont"/>
    <w:link w:val="Footer"/>
    <w:uiPriority w:val="99"/>
    <w:rsid w:val="00F234E7"/>
    <w:rPr>
      <w:rFonts w:ascii="Times New Roman" w:eastAsia="Times New Roman" w:hAnsi="Times New Roman" w:cs="Times New Roman"/>
      <w:sz w:val="24"/>
      <w:szCs w:val="24"/>
      <w:lang w:val="en-US"/>
    </w:rPr>
  </w:style>
  <w:style w:type="character" w:styleId="PageNumber">
    <w:name w:val="page number"/>
    <w:basedOn w:val="DefaultParagraphFont"/>
    <w:rsid w:val="00F234E7"/>
  </w:style>
  <w:style w:type="paragraph" w:styleId="BalloonText">
    <w:name w:val="Balloon Text"/>
    <w:basedOn w:val="Normal"/>
    <w:link w:val="BalloonTextChar"/>
    <w:rsid w:val="00F234E7"/>
    <w:rPr>
      <w:rFonts w:ascii="Lucida Grande" w:hAnsi="Lucida Grande"/>
      <w:sz w:val="18"/>
      <w:szCs w:val="18"/>
    </w:rPr>
  </w:style>
  <w:style w:type="character" w:customStyle="1" w:styleId="BalloonTextChar">
    <w:name w:val="Balloon Text Char"/>
    <w:basedOn w:val="DefaultParagraphFont"/>
    <w:link w:val="BalloonText"/>
    <w:rsid w:val="00F234E7"/>
    <w:rPr>
      <w:rFonts w:ascii="Lucida Grande" w:eastAsia="Times New Roman" w:hAnsi="Lucida Grande" w:cs="Times New Roman"/>
      <w:sz w:val="18"/>
      <w:szCs w:val="18"/>
      <w:lang w:val="en-US"/>
    </w:rPr>
  </w:style>
  <w:style w:type="character" w:styleId="CommentReference">
    <w:name w:val="annotation reference"/>
    <w:rsid w:val="00F234E7"/>
    <w:rPr>
      <w:sz w:val="18"/>
      <w:szCs w:val="18"/>
    </w:rPr>
  </w:style>
  <w:style w:type="paragraph" w:styleId="CommentText">
    <w:name w:val="annotation text"/>
    <w:basedOn w:val="Normal"/>
    <w:link w:val="CommentTextChar"/>
    <w:rsid w:val="00F234E7"/>
  </w:style>
  <w:style w:type="character" w:customStyle="1" w:styleId="CommentTextChar">
    <w:name w:val="Comment Text Char"/>
    <w:basedOn w:val="DefaultParagraphFont"/>
    <w:link w:val="CommentText"/>
    <w:rsid w:val="00F234E7"/>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rsid w:val="00F234E7"/>
    <w:rPr>
      <w:b/>
      <w:bCs/>
    </w:rPr>
  </w:style>
  <w:style w:type="character" w:customStyle="1" w:styleId="CommentSubjectChar">
    <w:name w:val="Comment Subject Char"/>
    <w:basedOn w:val="CommentTextChar"/>
    <w:link w:val="CommentSubject"/>
    <w:rsid w:val="00F234E7"/>
    <w:rPr>
      <w:b/>
      <w:bCs/>
    </w:rPr>
  </w:style>
  <w:style w:type="character" w:customStyle="1" w:styleId="apple-style-span">
    <w:name w:val="apple-style-span"/>
    <w:basedOn w:val="DefaultParagraphFont"/>
    <w:uiPriority w:val="99"/>
    <w:rsid w:val="00F234E7"/>
  </w:style>
  <w:style w:type="character" w:styleId="FollowedHyperlink">
    <w:name w:val="FollowedHyperlink"/>
    <w:rsid w:val="00F234E7"/>
    <w:rPr>
      <w:color w:val="800080"/>
      <w:u w:val="single"/>
    </w:rPr>
  </w:style>
  <w:style w:type="character" w:customStyle="1" w:styleId="apple-converted-space">
    <w:name w:val="apple-converted-space"/>
    <w:basedOn w:val="DefaultParagraphFont"/>
    <w:rsid w:val="00F234E7"/>
  </w:style>
  <w:style w:type="paragraph" w:styleId="Header">
    <w:name w:val="header"/>
    <w:basedOn w:val="Normal"/>
    <w:link w:val="HeaderChar"/>
    <w:rsid w:val="00F234E7"/>
    <w:pPr>
      <w:tabs>
        <w:tab w:val="center" w:pos="4819"/>
        <w:tab w:val="right" w:pos="9638"/>
      </w:tabs>
    </w:pPr>
  </w:style>
  <w:style w:type="character" w:customStyle="1" w:styleId="HeaderChar">
    <w:name w:val="Header Char"/>
    <w:basedOn w:val="DefaultParagraphFont"/>
    <w:link w:val="Header"/>
    <w:rsid w:val="00F234E7"/>
    <w:rPr>
      <w:rFonts w:ascii="Times New Roman" w:eastAsia="Times New Roman" w:hAnsi="Times New Roman" w:cs="Times New Roman"/>
      <w:sz w:val="24"/>
      <w:szCs w:val="24"/>
      <w:lang w:val="en-US"/>
    </w:rPr>
  </w:style>
  <w:style w:type="paragraph" w:styleId="Revision">
    <w:name w:val="Revision"/>
    <w:hidden/>
    <w:uiPriority w:val="71"/>
    <w:rsid w:val="00F234E7"/>
    <w:pPr>
      <w:spacing w:after="0" w:line="240" w:lineRule="auto"/>
    </w:pPr>
    <w:rPr>
      <w:rFonts w:ascii="Times New Roman" w:eastAsia="Times New Roman" w:hAnsi="Times New Roman" w:cs="Times New Roman"/>
      <w:sz w:val="24"/>
      <w:szCs w:val="24"/>
      <w:lang w:val="en-US"/>
    </w:rPr>
  </w:style>
  <w:style w:type="paragraph" w:styleId="Caption">
    <w:name w:val="caption"/>
    <w:basedOn w:val="Normal"/>
    <w:next w:val="Normal"/>
    <w:unhideWhenUsed/>
    <w:qFormat/>
    <w:rsid w:val="00F234E7"/>
    <w:rPr>
      <w:b/>
      <w:bCs/>
      <w:sz w:val="20"/>
      <w:szCs w:val="20"/>
    </w:rPr>
  </w:style>
  <w:style w:type="character" w:styleId="Strong">
    <w:name w:val="Strong"/>
    <w:basedOn w:val="DefaultParagraphFont"/>
    <w:uiPriority w:val="99"/>
    <w:qFormat/>
    <w:rsid w:val="00F234E7"/>
    <w:rPr>
      <w:b/>
      <w:bCs/>
    </w:rPr>
  </w:style>
  <w:style w:type="paragraph" w:customStyle="1" w:styleId="Bodytext">
    <w:name w:val="Body text"/>
    <w:basedOn w:val="Normal"/>
    <w:rsid w:val="00F234E7"/>
    <w:pPr>
      <w:suppressAutoHyphens/>
      <w:autoSpaceDE w:val="0"/>
      <w:autoSpaceDN w:val="0"/>
      <w:adjustRightInd w:val="0"/>
      <w:spacing w:line="298" w:lineRule="auto"/>
      <w:ind w:firstLine="312"/>
      <w:textAlignment w:val="center"/>
    </w:pPr>
    <w:rPr>
      <w:color w:val="000000"/>
      <w:sz w:val="20"/>
      <w:szCs w:val="20"/>
      <w:lang w:val="lt-LT"/>
    </w:rPr>
  </w:style>
  <w:style w:type="paragraph" w:styleId="BodyText2">
    <w:name w:val="Body Text 2"/>
    <w:basedOn w:val="Normal"/>
    <w:link w:val="BodyText2Char"/>
    <w:rsid w:val="00F234E7"/>
    <w:rPr>
      <w:color w:val="000000"/>
      <w:lang w:val="lt-LT"/>
    </w:rPr>
  </w:style>
  <w:style w:type="character" w:customStyle="1" w:styleId="BodyText2Char">
    <w:name w:val="Body Text 2 Char"/>
    <w:basedOn w:val="DefaultParagraphFont"/>
    <w:link w:val="BodyText2"/>
    <w:rsid w:val="00F234E7"/>
    <w:rPr>
      <w:rFonts w:ascii="Times New Roman" w:eastAsia="Times New Roman" w:hAnsi="Times New Roman" w:cs="Times New Roman"/>
      <w:color w:val="000000"/>
      <w:sz w:val="24"/>
      <w:szCs w:val="24"/>
    </w:rPr>
  </w:style>
  <w:style w:type="paragraph" w:styleId="ListParagraph">
    <w:name w:val="List Paragraph"/>
    <w:basedOn w:val="Normal"/>
    <w:uiPriority w:val="99"/>
    <w:qFormat/>
    <w:rsid w:val="00F234E7"/>
    <w:pPr>
      <w:ind w:left="1296"/>
    </w:pPr>
  </w:style>
  <w:style w:type="paragraph" w:styleId="TOCHeading">
    <w:name w:val="TOC Heading"/>
    <w:basedOn w:val="Heading1"/>
    <w:next w:val="Normal"/>
    <w:uiPriority w:val="39"/>
    <w:unhideWhenUsed/>
    <w:qFormat/>
    <w:rsid w:val="00DF19E8"/>
    <w:pPr>
      <w:spacing w:line="276" w:lineRule="auto"/>
      <w:jc w:val="left"/>
      <w:outlineLvl w:val="9"/>
    </w:pPr>
  </w:style>
  <w:style w:type="paragraph" w:styleId="TOC2">
    <w:name w:val="toc 2"/>
    <w:basedOn w:val="Normal"/>
    <w:next w:val="Normal"/>
    <w:autoRedefine/>
    <w:uiPriority w:val="39"/>
    <w:unhideWhenUsed/>
    <w:rsid w:val="00DF19E8"/>
    <w:pPr>
      <w:spacing w:after="100"/>
      <w:ind w:left="240"/>
    </w:pPr>
  </w:style>
  <w:style w:type="paragraph" w:styleId="TOC3">
    <w:name w:val="toc 3"/>
    <w:basedOn w:val="Normal"/>
    <w:next w:val="Normal"/>
    <w:autoRedefine/>
    <w:uiPriority w:val="39"/>
    <w:unhideWhenUsed/>
    <w:rsid w:val="00DF19E8"/>
    <w:pPr>
      <w:spacing w:after="100"/>
      <w:ind w:left="480"/>
    </w:pPr>
  </w:style>
  <w:style w:type="paragraph" w:styleId="TOC1">
    <w:name w:val="toc 1"/>
    <w:basedOn w:val="Normal"/>
    <w:next w:val="Normal"/>
    <w:autoRedefine/>
    <w:uiPriority w:val="39"/>
    <w:unhideWhenUsed/>
    <w:rsid w:val="00DF19E8"/>
    <w:pPr>
      <w:spacing w:after="100"/>
    </w:pPr>
  </w:style>
  <w:style w:type="paragraph" w:styleId="NoSpacing">
    <w:name w:val="No Spacing"/>
    <w:link w:val="NoSpacingChar"/>
    <w:uiPriority w:val="1"/>
    <w:qFormat/>
    <w:rsid w:val="00BB703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B703E"/>
    <w:rPr>
      <w:rFonts w:eastAsiaTheme="minorEastAsia"/>
      <w:lang w:val="en-US"/>
    </w:rPr>
  </w:style>
  <w:style w:type="paragraph" w:customStyle="1" w:styleId="Default">
    <w:name w:val="Default"/>
    <w:rsid w:val="008B2A7C"/>
    <w:pPr>
      <w:autoSpaceDE w:val="0"/>
      <w:autoSpaceDN w:val="0"/>
      <w:adjustRightInd w:val="0"/>
      <w:spacing w:after="0" w:line="240" w:lineRule="auto"/>
    </w:pPr>
    <w:rPr>
      <w:rFonts w:ascii="Times New Roman" w:hAnsi="Times New Roman" w:cs="Times New Roman"/>
      <w:color w:val="000000"/>
      <w:sz w:val="24"/>
      <w:szCs w:val="24"/>
    </w:rPr>
  </w:style>
  <w:style w:type="paragraph" w:styleId="BlockText">
    <w:name w:val="Block Text"/>
    <w:basedOn w:val="Default"/>
    <w:next w:val="Default"/>
    <w:uiPriority w:val="99"/>
    <w:rsid w:val="008B2A7C"/>
    <w:rPr>
      <w:color w:val="auto"/>
    </w:rPr>
  </w:style>
  <w:style w:type="character" w:customStyle="1" w:styleId="dpav">
    <w:name w:val="dpav"/>
    <w:basedOn w:val="DefaultParagraphFont"/>
    <w:rsid w:val="00D66BAC"/>
  </w:style>
</w:styles>
</file>

<file path=word/webSettings.xml><?xml version="1.0" encoding="utf-8"?>
<w:webSettings xmlns:r="http://schemas.openxmlformats.org/officeDocument/2006/relationships" xmlns:w="http://schemas.openxmlformats.org/wordprocessingml/2006/main">
  <w:divs>
    <w:div w:id="448398516">
      <w:bodyDiv w:val="1"/>
      <w:marLeft w:val="0"/>
      <w:marRight w:val="0"/>
      <w:marTop w:val="0"/>
      <w:marBottom w:val="0"/>
      <w:divBdr>
        <w:top w:val="none" w:sz="0" w:space="0" w:color="auto"/>
        <w:left w:val="none" w:sz="0" w:space="0" w:color="auto"/>
        <w:bottom w:val="none" w:sz="0" w:space="0" w:color="auto"/>
        <w:right w:val="none" w:sz="0" w:space="0" w:color="auto"/>
      </w:divBdr>
    </w:div>
    <w:div w:id="510873078">
      <w:bodyDiv w:val="1"/>
      <w:marLeft w:val="0"/>
      <w:marRight w:val="0"/>
      <w:marTop w:val="0"/>
      <w:marBottom w:val="0"/>
      <w:divBdr>
        <w:top w:val="none" w:sz="0" w:space="0" w:color="auto"/>
        <w:left w:val="none" w:sz="0" w:space="0" w:color="auto"/>
        <w:bottom w:val="none" w:sz="0" w:space="0" w:color="auto"/>
        <w:right w:val="none" w:sz="0" w:space="0" w:color="auto"/>
      </w:divBdr>
    </w:div>
    <w:div w:id="1445340694">
      <w:bodyDiv w:val="1"/>
      <w:marLeft w:val="0"/>
      <w:marRight w:val="0"/>
      <w:marTop w:val="0"/>
      <w:marBottom w:val="0"/>
      <w:divBdr>
        <w:top w:val="none" w:sz="0" w:space="0" w:color="auto"/>
        <w:left w:val="none" w:sz="0" w:space="0" w:color="auto"/>
        <w:bottom w:val="none" w:sz="0" w:space="0" w:color="auto"/>
        <w:right w:val="none" w:sz="0" w:space="0" w:color="auto"/>
      </w:divBdr>
    </w:div>
    <w:div w:id="204092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diagramColors" Target="diagrams/colors3.xml"/><Relationship Id="rId39" Type="http://schemas.openxmlformats.org/officeDocument/2006/relationships/hyperlink" Target="http://www.kam.lt/lt/naujienos_874/leidiniai_876.html" TargetMode="External"/><Relationship Id="rId21" Type="http://schemas.openxmlformats.org/officeDocument/2006/relationships/diagramColors" Target="diagrams/colors2.xml"/><Relationship Id="rId34" Type="http://schemas.openxmlformats.org/officeDocument/2006/relationships/hyperlink" Target="http://www.icj-cij.org/docket/files/53/5595.pdf" TargetMode="External"/><Relationship Id="rId42" Type="http://schemas.openxmlformats.org/officeDocument/2006/relationships/hyperlink" Target="http://www.nato.int/isaf/docu/epub/pdf/afghanistan_compact.pdf" TargetMode="External"/><Relationship Id="rId47" Type="http://schemas.openxmlformats.org/officeDocument/2006/relationships/hyperlink" Target="http://www.un.org/en/peacekeeping/missions/past/unprof_p.htm" TargetMode="External"/><Relationship Id="rId50" Type="http://schemas.openxmlformats.org/officeDocument/2006/relationships/hyperlink" Target="http://www.nato.int/cps/en/natolive/opinions_68723.htm" TargetMode="External"/><Relationship Id="rId55" Type="http://schemas.openxmlformats.org/officeDocument/2006/relationships/hyperlink" Target="http://www.un.org" TargetMode="External"/><Relationship Id="rId63" Type="http://schemas.openxmlformats.org/officeDocument/2006/relationships/hyperlink" Target="http://international.westlaw.com/result/default.wl?rltdb=CLID_DB59249204182510&amp;srch=TRUE&amp;db=WORLD-JLR&amp;sv=Split&amp;service=Search&amp;eq=search&amp;fmqv=s&amp;method=WIN&amp;action=Search&amp;query=United+Nations+peacekeeping:+development+and+prospects.&amp;mt=314&amp;fn=_top&amp;origin=Search&amp;vr=2.0&amp;rlt=CLID_QRYRLT66691374182510&amp;rp=/search/default.wl&amp;sp=intlith2-000&amp;cfid=1&amp;rs=WLIN10.10" TargetMode="Externa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diagramColors" Target="diagrams/colors1.xml"/><Relationship Id="rId29" Type="http://schemas.openxmlformats.org/officeDocument/2006/relationships/hyperlink" Target="http://www1.umn.edu/humanrts/instree/p&amp;i-convention.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diagramLayout" Target="diagrams/layout3.xml"/><Relationship Id="rId32" Type="http://schemas.openxmlformats.org/officeDocument/2006/relationships/hyperlink" Target="http://www.icj-cij.org/docket/files/131/1671.pdf" TargetMode="External"/><Relationship Id="rId37" Type="http://schemas.openxmlformats.org/officeDocument/2006/relationships/hyperlink" Target="http://www.icj-cij.org/docket/files/70/6503.pdf" TargetMode="External"/><Relationship Id="rId40" Type="http://schemas.openxmlformats.org/officeDocument/2006/relationships/hyperlink" Target="http://kariuomene.kam.lt" TargetMode="External"/><Relationship Id="rId45" Type="http://schemas.openxmlformats.org/officeDocument/2006/relationships/hyperlink" Target="http://pbpu.unlb.org/pbps/library/Capstone%20Doctrine%20--%20Consultation%20Draft.pdf" TargetMode="External"/><Relationship Id="rId53" Type="http://schemas.openxmlformats.org/officeDocument/2006/relationships/hyperlink" Target="http://www.urm.lt" TargetMode="External"/><Relationship Id="rId58" Type="http://schemas.openxmlformats.org/officeDocument/2006/relationships/hyperlink" Target="http://www.au.af.mil" TargetMode="External"/><Relationship Id="rId66"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diagramQuickStyle" Target="diagrams/quickStyle1.xml"/><Relationship Id="rId23" Type="http://schemas.openxmlformats.org/officeDocument/2006/relationships/diagramData" Target="diagrams/data3.xml"/><Relationship Id="rId28" Type="http://schemas.openxmlformats.org/officeDocument/2006/relationships/hyperlink" Target="http://untreaty.un.org/ilc/texts/instruments/english/conventions/1_2_1986.pdf" TargetMode="External"/><Relationship Id="rId36" Type="http://schemas.openxmlformats.org/officeDocument/2006/relationships/hyperlink" Target="http://www.icty.org/x/cases/tadic/acdec/en/51002.htm" TargetMode="External"/><Relationship Id="rId49" Type="http://schemas.openxmlformats.org/officeDocument/2006/relationships/hyperlink" Target="http://www.globalsecurity.org/military/library/policy/national/nss-020920.pdf" TargetMode="External"/><Relationship Id="rId57" Type="http://schemas.openxmlformats.org/officeDocument/2006/relationships/hyperlink" Target="http://www3.lrs.lt" TargetMode="External"/><Relationship Id="rId61" Type="http://schemas.openxmlformats.org/officeDocument/2006/relationships/hyperlink" Target="http://muse.jhu.edu/" TargetMode="External"/><Relationship Id="rId10" Type="http://schemas.openxmlformats.org/officeDocument/2006/relationships/footer" Target="footer2.xml"/><Relationship Id="rId19" Type="http://schemas.openxmlformats.org/officeDocument/2006/relationships/diagramLayout" Target="diagrams/layout2.xml"/><Relationship Id="rId31" Type="http://schemas.openxmlformats.org/officeDocument/2006/relationships/hyperlink" Target="http://www.icj-cij.org/docket/files/49/5259.pdf" TargetMode="External"/><Relationship Id="rId44" Type="http://schemas.openxmlformats.org/officeDocument/2006/relationships/hyperlink" Target="http://www.kam.lt/lt/naujienos_874/leidiniai_876.html" TargetMode="External"/><Relationship Id="rId52" Type="http://schemas.openxmlformats.org/officeDocument/2006/relationships/hyperlink" Target="http://www.crisisgroup.org/~/media/Files/asia/south-asia/afghanistan/145_afghanistan___the_need_for_international_resolve.ashx" TargetMode="External"/><Relationship Id="rId60" Type="http://schemas.openxmlformats.org/officeDocument/2006/relationships/hyperlink" Target="http://papers.ssrn.com" TargetMode="External"/><Relationship Id="rId65" Type="http://schemas.openxmlformats.org/officeDocument/2006/relationships/hyperlink" Target="http://heinonline.org"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diagramLayout" Target="diagrams/layout1.xml"/><Relationship Id="rId22" Type="http://schemas.microsoft.com/office/2007/relationships/diagramDrawing" Target="diagrams/drawing2.xml"/><Relationship Id="rId27" Type="http://schemas.microsoft.com/office/2007/relationships/diagramDrawing" Target="diagrams/drawing3.xml"/><Relationship Id="rId30" Type="http://schemas.openxmlformats.org/officeDocument/2006/relationships/hyperlink" Target="http://www.un.org/law/cod/safety.htm" TargetMode="External"/><Relationship Id="rId35" Type="http://schemas.openxmlformats.org/officeDocument/2006/relationships/hyperlink" Target="http://supreme.justia.com/us/11/116/case.html" TargetMode="External"/><Relationship Id="rId43" Type="http://schemas.openxmlformats.org/officeDocument/2006/relationships/hyperlink" Target="http://www.kam.lt/lt/gynybos_politika_490/aktualus_dokumentai_492/ataskaitos_498.html" TargetMode="External"/><Relationship Id="rId48" Type="http://schemas.openxmlformats.org/officeDocument/2006/relationships/hyperlink" Target="http://www.nato.int/docu/pr/2001/p01-124e.htm" TargetMode="External"/><Relationship Id="rId56" Type="http://schemas.openxmlformats.org/officeDocument/2006/relationships/hyperlink" Target="http://www.nato.intl" TargetMode="External"/><Relationship Id="rId64" Type="http://schemas.openxmlformats.org/officeDocument/2006/relationships/hyperlink" Target="http://jcsl.oxfordjournals.org" TargetMode="Externa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crisisgroup.org/~/media/Files/asia/south-asia/afghanistan/B115%20Afghanistan%20--%20Exit%20vs%20Engagement.ashx" TargetMode="External"/><Relationship Id="rId3" Type="http://schemas.openxmlformats.org/officeDocument/2006/relationships/numbering" Target="numbering.xml"/><Relationship Id="rId12" Type="http://schemas.openxmlformats.org/officeDocument/2006/relationships/footer" Target="footer4.xml"/><Relationship Id="rId17" Type="http://schemas.microsoft.com/office/2007/relationships/diagramDrawing" Target="diagrams/drawing1.xml"/><Relationship Id="rId25" Type="http://schemas.openxmlformats.org/officeDocument/2006/relationships/diagramQuickStyle" Target="diagrams/quickStyle3.xml"/><Relationship Id="rId33" Type="http://schemas.openxmlformats.org/officeDocument/2006/relationships/hyperlink" Target="http://www.icj-cij.org/docket/index.php?p1=3&amp;p2=4&amp;k=5a&amp;case=131&amp;code=mwp&amp;p3=4" TargetMode="External"/><Relationship Id="rId38" Type="http://schemas.openxmlformats.org/officeDocument/2006/relationships/hyperlink" Target="http://www.austlii.edu.au/au/journals/NewcLawRw/2000/3.html" TargetMode="External"/><Relationship Id="rId46" Type="http://schemas.openxmlformats.org/officeDocument/2006/relationships/hyperlink" Target="http://untreaty.un.org/cod/avl/ha/ufp/ufp.html" TargetMode="External"/><Relationship Id="rId59" Type="http://schemas.openxmlformats.org/officeDocument/2006/relationships/hyperlink" Target="http://www.austlii.edu.au" TargetMode="External"/><Relationship Id="rId67" Type="http://schemas.openxmlformats.org/officeDocument/2006/relationships/footer" Target="footer6.xml"/><Relationship Id="rId20" Type="http://schemas.openxmlformats.org/officeDocument/2006/relationships/diagramQuickStyle" Target="diagrams/quickStyle2.xml"/><Relationship Id="rId41" Type="http://schemas.openxmlformats.org/officeDocument/2006/relationships/hyperlink" Target="http://www.embassyofafghanistan.org/documents/Afghanistan_National_Development_Strategy_eng.pdf" TargetMode="External"/><Relationship Id="rId54" Type="http://schemas.openxmlformats.org/officeDocument/2006/relationships/hyperlink" Target="http://www.kam.lt" TargetMode="External"/><Relationship Id="rId62" Type="http://schemas.openxmlformats.org/officeDocument/2006/relationships/hyperlink" Target="http://site.ebrary.com"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untreaty.un.org/" TargetMode="External"/><Relationship Id="rId21" Type="http://schemas.openxmlformats.org/officeDocument/2006/relationships/hyperlink" Target="http://www.un.org/peace/reports/peace_operations/" TargetMode="External"/><Relationship Id="rId42" Type="http://schemas.openxmlformats.org/officeDocument/2006/relationships/hyperlink" Target="http://daccess-dds-ny.un.org/" TargetMode="External"/><Relationship Id="rId47" Type="http://schemas.openxmlformats.org/officeDocument/2006/relationships/hyperlink" Target="http://daccess-dds-ny.un.org/" TargetMode="External"/><Relationship Id="rId63" Type="http://schemas.openxmlformats.org/officeDocument/2006/relationships/hyperlink" Target="http://papers.ssrn.com" TargetMode="External"/><Relationship Id="rId68" Type="http://schemas.openxmlformats.org/officeDocument/2006/relationships/hyperlink" Target="http://www.un.org/en" TargetMode="External"/><Relationship Id="rId84" Type="http://schemas.openxmlformats.org/officeDocument/2006/relationships/hyperlink" Target="http://jcsl.oxfordjournals.org" TargetMode="External"/><Relationship Id="rId89" Type="http://schemas.openxmlformats.org/officeDocument/2006/relationships/hyperlink" Target="http://www.globalsecurity.org" TargetMode="External"/><Relationship Id="rId112" Type="http://schemas.openxmlformats.org/officeDocument/2006/relationships/hyperlink" Target="http://www.urm.lt/index.php?475826570" TargetMode="External"/><Relationship Id="rId16" Type="http://schemas.openxmlformats.org/officeDocument/2006/relationships/hyperlink" Target="http://papers.ssrn.com/sol3/papers.cfm?abstract_id=1018731" TargetMode="External"/><Relationship Id="rId107" Type="http://schemas.openxmlformats.org/officeDocument/2006/relationships/hyperlink" Target="http://kariuomene.kam.lt" TargetMode="External"/><Relationship Id="rId11" Type="http://schemas.openxmlformats.org/officeDocument/2006/relationships/hyperlink" Target="http://international.westlaw.com/result/default.wl?rltdb=CLID_DB59249204182510&amp;srch=TRUE&amp;db=WORLD-JLR&amp;sv=Split&amp;service=Search&amp;eq=search&amp;fmqv=s&amp;method=WIN&amp;action=Search&amp;query=United+Nations+peacekeeping:+development+and+prospects.&amp;mt=314&amp;fn=_top&amp;origin=Search&amp;vr=2.0&amp;rlt=CLID_QRYRLT66691374182510&amp;rp=/search/default.wl&amp;sp=intlith2-000&amp;cfid=1&amp;rs=WLIN10.10" TargetMode="External"/><Relationship Id="rId24" Type="http://schemas.openxmlformats.org/officeDocument/2006/relationships/hyperlink" Target="http://www3.lrs.lt" TargetMode="External"/><Relationship Id="rId32" Type="http://schemas.openxmlformats.org/officeDocument/2006/relationships/hyperlink" Target="http://www.icj-cij.org/docket/files/131/1671.pdf" TargetMode="External"/><Relationship Id="rId37" Type="http://schemas.openxmlformats.org/officeDocument/2006/relationships/hyperlink" Target="http://daccess-ods.un.org/" TargetMode="External"/><Relationship Id="rId40" Type="http://schemas.openxmlformats.org/officeDocument/2006/relationships/hyperlink" Target="http://jcsl.oxfordjournals.org/" TargetMode="External"/><Relationship Id="rId45" Type="http://schemas.openxmlformats.org/officeDocument/2006/relationships/hyperlink" Target="http://supreme.justia.com/us/11/116/case.html" TargetMode="External"/><Relationship Id="rId53" Type="http://schemas.openxmlformats.org/officeDocument/2006/relationships/hyperlink" Target="http://www.icty.org/x/cases/tadic/acdec/en/51002.htm" TargetMode="External"/><Relationship Id="rId58" Type="http://schemas.openxmlformats.org/officeDocument/2006/relationships/hyperlink" Target="http://daccess-dds-ny.un.org/" TargetMode="External"/><Relationship Id="rId66" Type="http://schemas.openxmlformats.org/officeDocument/2006/relationships/hyperlink" Target="http://daccess-dds-ny.un.org/" TargetMode="External"/><Relationship Id="rId74" Type="http://schemas.openxmlformats.org/officeDocument/2006/relationships/hyperlink" Target="http://muse.jhu.edu/" TargetMode="External"/><Relationship Id="rId79" Type="http://schemas.openxmlformats.org/officeDocument/2006/relationships/hyperlink" Target="http://www.icj-cij.org" TargetMode="External"/><Relationship Id="rId87" Type="http://schemas.openxmlformats.org/officeDocument/2006/relationships/hyperlink" Target="http://daccess-dds-ny.un.org" TargetMode="External"/><Relationship Id="rId102" Type="http://schemas.openxmlformats.org/officeDocument/2006/relationships/hyperlink" Target="http://kariuomene.kam.lt/lt/tarptautines_operacijos_786/afganistanas_2730/lietuvos_dalyvavimo_afganistane_strategija.html" TargetMode="External"/><Relationship Id="rId110" Type="http://schemas.openxmlformats.org/officeDocument/2006/relationships/hyperlink" Target="http://www.embassyofafghanistan.org" TargetMode="External"/><Relationship Id="rId115" Type="http://schemas.openxmlformats.org/officeDocument/2006/relationships/hyperlink" Target="http://www.kam.lt/" TargetMode="External"/><Relationship Id="rId5" Type="http://schemas.openxmlformats.org/officeDocument/2006/relationships/hyperlink" Target="http://www.un.org/en/peacekeeping/" TargetMode="External"/><Relationship Id="rId61" Type="http://schemas.openxmlformats.org/officeDocument/2006/relationships/hyperlink" Target="http://daccess-dds-ny.un.org/" TargetMode="External"/><Relationship Id="rId82" Type="http://schemas.openxmlformats.org/officeDocument/2006/relationships/hyperlink" Target="http://daccess-dds-ny.un.org" TargetMode="External"/><Relationship Id="rId90" Type="http://schemas.openxmlformats.org/officeDocument/2006/relationships/hyperlink" Target="http://www.nato.int/" TargetMode="External"/><Relationship Id="rId95" Type="http://schemas.openxmlformats.org/officeDocument/2006/relationships/hyperlink" Target="http://www.isaf.nato.int/history.html" TargetMode="External"/><Relationship Id="rId19" Type="http://schemas.openxmlformats.org/officeDocument/2006/relationships/hyperlink" Target="http://www3.lrs.lt" TargetMode="External"/><Relationship Id="rId14" Type="http://schemas.openxmlformats.org/officeDocument/2006/relationships/hyperlink" Target="http://www3.lrs.lt" TargetMode="External"/><Relationship Id="rId22" Type="http://schemas.openxmlformats.org/officeDocument/2006/relationships/hyperlink" Target="http://www.icj-cij.org/docket/files/49/5259.pdf" TargetMode="External"/><Relationship Id="rId27" Type="http://schemas.openxmlformats.org/officeDocument/2006/relationships/hyperlink" Target="http://www.un.org" TargetMode="External"/><Relationship Id="rId30" Type="http://schemas.openxmlformats.org/officeDocument/2006/relationships/hyperlink" Target="http://www.icj-cij.org/docket/files/131/1671.pdf" TargetMode="External"/><Relationship Id="rId35" Type="http://schemas.openxmlformats.org/officeDocument/2006/relationships/hyperlink" Target="http://www.icj-cij.org/docket/index.php?p1=3&amp;p2=4&amp;k=4a&amp;case=49&amp;code=ceun&amp;p3=4" TargetMode="External"/><Relationship Id="rId43" Type="http://schemas.openxmlformats.org/officeDocument/2006/relationships/hyperlink" Target="http://www1.umn.edu" TargetMode="External"/><Relationship Id="rId48" Type="http://schemas.openxmlformats.org/officeDocument/2006/relationships/hyperlink" Target="http://daccess-dds-ny.un.org" TargetMode="External"/><Relationship Id="rId56" Type="http://schemas.openxmlformats.org/officeDocument/2006/relationships/hyperlink" Target="http://daccess-dds-ny.un.org/" TargetMode="External"/><Relationship Id="rId64" Type="http://schemas.openxmlformats.org/officeDocument/2006/relationships/hyperlink" Target="http://daccess-dds-ny.un.org/" TargetMode="External"/><Relationship Id="rId69" Type="http://schemas.openxmlformats.org/officeDocument/2006/relationships/hyperlink" Target="http://www3.lrs.lt" TargetMode="External"/><Relationship Id="rId77" Type="http://schemas.openxmlformats.org/officeDocument/2006/relationships/hyperlink" Target="http://www.nato.int/docu/pr/2001/p01-124e.htm" TargetMode="External"/><Relationship Id="rId100" Type="http://schemas.openxmlformats.org/officeDocument/2006/relationships/hyperlink" Target="http://www3.lrs.lt" TargetMode="External"/><Relationship Id="rId105" Type="http://schemas.openxmlformats.org/officeDocument/2006/relationships/hyperlink" Target="http://www.kam.lt/lt/naujienos_874/leidiniai_876.html" TargetMode="External"/><Relationship Id="rId113" Type="http://schemas.openxmlformats.org/officeDocument/2006/relationships/hyperlink" Target="http://www.kam.lt/lt/veikla_576/biudzetas_538.html" TargetMode="External"/><Relationship Id="rId8" Type="http://schemas.openxmlformats.org/officeDocument/2006/relationships/hyperlink" Target="http://site.ebrary.com" TargetMode="External"/><Relationship Id="rId51" Type="http://schemas.openxmlformats.org/officeDocument/2006/relationships/hyperlink" Target="http://www.icrc.org/eng/resources/documents/misc/57jq7l.htm" TargetMode="External"/><Relationship Id="rId72" Type="http://schemas.openxmlformats.org/officeDocument/2006/relationships/hyperlink" Target="http://daccess-dds-ny.un.org/" TargetMode="External"/><Relationship Id="rId80" Type="http://schemas.openxmlformats.org/officeDocument/2006/relationships/hyperlink" Target="http://www.icj-cij.org/" TargetMode="External"/><Relationship Id="rId85" Type="http://schemas.openxmlformats.org/officeDocument/2006/relationships/hyperlink" Target="http://www.unhcr.org/refworld/docid/3f48f4754.html" TargetMode="External"/><Relationship Id="rId93" Type="http://schemas.openxmlformats.org/officeDocument/2006/relationships/hyperlink" Target="http://www.isaf.nato.int/history.html" TargetMode="External"/><Relationship Id="rId98" Type="http://schemas.openxmlformats.org/officeDocument/2006/relationships/hyperlink" Target="http://www3.lrs.lt" TargetMode="External"/><Relationship Id="rId3" Type="http://schemas.openxmlformats.org/officeDocument/2006/relationships/hyperlink" Target="http://pbpu.unlb.org/" TargetMode="External"/><Relationship Id="rId12" Type="http://schemas.openxmlformats.org/officeDocument/2006/relationships/hyperlink" Target="http://www.austlii.edu.au/" TargetMode="External"/><Relationship Id="rId17" Type="http://schemas.openxmlformats.org/officeDocument/2006/relationships/hyperlink" Target="http://www.icj-cij.org/docket/files/49/5259.pdf" TargetMode="External"/><Relationship Id="rId25" Type="http://schemas.openxmlformats.org/officeDocument/2006/relationships/hyperlink" Target="http://www3.lrs.lt" TargetMode="External"/><Relationship Id="rId33" Type="http://schemas.openxmlformats.org/officeDocument/2006/relationships/hyperlink" Target="http://www3.lrs.lt/pls/inter3/dokpaieska.showdoc_l?p_id=160266&amp;p_query=&amp;p_tr2=" TargetMode="External"/><Relationship Id="rId38" Type="http://schemas.openxmlformats.org/officeDocument/2006/relationships/hyperlink" Target="http://papers.ssrn.com/" TargetMode="External"/><Relationship Id="rId46" Type="http://schemas.openxmlformats.org/officeDocument/2006/relationships/hyperlink" Target="http://jcsl.oxfordjournals.org/" TargetMode="External"/><Relationship Id="rId59" Type="http://schemas.openxmlformats.org/officeDocument/2006/relationships/hyperlink" Target="http://daccess-dds-ny.un.org/" TargetMode="External"/><Relationship Id="rId67" Type="http://schemas.openxmlformats.org/officeDocument/2006/relationships/hyperlink" Target="http://daccess-dds-ny.un.org/" TargetMode="External"/><Relationship Id="rId103" Type="http://schemas.openxmlformats.org/officeDocument/2006/relationships/hyperlink" Target="http://www.kam.lt/lt/teisine_informacija_568/teises_aktai_569/isakymai.html" TargetMode="External"/><Relationship Id="rId108" Type="http://schemas.openxmlformats.org/officeDocument/2006/relationships/hyperlink" Target="http://www.isaf.nato.int/" TargetMode="External"/><Relationship Id="rId20" Type="http://schemas.openxmlformats.org/officeDocument/2006/relationships/hyperlink" Target="http://www3.lrs.lt" TargetMode="External"/><Relationship Id="rId41" Type="http://schemas.openxmlformats.org/officeDocument/2006/relationships/hyperlink" Target="http://untreaty.un.org/" TargetMode="External"/><Relationship Id="rId54" Type="http://schemas.openxmlformats.org/officeDocument/2006/relationships/hyperlink" Target="http://daccess-dds-ny.un.org/" TargetMode="External"/><Relationship Id="rId62" Type="http://schemas.openxmlformats.org/officeDocument/2006/relationships/hyperlink" Target="http://www.unhcr.org/" TargetMode="External"/><Relationship Id="rId70" Type="http://schemas.openxmlformats.org/officeDocument/2006/relationships/hyperlink" Target="http://www3.lrs.lt" TargetMode="External"/><Relationship Id="rId75" Type="http://schemas.openxmlformats.org/officeDocument/2006/relationships/hyperlink" Target="http://jcsl.oxfordjournals.org" TargetMode="External"/><Relationship Id="rId83" Type="http://schemas.openxmlformats.org/officeDocument/2006/relationships/hyperlink" Target="http://jcsl.oxfordjournals.org" TargetMode="External"/><Relationship Id="rId88" Type="http://schemas.openxmlformats.org/officeDocument/2006/relationships/hyperlink" Target="http://unama.unmissions.org/" TargetMode="External"/><Relationship Id="rId91" Type="http://schemas.openxmlformats.org/officeDocument/2006/relationships/hyperlink" Target="http://www.crisisgroup.org/" TargetMode="External"/><Relationship Id="rId96" Type="http://schemas.openxmlformats.org/officeDocument/2006/relationships/hyperlink" Target="http://daccess-dds-ny.un.org" TargetMode="External"/><Relationship Id="rId111" Type="http://schemas.openxmlformats.org/officeDocument/2006/relationships/hyperlink" Target="http://www.kam.lt" TargetMode="External"/><Relationship Id="rId1" Type="http://schemas.openxmlformats.org/officeDocument/2006/relationships/hyperlink" Target="http://www.kam.lt/lt/naujienos_874/leidiniai_876.html" TargetMode="External"/><Relationship Id="rId6" Type="http://schemas.openxmlformats.org/officeDocument/2006/relationships/hyperlink" Target="http://muse.jhu.edu/" TargetMode="External"/><Relationship Id="rId15" Type="http://schemas.openxmlformats.org/officeDocument/2006/relationships/hyperlink" Target="http://www.icj-cij.org/docket/files/4/1835.pdf" TargetMode="External"/><Relationship Id="rId23" Type="http://schemas.openxmlformats.org/officeDocument/2006/relationships/hyperlink" Target="http://www.icj-cij.org/docket/files/53/5595.pdf" TargetMode="External"/><Relationship Id="rId28" Type="http://schemas.openxmlformats.org/officeDocument/2006/relationships/hyperlink" Target="http://www.icj-cij.org/docket/files/131/1671.pdf" TargetMode="External"/><Relationship Id="rId36" Type="http://schemas.openxmlformats.org/officeDocument/2006/relationships/hyperlink" Target="http://daccess-ods.un.org/" TargetMode="External"/><Relationship Id="rId49" Type="http://schemas.openxmlformats.org/officeDocument/2006/relationships/hyperlink" Target="http://www.au.af.mil/" TargetMode="External"/><Relationship Id="rId57" Type="http://schemas.openxmlformats.org/officeDocument/2006/relationships/hyperlink" Target="http://papers.ssrn.com/" TargetMode="External"/><Relationship Id="rId106" Type="http://schemas.openxmlformats.org/officeDocument/2006/relationships/hyperlink" Target="http://www.kam.lt/" TargetMode="External"/><Relationship Id="rId114" Type="http://schemas.openxmlformats.org/officeDocument/2006/relationships/hyperlink" Target="http://www3.lrs.lt" TargetMode="External"/><Relationship Id="rId10" Type="http://schemas.openxmlformats.org/officeDocument/2006/relationships/hyperlink" Target="http://daccess-dds-ny.un.org/" TargetMode="External"/><Relationship Id="rId31" Type="http://schemas.openxmlformats.org/officeDocument/2006/relationships/hyperlink" Target="http://www3.lrs.lt/pls/inter3/dokpaieska.showdoc_l?p_id=160266&amp;p_query=&amp;p_tr2=" TargetMode="External"/><Relationship Id="rId44" Type="http://schemas.openxmlformats.org/officeDocument/2006/relationships/hyperlink" Target="http://www.un.org" TargetMode="External"/><Relationship Id="rId52" Type="http://schemas.openxmlformats.org/officeDocument/2006/relationships/hyperlink" Target="http://www.un.org/law/cod/safety.htm" TargetMode="External"/><Relationship Id="rId60" Type="http://schemas.openxmlformats.org/officeDocument/2006/relationships/hyperlink" Target="http://daccess-dds-ny.un.org/" TargetMode="External"/><Relationship Id="rId65" Type="http://schemas.openxmlformats.org/officeDocument/2006/relationships/hyperlink" Target="http://heinonline.org" TargetMode="External"/><Relationship Id="rId73" Type="http://schemas.openxmlformats.org/officeDocument/2006/relationships/hyperlink" Target="http://www.unhcr.org/" TargetMode="External"/><Relationship Id="rId78" Type="http://schemas.openxmlformats.org/officeDocument/2006/relationships/hyperlink" Target="http://www.unimiskolc.hu" TargetMode="External"/><Relationship Id="rId81" Type="http://schemas.openxmlformats.org/officeDocument/2006/relationships/hyperlink" Target="http://daccess-dds-ny.un.org" TargetMode="External"/><Relationship Id="rId86" Type="http://schemas.openxmlformats.org/officeDocument/2006/relationships/hyperlink" Target="http://daccess-dds-ny.un.org" TargetMode="External"/><Relationship Id="rId94" Type="http://schemas.openxmlformats.org/officeDocument/2006/relationships/hyperlink" Target="http://daccess-dds-ny.un.org" TargetMode="External"/><Relationship Id="rId99" Type="http://schemas.openxmlformats.org/officeDocument/2006/relationships/hyperlink" Target="http://www3.lrs.lt" TargetMode="External"/><Relationship Id="rId101" Type="http://schemas.openxmlformats.org/officeDocument/2006/relationships/hyperlink" Target="http://www3.lrs.lt" TargetMode="External"/><Relationship Id="rId4" Type="http://schemas.openxmlformats.org/officeDocument/2006/relationships/hyperlink" Target="http://papers.ssrn.com" TargetMode="External"/><Relationship Id="rId9" Type="http://schemas.openxmlformats.org/officeDocument/2006/relationships/hyperlink" Target="http://papers.ssrn.com/sol3/papers.cfm?abstract_id=1450558" TargetMode="External"/><Relationship Id="rId13" Type="http://schemas.openxmlformats.org/officeDocument/2006/relationships/hyperlink" Target="http://www.un.org/Docs/SG/agpeace.html" TargetMode="External"/><Relationship Id="rId18" Type="http://schemas.openxmlformats.org/officeDocument/2006/relationships/hyperlink" Target="http://www3.lrs.lt" TargetMode="External"/><Relationship Id="rId39" Type="http://schemas.openxmlformats.org/officeDocument/2006/relationships/hyperlink" Target="http://untreaty.un.org/" TargetMode="External"/><Relationship Id="rId109" Type="http://schemas.openxmlformats.org/officeDocument/2006/relationships/hyperlink" Target="http://www.kam.lt/" TargetMode="External"/><Relationship Id="rId34" Type="http://schemas.openxmlformats.org/officeDocument/2006/relationships/hyperlink" Target="http://www.icj-cij.org/docket/files/49/5259.pdf" TargetMode="External"/><Relationship Id="rId50" Type="http://schemas.openxmlformats.org/officeDocument/2006/relationships/hyperlink" Target="http://papers.ssrn.com/sol3/papers.cfm?abstract_id=1002921" TargetMode="External"/><Relationship Id="rId55" Type="http://schemas.openxmlformats.org/officeDocument/2006/relationships/hyperlink" Target="http://daccess-dds-ny.un.org/" TargetMode="External"/><Relationship Id="rId76" Type="http://schemas.openxmlformats.org/officeDocument/2006/relationships/hyperlink" Target="http://www.icj-cij.org/docket/files/70/6503.pdf" TargetMode="External"/><Relationship Id="rId97" Type="http://schemas.openxmlformats.org/officeDocument/2006/relationships/hyperlink" Target="http://www.nato.int/isaf/docu/epub/pdf/afghanistan_compact.pdf" TargetMode="External"/><Relationship Id="rId104" Type="http://schemas.openxmlformats.org/officeDocument/2006/relationships/hyperlink" Target="http://www3.lrs.lt" TargetMode="External"/><Relationship Id="rId7" Type="http://schemas.openxmlformats.org/officeDocument/2006/relationships/hyperlink" Target="http://www.thefreedictionary.com/buffer+zone" TargetMode="External"/><Relationship Id="rId71" Type="http://schemas.openxmlformats.org/officeDocument/2006/relationships/hyperlink" Target="http://www.un.org" TargetMode="External"/><Relationship Id="rId92" Type="http://schemas.openxmlformats.org/officeDocument/2006/relationships/hyperlink" Target="http://www.crisisgroup.org/" TargetMode="External"/><Relationship Id="rId2" Type="http://schemas.openxmlformats.org/officeDocument/2006/relationships/hyperlink" Target="http://www.kam.lt/lt/gynybos_politika_490/lietuvos_gynybos_politika_491.html" TargetMode="External"/><Relationship Id="rId29" Type="http://schemas.openxmlformats.org/officeDocument/2006/relationships/hyperlink" Target="http://www3.lrs.lt/pls/inter3/dokpaieska.showdoc_l?p_id=160266&amp;p_query=&amp;p_tr2="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700C756-7545-4B86-BB09-D0E55A068C61}" type="doc">
      <dgm:prSet loTypeId="urn:microsoft.com/office/officeart/2005/8/layout/hList6" loCatId="list" qsTypeId="urn:microsoft.com/office/officeart/2005/8/quickstyle/simple4" qsCatId="simple" csTypeId="urn:microsoft.com/office/officeart/2005/8/colors/accent1_2" csCatId="accent1" phldr="1"/>
      <dgm:spPr/>
      <dgm:t>
        <a:bodyPr/>
        <a:lstStyle/>
        <a:p>
          <a:endParaRPr lang="en-US"/>
        </a:p>
      </dgm:t>
    </dgm:pt>
    <dgm:pt modelId="{6FB06811-CA64-4033-A6D8-E8D76D02D8AD}">
      <dgm:prSet phldrT="[Text]"/>
      <dgm:spPr/>
      <dgm:t>
        <a:bodyPr/>
        <a:lstStyle/>
        <a:p>
          <a:r>
            <a:rPr lang="lt-LT"/>
            <a:t>VI skyrius</a:t>
          </a:r>
          <a:endParaRPr lang="en-US"/>
        </a:p>
      </dgm:t>
    </dgm:pt>
    <dgm:pt modelId="{C6F6A5B5-E909-4AAF-B944-A8172786A48C}" type="parTrans" cxnId="{D2521638-811C-4D6B-B0C0-6915685F80AE}">
      <dgm:prSet/>
      <dgm:spPr/>
      <dgm:t>
        <a:bodyPr/>
        <a:lstStyle/>
        <a:p>
          <a:endParaRPr lang="en-US"/>
        </a:p>
      </dgm:t>
    </dgm:pt>
    <dgm:pt modelId="{02CD0B04-1CAE-4719-BA30-59E898607118}" type="sibTrans" cxnId="{D2521638-811C-4D6B-B0C0-6915685F80AE}">
      <dgm:prSet/>
      <dgm:spPr/>
      <dgm:t>
        <a:bodyPr/>
        <a:lstStyle/>
        <a:p>
          <a:endParaRPr lang="en-US"/>
        </a:p>
      </dgm:t>
    </dgm:pt>
    <dgm:pt modelId="{3C75A92B-C0A4-4C0D-8012-89AAC3617D4D}">
      <dgm:prSet phldrT="[Text]"/>
      <dgm:spPr/>
      <dgm:t>
        <a:bodyPr/>
        <a:lstStyle/>
        <a:p>
          <a:r>
            <a:rPr lang="lt-LT"/>
            <a:t> Prevencinė diplomatija</a:t>
          </a:r>
          <a:endParaRPr lang="en-US"/>
        </a:p>
      </dgm:t>
    </dgm:pt>
    <dgm:pt modelId="{A7479E6F-82E3-4741-94EB-6DDA3AEBFAAC}" type="parTrans" cxnId="{02A464A0-6B62-4AEC-A2AB-7A0313722658}">
      <dgm:prSet/>
      <dgm:spPr/>
      <dgm:t>
        <a:bodyPr/>
        <a:lstStyle/>
        <a:p>
          <a:endParaRPr lang="en-US"/>
        </a:p>
      </dgm:t>
    </dgm:pt>
    <dgm:pt modelId="{423C7425-0CC6-44D1-9CA0-6E53F97DF53A}" type="sibTrans" cxnId="{02A464A0-6B62-4AEC-A2AB-7A0313722658}">
      <dgm:prSet/>
      <dgm:spPr/>
      <dgm:t>
        <a:bodyPr/>
        <a:lstStyle/>
        <a:p>
          <a:endParaRPr lang="en-US"/>
        </a:p>
      </dgm:t>
    </dgm:pt>
    <dgm:pt modelId="{1B214DFD-AE00-4BC7-8C75-92E2D1B23A05}">
      <dgm:prSet phldrT="[Text]"/>
      <dgm:spPr/>
      <dgm:t>
        <a:bodyPr/>
        <a:lstStyle/>
        <a:p>
          <a:r>
            <a:rPr lang="lt-LT"/>
            <a:t>VI </a:t>
          </a:r>
          <a:r>
            <a:rPr lang="lt-LT">
              <a:latin typeface="Times New Roman"/>
              <a:cs typeface="Times New Roman"/>
            </a:rPr>
            <a:t>½</a:t>
          </a:r>
          <a:r>
            <a:rPr lang="en-US">
              <a:latin typeface="Times New Roman"/>
              <a:cs typeface="Times New Roman"/>
            </a:rPr>
            <a:t> </a:t>
          </a:r>
          <a:r>
            <a:rPr lang="lt-LT"/>
            <a:t>skyrius</a:t>
          </a:r>
        </a:p>
      </dgm:t>
    </dgm:pt>
    <dgm:pt modelId="{47D8E3B9-0044-4CEA-8B74-C4A771316307}" type="parTrans" cxnId="{F5580464-D39E-47AA-9BA3-2BECB2058C0D}">
      <dgm:prSet/>
      <dgm:spPr/>
      <dgm:t>
        <a:bodyPr/>
        <a:lstStyle/>
        <a:p>
          <a:endParaRPr lang="en-US"/>
        </a:p>
      </dgm:t>
    </dgm:pt>
    <dgm:pt modelId="{92433CA0-B5A9-4891-ACD2-46797E6EED07}" type="sibTrans" cxnId="{F5580464-D39E-47AA-9BA3-2BECB2058C0D}">
      <dgm:prSet/>
      <dgm:spPr/>
      <dgm:t>
        <a:bodyPr/>
        <a:lstStyle/>
        <a:p>
          <a:endParaRPr lang="en-US"/>
        </a:p>
      </dgm:t>
    </dgm:pt>
    <dgm:pt modelId="{0DF73FDD-7249-490C-B4C1-D3074F5B9776}">
      <dgm:prSet phldrT="[Text]"/>
      <dgm:spPr/>
      <dgm:t>
        <a:bodyPr/>
        <a:lstStyle/>
        <a:p>
          <a:r>
            <a:rPr lang="lt-LT"/>
            <a:t>VII skyrius</a:t>
          </a:r>
          <a:endParaRPr lang="en-US"/>
        </a:p>
      </dgm:t>
    </dgm:pt>
    <dgm:pt modelId="{771481C4-6F16-4369-A999-5D7A5CA39257}" type="parTrans" cxnId="{881BEFF1-608A-42E3-B495-2A851A8304C4}">
      <dgm:prSet/>
      <dgm:spPr/>
      <dgm:t>
        <a:bodyPr/>
        <a:lstStyle/>
        <a:p>
          <a:endParaRPr lang="en-US"/>
        </a:p>
      </dgm:t>
    </dgm:pt>
    <dgm:pt modelId="{2E833672-2070-4BEB-AB07-4B1F6AA349AF}" type="sibTrans" cxnId="{881BEFF1-608A-42E3-B495-2A851A8304C4}">
      <dgm:prSet/>
      <dgm:spPr/>
      <dgm:t>
        <a:bodyPr/>
        <a:lstStyle/>
        <a:p>
          <a:endParaRPr lang="en-US"/>
        </a:p>
      </dgm:t>
    </dgm:pt>
    <dgm:pt modelId="{0130789F-D987-407A-8791-C9F8E9484B10}">
      <dgm:prSet phldrT="[Text]"/>
      <dgm:spPr/>
      <dgm:t>
        <a:bodyPr/>
        <a:lstStyle/>
        <a:p>
          <a:r>
            <a:rPr lang="lt-LT"/>
            <a:t> Platesnio masto taikos misija</a:t>
          </a:r>
          <a:endParaRPr lang="en-US"/>
        </a:p>
      </dgm:t>
    </dgm:pt>
    <dgm:pt modelId="{B05BC220-77CB-4A79-BE4C-D4B283CAAE69}" type="parTrans" cxnId="{1265453C-13B7-4974-8631-C54F4D4E9C8D}">
      <dgm:prSet/>
      <dgm:spPr/>
      <dgm:t>
        <a:bodyPr/>
        <a:lstStyle/>
        <a:p>
          <a:endParaRPr lang="en-US"/>
        </a:p>
      </dgm:t>
    </dgm:pt>
    <dgm:pt modelId="{BEEB4867-FB45-4D2E-88EF-62D26BA543F8}" type="sibTrans" cxnId="{1265453C-13B7-4974-8631-C54F4D4E9C8D}">
      <dgm:prSet/>
      <dgm:spPr/>
      <dgm:t>
        <a:bodyPr/>
        <a:lstStyle/>
        <a:p>
          <a:endParaRPr lang="en-US"/>
        </a:p>
      </dgm:t>
    </dgm:pt>
    <dgm:pt modelId="{AC777CE4-0390-49A2-8980-718586EA6C61}">
      <dgm:prSet phldrT="[Text]"/>
      <dgm:spPr/>
      <dgm:t>
        <a:bodyPr/>
        <a:lstStyle/>
        <a:p>
          <a:r>
            <a:rPr lang="lt-LT"/>
            <a:t> Priverstinis taikos vykdymas</a:t>
          </a:r>
          <a:endParaRPr lang="en-US"/>
        </a:p>
      </dgm:t>
    </dgm:pt>
    <dgm:pt modelId="{88E9771F-A520-4681-B682-D55B62A1C548}" type="parTrans" cxnId="{10EDA6B5-EF3B-4476-880D-0E4EC89B7A62}">
      <dgm:prSet/>
      <dgm:spPr/>
      <dgm:t>
        <a:bodyPr/>
        <a:lstStyle/>
        <a:p>
          <a:endParaRPr lang="en-US"/>
        </a:p>
      </dgm:t>
    </dgm:pt>
    <dgm:pt modelId="{2B29A628-EB63-4D1E-8B0F-7E62AA117838}" type="sibTrans" cxnId="{10EDA6B5-EF3B-4476-880D-0E4EC89B7A62}">
      <dgm:prSet/>
      <dgm:spPr/>
      <dgm:t>
        <a:bodyPr/>
        <a:lstStyle/>
        <a:p>
          <a:endParaRPr lang="en-US"/>
        </a:p>
      </dgm:t>
    </dgm:pt>
    <dgm:pt modelId="{1C149EED-6FEB-4371-B2BA-75432F4B9D76}">
      <dgm:prSet phldrT="[Text]"/>
      <dgm:spPr/>
      <dgm:t>
        <a:bodyPr/>
        <a:lstStyle/>
        <a:p>
          <a:r>
            <a:rPr lang="lt-LT"/>
            <a:t> Tradicinė taikos misija</a:t>
          </a:r>
          <a:endParaRPr lang="en-US"/>
        </a:p>
      </dgm:t>
    </dgm:pt>
    <dgm:pt modelId="{C53A1DDE-4543-4993-A611-1A51938F904B}" type="sibTrans" cxnId="{F17AEAAD-503F-4F73-9FB5-DBBCCA8422BE}">
      <dgm:prSet/>
      <dgm:spPr/>
      <dgm:t>
        <a:bodyPr/>
        <a:lstStyle/>
        <a:p>
          <a:endParaRPr lang="en-US"/>
        </a:p>
      </dgm:t>
    </dgm:pt>
    <dgm:pt modelId="{9AA25A1E-D885-450B-A1E7-04114B55B973}" type="parTrans" cxnId="{F17AEAAD-503F-4F73-9FB5-DBBCCA8422BE}">
      <dgm:prSet/>
      <dgm:spPr/>
      <dgm:t>
        <a:bodyPr/>
        <a:lstStyle/>
        <a:p>
          <a:endParaRPr lang="en-US"/>
        </a:p>
      </dgm:t>
    </dgm:pt>
    <dgm:pt modelId="{9C831345-38F2-4478-BBD9-E505CBDCF0C1}" type="pres">
      <dgm:prSet presAssocID="{B700C756-7545-4B86-BB09-D0E55A068C61}" presName="Name0" presStyleCnt="0">
        <dgm:presLayoutVars>
          <dgm:dir/>
          <dgm:resizeHandles val="exact"/>
        </dgm:presLayoutVars>
      </dgm:prSet>
      <dgm:spPr/>
      <dgm:t>
        <a:bodyPr/>
        <a:lstStyle/>
        <a:p>
          <a:endParaRPr lang="lt-LT"/>
        </a:p>
      </dgm:t>
    </dgm:pt>
    <dgm:pt modelId="{844E71F6-1135-44A0-BAD9-4D17AF5BE7B2}" type="pres">
      <dgm:prSet presAssocID="{6FB06811-CA64-4033-A6D8-E8D76D02D8AD}" presName="node" presStyleLbl="node1" presStyleIdx="0" presStyleCnt="3">
        <dgm:presLayoutVars>
          <dgm:bulletEnabled val="1"/>
        </dgm:presLayoutVars>
      </dgm:prSet>
      <dgm:spPr/>
      <dgm:t>
        <a:bodyPr/>
        <a:lstStyle/>
        <a:p>
          <a:endParaRPr lang="en-US"/>
        </a:p>
      </dgm:t>
    </dgm:pt>
    <dgm:pt modelId="{641BC63C-2A13-4902-B624-F60E7494B2EC}" type="pres">
      <dgm:prSet presAssocID="{02CD0B04-1CAE-4719-BA30-59E898607118}" presName="sibTrans" presStyleCnt="0"/>
      <dgm:spPr/>
    </dgm:pt>
    <dgm:pt modelId="{52EAB5E7-8F0D-4980-AD7C-E2DFCC349B3A}" type="pres">
      <dgm:prSet presAssocID="{1B214DFD-AE00-4BC7-8C75-92E2D1B23A05}" presName="node" presStyleLbl="node1" presStyleIdx="1" presStyleCnt="3">
        <dgm:presLayoutVars>
          <dgm:bulletEnabled val="1"/>
        </dgm:presLayoutVars>
      </dgm:prSet>
      <dgm:spPr/>
      <dgm:t>
        <a:bodyPr/>
        <a:lstStyle/>
        <a:p>
          <a:endParaRPr lang="en-US"/>
        </a:p>
      </dgm:t>
    </dgm:pt>
    <dgm:pt modelId="{017A36B2-2ADA-4487-83A4-FE6E4F1A0E97}" type="pres">
      <dgm:prSet presAssocID="{92433CA0-B5A9-4891-ACD2-46797E6EED07}" presName="sibTrans" presStyleCnt="0"/>
      <dgm:spPr/>
    </dgm:pt>
    <dgm:pt modelId="{72E8816A-5462-4C2F-A3BF-5680C75492FC}" type="pres">
      <dgm:prSet presAssocID="{0DF73FDD-7249-490C-B4C1-D3074F5B9776}" presName="node" presStyleLbl="node1" presStyleIdx="2" presStyleCnt="3">
        <dgm:presLayoutVars>
          <dgm:bulletEnabled val="1"/>
        </dgm:presLayoutVars>
      </dgm:prSet>
      <dgm:spPr/>
      <dgm:t>
        <a:bodyPr/>
        <a:lstStyle/>
        <a:p>
          <a:endParaRPr lang="lt-LT"/>
        </a:p>
      </dgm:t>
    </dgm:pt>
  </dgm:ptLst>
  <dgm:cxnLst>
    <dgm:cxn modelId="{10EDA6B5-EF3B-4476-880D-0E4EC89B7A62}" srcId="{0DF73FDD-7249-490C-B4C1-D3074F5B9776}" destId="{AC777CE4-0390-49A2-8980-718586EA6C61}" srcOrd="1" destOrd="0" parTransId="{88E9771F-A520-4681-B682-D55B62A1C548}" sibTransId="{2B29A628-EB63-4D1E-8B0F-7E62AA117838}"/>
    <dgm:cxn modelId="{58362150-50C4-43C0-99F2-4B8B0BB6B8F2}" type="presOf" srcId="{AC777CE4-0390-49A2-8980-718586EA6C61}" destId="{72E8816A-5462-4C2F-A3BF-5680C75492FC}" srcOrd="0" destOrd="2" presId="urn:microsoft.com/office/officeart/2005/8/layout/hList6"/>
    <dgm:cxn modelId="{1265453C-13B7-4974-8631-C54F4D4E9C8D}" srcId="{0DF73FDD-7249-490C-B4C1-D3074F5B9776}" destId="{0130789F-D987-407A-8791-C9F8E9484B10}" srcOrd="0" destOrd="0" parTransId="{B05BC220-77CB-4A79-BE4C-D4B283CAAE69}" sibTransId="{BEEB4867-FB45-4D2E-88EF-62D26BA543F8}"/>
    <dgm:cxn modelId="{5653E8F5-D50F-4025-93F5-05E002FF6A76}" type="presOf" srcId="{1B214DFD-AE00-4BC7-8C75-92E2D1B23A05}" destId="{52EAB5E7-8F0D-4980-AD7C-E2DFCC349B3A}" srcOrd="0" destOrd="0" presId="urn:microsoft.com/office/officeart/2005/8/layout/hList6"/>
    <dgm:cxn modelId="{1BA1ED9B-EAFA-434E-B858-B1856CCCB19E}" type="presOf" srcId="{B700C756-7545-4B86-BB09-D0E55A068C61}" destId="{9C831345-38F2-4478-BBD9-E505CBDCF0C1}" srcOrd="0" destOrd="0" presId="urn:microsoft.com/office/officeart/2005/8/layout/hList6"/>
    <dgm:cxn modelId="{C4620C08-9193-4C90-96E2-489BCC1550F7}" type="presOf" srcId="{1C149EED-6FEB-4371-B2BA-75432F4B9D76}" destId="{52EAB5E7-8F0D-4980-AD7C-E2DFCC349B3A}" srcOrd="0" destOrd="1" presId="urn:microsoft.com/office/officeart/2005/8/layout/hList6"/>
    <dgm:cxn modelId="{C4C530CF-F676-47F1-8BBE-2403262372D2}" type="presOf" srcId="{0DF73FDD-7249-490C-B4C1-D3074F5B9776}" destId="{72E8816A-5462-4C2F-A3BF-5680C75492FC}" srcOrd="0" destOrd="0" presId="urn:microsoft.com/office/officeart/2005/8/layout/hList6"/>
    <dgm:cxn modelId="{02A464A0-6B62-4AEC-A2AB-7A0313722658}" srcId="{6FB06811-CA64-4033-A6D8-E8D76D02D8AD}" destId="{3C75A92B-C0A4-4C0D-8012-89AAC3617D4D}" srcOrd="0" destOrd="0" parTransId="{A7479E6F-82E3-4741-94EB-6DDA3AEBFAAC}" sibTransId="{423C7425-0CC6-44D1-9CA0-6E53F97DF53A}"/>
    <dgm:cxn modelId="{ACFBF74A-0B24-4B41-87AB-29569BE05FED}" type="presOf" srcId="{6FB06811-CA64-4033-A6D8-E8D76D02D8AD}" destId="{844E71F6-1135-44A0-BAD9-4D17AF5BE7B2}" srcOrd="0" destOrd="0" presId="urn:microsoft.com/office/officeart/2005/8/layout/hList6"/>
    <dgm:cxn modelId="{F17AEAAD-503F-4F73-9FB5-DBBCCA8422BE}" srcId="{1B214DFD-AE00-4BC7-8C75-92E2D1B23A05}" destId="{1C149EED-6FEB-4371-B2BA-75432F4B9D76}" srcOrd="0" destOrd="0" parTransId="{9AA25A1E-D885-450B-A1E7-04114B55B973}" sibTransId="{C53A1DDE-4543-4993-A611-1A51938F904B}"/>
    <dgm:cxn modelId="{8E1171DD-BEC4-43FE-A50D-ABF4212A25F4}" type="presOf" srcId="{0130789F-D987-407A-8791-C9F8E9484B10}" destId="{72E8816A-5462-4C2F-A3BF-5680C75492FC}" srcOrd="0" destOrd="1" presId="urn:microsoft.com/office/officeart/2005/8/layout/hList6"/>
    <dgm:cxn modelId="{881BEFF1-608A-42E3-B495-2A851A8304C4}" srcId="{B700C756-7545-4B86-BB09-D0E55A068C61}" destId="{0DF73FDD-7249-490C-B4C1-D3074F5B9776}" srcOrd="2" destOrd="0" parTransId="{771481C4-6F16-4369-A999-5D7A5CA39257}" sibTransId="{2E833672-2070-4BEB-AB07-4B1F6AA349AF}"/>
    <dgm:cxn modelId="{D2521638-811C-4D6B-B0C0-6915685F80AE}" srcId="{B700C756-7545-4B86-BB09-D0E55A068C61}" destId="{6FB06811-CA64-4033-A6D8-E8D76D02D8AD}" srcOrd="0" destOrd="0" parTransId="{C6F6A5B5-E909-4AAF-B944-A8172786A48C}" sibTransId="{02CD0B04-1CAE-4719-BA30-59E898607118}"/>
    <dgm:cxn modelId="{F5580464-D39E-47AA-9BA3-2BECB2058C0D}" srcId="{B700C756-7545-4B86-BB09-D0E55A068C61}" destId="{1B214DFD-AE00-4BC7-8C75-92E2D1B23A05}" srcOrd="1" destOrd="0" parTransId="{47D8E3B9-0044-4CEA-8B74-C4A771316307}" sibTransId="{92433CA0-B5A9-4891-ACD2-46797E6EED07}"/>
    <dgm:cxn modelId="{08D9BD5C-37C3-4981-A16D-A91E9E6495C2}" type="presOf" srcId="{3C75A92B-C0A4-4C0D-8012-89AAC3617D4D}" destId="{844E71F6-1135-44A0-BAD9-4D17AF5BE7B2}" srcOrd="0" destOrd="1" presId="urn:microsoft.com/office/officeart/2005/8/layout/hList6"/>
    <dgm:cxn modelId="{53D7FC7A-E5F2-4A3B-B592-2D6FBA00D3BD}" type="presParOf" srcId="{9C831345-38F2-4478-BBD9-E505CBDCF0C1}" destId="{844E71F6-1135-44A0-BAD9-4D17AF5BE7B2}" srcOrd="0" destOrd="0" presId="urn:microsoft.com/office/officeart/2005/8/layout/hList6"/>
    <dgm:cxn modelId="{2D78FF7E-25A5-4CD8-A352-CB01E1D63CE6}" type="presParOf" srcId="{9C831345-38F2-4478-BBD9-E505CBDCF0C1}" destId="{641BC63C-2A13-4902-B624-F60E7494B2EC}" srcOrd="1" destOrd="0" presId="urn:microsoft.com/office/officeart/2005/8/layout/hList6"/>
    <dgm:cxn modelId="{8B4CA92C-8638-4F47-89DE-211596856CEE}" type="presParOf" srcId="{9C831345-38F2-4478-BBD9-E505CBDCF0C1}" destId="{52EAB5E7-8F0D-4980-AD7C-E2DFCC349B3A}" srcOrd="2" destOrd="0" presId="urn:microsoft.com/office/officeart/2005/8/layout/hList6"/>
    <dgm:cxn modelId="{2F941C3A-0374-4BD2-9342-903A93D3403F}" type="presParOf" srcId="{9C831345-38F2-4478-BBD9-E505CBDCF0C1}" destId="{017A36B2-2ADA-4487-83A4-FE6E4F1A0E97}" srcOrd="3" destOrd="0" presId="urn:microsoft.com/office/officeart/2005/8/layout/hList6"/>
    <dgm:cxn modelId="{F16922B6-9185-48D8-BC71-ED4D88941711}" type="presParOf" srcId="{9C831345-38F2-4478-BBD9-E505CBDCF0C1}" destId="{72E8816A-5462-4C2F-A3BF-5680C75492FC}" srcOrd="4" destOrd="0" presId="urn:microsoft.com/office/officeart/2005/8/layout/hList6"/>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8F2AB05-0589-42D9-92BF-D0964F709C2B}" type="doc">
      <dgm:prSet loTypeId="urn:microsoft.com/office/officeart/2005/8/layout/process3" loCatId="process" qsTypeId="urn:microsoft.com/office/officeart/2005/8/quickstyle/simple4" qsCatId="simple" csTypeId="urn:microsoft.com/office/officeart/2005/8/colors/accent1_2" csCatId="accent1" phldr="1"/>
      <dgm:spPr/>
    </dgm:pt>
    <dgm:pt modelId="{3950BBF2-3107-4DD7-8043-E6B90D3557C4}">
      <dgm:prSet phldrT="[Text]" custT="1">
        <dgm:style>
          <a:lnRef idx="1">
            <a:schemeClr val="accent3"/>
          </a:lnRef>
          <a:fillRef idx="3">
            <a:schemeClr val="accent3"/>
          </a:fillRef>
          <a:effectRef idx="2">
            <a:schemeClr val="accent3"/>
          </a:effectRef>
          <a:fontRef idx="minor">
            <a:schemeClr val="lt1"/>
          </a:fontRef>
        </dgm:style>
      </dgm:prSet>
      <dgm:spPr/>
      <dgm:t>
        <a:bodyPr/>
        <a:lstStyle/>
        <a:p>
          <a:pPr algn="ctr"/>
          <a:r>
            <a:rPr lang="en-US" sz="1400" b="1"/>
            <a:t>Tradicin</a:t>
          </a:r>
          <a:r>
            <a:rPr lang="lt-LT" sz="1400" b="1"/>
            <a:t>ė taikos misija</a:t>
          </a:r>
          <a:endParaRPr lang="en-US" sz="1400" b="1"/>
        </a:p>
      </dgm:t>
    </dgm:pt>
    <dgm:pt modelId="{C1DAA762-7E27-4A40-A712-AC98187E2D1B}" type="parTrans" cxnId="{BEF3A428-F34D-4B73-A950-721D3263C6C2}">
      <dgm:prSet/>
      <dgm:spPr/>
      <dgm:t>
        <a:bodyPr/>
        <a:lstStyle/>
        <a:p>
          <a:endParaRPr lang="en-US" sz="1100"/>
        </a:p>
      </dgm:t>
    </dgm:pt>
    <dgm:pt modelId="{5CAAAFD8-8F8D-44B5-B7D7-65E99F3CD992}" type="sibTrans" cxnId="{BEF3A428-F34D-4B73-A950-721D3263C6C2}">
      <dgm:prSet custT="1">
        <dgm:style>
          <a:lnRef idx="2">
            <a:schemeClr val="accent2"/>
          </a:lnRef>
          <a:fillRef idx="1">
            <a:schemeClr val="lt1"/>
          </a:fillRef>
          <a:effectRef idx="0">
            <a:schemeClr val="accent2"/>
          </a:effectRef>
          <a:fontRef idx="minor">
            <a:schemeClr val="dk1"/>
          </a:fontRef>
        </dgm:style>
      </dgm:prSet>
      <dgm:spPr/>
      <dgm:t>
        <a:bodyPr bIns="2011680"/>
        <a:lstStyle/>
        <a:p>
          <a:r>
            <a:rPr lang="lt-LT" sz="1000">
              <a:solidFill>
                <a:sysClr val="windowText" lastClr="000000"/>
              </a:solidFill>
            </a:rPr>
            <a:t>Vietinė valdžia nebegalėjo užtikrinti tvarkos valstybėje. Misijos dalyviai buvo priversti perimti šias funkcijas, taip išeidami už taikos misijos ribų</a:t>
          </a:r>
          <a:endParaRPr lang="en-US" sz="1000">
            <a:solidFill>
              <a:sysClr val="windowText" lastClr="000000"/>
            </a:solidFill>
          </a:endParaRPr>
        </a:p>
      </dgm:t>
    </dgm:pt>
    <dgm:pt modelId="{B63E62EC-3808-4437-9E64-35FEB8D4661B}">
      <dgm:prSet phldrT="[Text]" custT="1">
        <dgm:style>
          <a:lnRef idx="1">
            <a:schemeClr val="accent2"/>
          </a:lnRef>
          <a:fillRef idx="3">
            <a:schemeClr val="accent2"/>
          </a:fillRef>
          <a:effectRef idx="2">
            <a:schemeClr val="accent2"/>
          </a:effectRef>
          <a:fontRef idx="minor">
            <a:schemeClr val="lt1"/>
          </a:fontRef>
        </dgm:style>
      </dgm:prSet>
      <dgm:spPr/>
      <dgm:t>
        <a:bodyPr/>
        <a:lstStyle/>
        <a:p>
          <a:pPr algn="ctr"/>
          <a:r>
            <a:rPr lang="lt-LT" sz="1400" b="1"/>
            <a:t>Priverstinis taikos vykdymas, </a:t>
          </a:r>
          <a:r>
            <a:rPr lang="en-US" sz="1400" b="1"/>
            <a:t>42 str.</a:t>
          </a:r>
        </a:p>
      </dgm:t>
    </dgm:pt>
    <dgm:pt modelId="{CD4BCD37-3AFE-467D-B748-92C8E76EF554}" type="parTrans" cxnId="{D43301C9-0E72-4224-8E71-0324E09DD520}">
      <dgm:prSet/>
      <dgm:spPr/>
      <dgm:t>
        <a:bodyPr/>
        <a:lstStyle/>
        <a:p>
          <a:endParaRPr lang="en-US" sz="1100"/>
        </a:p>
      </dgm:t>
    </dgm:pt>
    <dgm:pt modelId="{B2C6B5AC-B4E5-4DFE-A2CC-51A85492492F}" type="sibTrans" cxnId="{D43301C9-0E72-4224-8E71-0324E09DD520}">
      <dgm:prSet/>
      <dgm:spPr/>
      <dgm:t>
        <a:bodyPr/>
        <a:lstStyle/>
        <a:p>
          <a:endParaRPr lang="en-US" sz="1100"/>
        </a:p>
      </dgm:t>
    </dgm:pt>
    <dgm:pt modelId="{9ED0B1D2-DBFE-4574-9087-863D9B20E2DC}">
      <dgm:prSet custT="1">
        <dgm:style>
          <a:lnRef idx="2">
            <a:schemeClr val="accent3"/>
          </a:lnRef>
          <a:fillRef idx="1">
            <a:schemeClr val="lt1"/>
          </a:fillRef>
          <a:effectRef idx="0">
            <a:schemeClr val="accent3"/>
          </a:effectRef>
          <a:fontRef idx="minor">
            <a:schemeClr val="dk1"/>
          </a:fontRef>
        </dgm:style>
      </dgm:prSet>
      <dgm:spPr/>
      <dgm:t>
        <a:bodyPr/>
        <a:lstStyle/>
        <a:p>
          <a:r>
            <a:rPr lang="lt-LT" sz="1100"/>
            <a:t>Neutralumas</a:t>
          </a:r>
          <a:endParaRPr lang="en-US" sz="1100"/>
        </a:p>
      </dgm:t>
    </dgm:pt>
    <dgm:pt modelId="{4AB1BBCE-25E1-4521-8014-93F6167C7BCE}" type="parTrans" cxnId="{985AFA45-4A2D-4B66-9BEA-6B2B599A6AC4}">
      <dgm:prSet/>
      <dgm:spPr/>
      <dgm:t>
        <a:bodyPr/>
        <a:lstStyle/>
        <a:p>
          <a:endParaRPr lang="en-US" sz="1100"/>
        </a:p>
      </dgm:t>
    </dgm:pt>
    <dgm:pt modelId="{245F41B7-FE0C-456B-9B2F-5EC9B27DBC29}" type="sibTrans" cxnId="{985AFA45-4A2D-4B66-9BEA-6B2B599A6AC4}">
      <dgm:prSet/>
      <dgm:spPr/>
      <dgm:t>
        <a:bodyPr/>
        <a:lstStyle/>
        <a:p>
          <a:endParaRPr lang="en-US" sz="1100"/>
        </a:p>
      </dgm:t>
    </dgm:pt>
    <dgm:pt modelId="{F9583D9A-8D76-4431-AB27-77F5FE616E58}">
      <dgm:prSet custT="1">
        <dgm:style>
          <a:lnRef idx="2">
            <a:schemeClr val="accent3"/>
          </a:lnRef>
          <a:fillRef idx="1">
            <a:schemeClr val="lt1"/>
          </a:fillRef>
          <a:effectRef idx="0">
            <a:schemeClr val="accent3"/>
          </a:effectRef>
          <a:fontRef idx="minor">
            <a:schemeClr val="dk1"/>
          </a:fontRef>
        </dgm:style>
      </dgm:prSet>
      <dgm:spPr/>
      <dgm:t>
        <a:bodyPr/>
        <a:lstStyle/>
        <a:p>
          <a:r>
            <a:rPr lang="lt-LT" sz="1100"/>
            <a:t>Būtinas šalies sutikimas</a:t>
          </a:r>
          <a:endParaRPr lang="en-US" sz="1100"/>
        </a:p>
      </dgm:t>
    </dgm:pt>
    <dgm:pt modelId="{383C8D7A-D40C-4B47-AE02-DCC6F2E40D28}" type="parTrans" cxnId="{2AF78B03-B372-4C91-9FB4-77715C41D1C4}">
      <dgm:prSet/>
      <dgm:spPr/>
      <dgm:t>
        <a:bodyPr/>
        <a:lstStyle/>
        <a:p>
          <a:endParaRPr lang="en-US" sz="1100"/>
        </a:p>
      </dgm:t>
    </dgm:pt>
    <dgm:pt modelId="{B6268B4E-D3B2-4F38-9487-2B56A8BCFD1A}" type="sibTrans" cxnId="{2AF78B03-B372-4C91-9FB4-77715C41D1C4}">
      <dgm:prSet/>
      <dgm:spPr/>
      <dgm:t>
        <a:bodyPr/>
        <a:lstStyle/>
        <a:p>
          <a:endParaRPr lang="en-US" sz="1100"/>
        </a:p>
      </dgm:t>
    </dgm:pt>
    <dgm:pt modelId="{EE12DF05-7F5B-4F6E-A87E-9796715D39D7}">
      <dgm:prSet custT="1">
        <dgm:style>
          <a:lnRef idx="2">
            <a:schemeClr val="accent2"/>
          </a:lnRef>
          <a:fillRef idx="1">
            <a:schemeClr val="lt1"/>
          </a:fillRef>
          <a:effectRef idx="0">
            <a:schemeClr val="accent2"/>
          </a:effectRef>
          <a:fontRef idx="minor">
            <a:schemeClr val="dk1"/>
          </a:fontRef>
        </dgm:style>
      </dgm:prSet>
      <dgm:spPr/>
      <dgm:t>
        <a:bodyPr/>
        <a:lstStyle/>
        <a:p>
          <a:r>
            <a:rPr lang="lt-LT" sz="1100"/>
            <a:t>Jėgos panaudojimas taikos atstatymui </a:t>
          </a:r>
          <a:endParaRPr lang="en-US" sz="1100"/>
        </a:p>
      </dgm:t>
    </dgm:pt>
    <dgm:pt modelId="{96A1AC15-F7AB-4656-98E7-DF2343B16804}" type="parTrans" cxnId="{41653134-17AC-4223-84AD-6610D135C345}">
      <dgm:prSet/>
      <dgm:spPr/>
      <dgm:t>
        <a:bodyPr/>
        <a:lstStyle/>
        <a:p>
          <a:endParaRPr lang="en-US" sz="1100"/>
        </a:p>
      </dgm:t>
    </dgm:pt>
    <dgm:pt modelId="{7E341CC7-7FDE-4B70-AA9D-0495594AD52D}" type="sibTrans" cxnId="{41653134-17AC-4223-84AD-6610D135C345}">
      <dgm:prSet/>
      <dgm:spPr/>
      <dgm:t>
        <a:bodyPr/>
        <a:lstStyle/>
        <a:p>
          <a:endParaRPr lang="en-US" sz="1100"/>
        </a:p>
      </dgm:t>
    </dgm:pt>
    <dgm:pt modelId="{E398FC54-4E48-43FB-8446-ED05F4A896F1}">
      <dgm:prSet custT="1">
        <dgm:style>
          <a:lnRef idx="2">
            <a:schemeClr val="accent2"/>
          </a:lnRef>
          <a:fillRef idx="1">
            <a:schemeClr val="lt1"/>
          </a:fillRef>
          <a:effectRef idx="0">
            <a:schemeClr val="accent2"/>
          </a:effectRef>
          <a:fontRef idx="minor">
            <a:schemeClr val="dk1"/>
          </a:fontRef>
        </dgm:style>
      </dgm:prSet>
      <dgm:spPr/>
      <dgm:t>
        <a:bodyPr/>
        <a:lstStyle/>
        <a:p>
          <a:r>
            <a:rPr lang="lt-LT" sz="1100"/>
            <a:t> Būtinas Saugumo tarybos įgaliojimas</a:t>
          </a:r>
          <a:endParaRPr lang="en-US" sz="1100"/>
        </a:p>
      </dgm:t>
    </dgm:pt>
    <dgm:pt modelId="{D176E7C7-1088-4A2D-9C1A-4F96B135B525}" type="parTrans" cxnId="{A07B328B-FC8F-43EB-8411-CDE03D744618}">
      <dgm:prSet/>
      <dgm:spPr/>
      <dgm:t>
        <a:bodyPr/>
        <a:lstStyle/>
        <a:p>
          <a:endParaRPr lang="en-US"/>
        </a:p>
      </dgm:t>
    </dgm:pt>
    <dgm:pt modelId="{6C6EE8A2-8208-4786-8113-C660EB116893}" type="sibTrans" cxnId="{A07B328B-FC8F-43EB-8411-CDE03D744618}">
      <dgm:prSet/>
      <dgm:spPr/>
      <dgm:t>
        <a:bodyPr/>
        <a:lstStyle/>
        <a:p>
          <a:endParaRPr lang="en-US"/>
        </a:p>
      </dgm:t>
    </dgm:pt>
    <dgm:pt modelId="{FCA3CAA3-E861-43A4-A559-09E58F85D568}">
      <dgm:prSet custT="1">
        <dgm:style>
          <a:lnRef idx="2">
            <a:schemeClr val="accent3"/>
          </a:lnRef>
          <a:fillRef idx="1">
            <a:schemeClr val="lt1"/>
          </a:fillRef>
          <a:effectRef idx="0">
            <a:schemeClr val="accent3"/>
          </a:effectRef>
          <a:fontRef idx="minor">
            <a:schemeClr val="dk1"/>
          </a:fontRef>
        </dgm:style>
      </dgm:prSet>
      <dgm:spPr/>
      <dgm:t>
        <a:bodyPr/>
        <a:lstStyle/>
        <a:p>
          <a:r>
            <a:rPr lang="lt-LT" sz="1100"/>
            <a:t>Jėgos panaudojimas tik savigynos atveju</a:t>
          </a:r>
          <a:endParaRPr lang="en-US" sz="1100"/>
        </a:p>
      </dgm:t>
    </dgm:pt>
    <dgm:pt modelId="{8C03693F-946B-40C9-8AC3-9C13FD1E735D}" type="sibTrans" cxnId="{3B68188A-CA7F-4FCB-B91E-53CADEE94537}">
      <dgm:prSet/>
      <dgm:spPr/>
      <dgm:t>
        <a:bodyPr/>
        <a:lstStyle/>
        <a:p>
          <a:endParaRPr lang="en-US" sz="1100"/>
        </a:p>
      </dgm:t>
    </dgm:pt>
    <dgm:pt modelId="{2B360FE5-8BEA-49E4-B2A9-9C1CE8E42FF1}" type="parTrans" cxnId="{3B68188A-CA7F-4FCB-B91E-53CADEE94537}">
      <dgm:prSet/>
      <dgm:spPr/>
      <dgm:t>
        <a:bodyPr/>
        <a:lstStyle/>
        <a:p>
          <a:endParaRPr lang="en-US" sz="1100"/>
        </a:p>
      </dgm:t>
    </dgm:pt>
    <dgm:pt modelId="{58E4452A-5164-44A0-A5D8-EB335D214081}">
      <dgm:prSet custT="1">
        <dgm:style>
          <a:lnRef idx="2">
            <a:schemeClr val="accent2"/>
          </a:lnRef>
          <a:fillRef idx="1">
            <a:schemeClr val="lt1"/>
          </a:fillRef>
          <a:effectRef idx="0">
            <a:schemeClr val="accent2"/>
          </a:effectRef>
          <a:fontRef idx="minor">
            <a:schemeClr val="dk1"/>
          </a:fontRef>
        </dgm:style>
      </dgm:prSet>
      <dgm:spPr/>
      <dgm:t>
        <a:bodyPr/>
        <a:lstStyle/>
        <a:p>
          <a:r>
            <a:rPr lang="lt-LT" sz="1100"/>
            <a:t>JTO tikslų vykdymas</a:t>
          </a:r>
          <a:endParaRPr lang="en-US" sz="1100"/>
        </a:p>
      </dgm:t>
    </dgm:pt>
    <dgm:pt modelId="{C64648E7-26D3-4C03-BA78-9099EEEE1D32}" type="parTrans" cxnId="{6BA5A200-2B24-44B7-935E-3403644F42E9}">
      <dgm:prSet/>
      <dgm:spPr/>
      <dgm:t>
        <a:bodyPr/>
        <a:lstStyle/>
        <a:p>
          <a:endParaRPr lang="en-US"/>
        </a:p>
      </dgm:t>
    </dgm:pt>
    <dgm:pt modelId="{BB015B66-D7C0-4C4D-8DA3-FD082594BD64}" type="sibTrans" cxnId="{6BA5A200-2B24-44B7-935E-3403644F42E9}">
      <dgm:prSet/>
      <dgm:spPr/>
      <dgm:t>
        <a:bodyPr/>
        <a:lstStyle/>
        <a:p>
          <a:endParaRPr lang="en-US"/>
        </a:p>
      </dgm:t>
    </dgm:pt>
    <dgm:pt modelId="{6FF5CFC2-9BB0-4AE2-964B-A16131111FB1}" type="pres">
      <dgm:prSet presAssocID="{F8F2AB05-0589-42D9-92BF-D0964F709C2B}" presName="linearFlow" presStyleCnt="0">
        <dgm:presLayoutVars>
          <dgm:dir/>
          <dgm:animLvl val="lvl"/>
          <dgm:resizeHandles val="exact"/>
        </dgm:presLayoutVars>
      </dgm:prSet>
      <dgm:spPr/>
    </dgm:pt>
    <dgm:pt modelId="{C9964A03-1FC8-4569-9FE6-57CFA4BD3202}" type="pres">
      <dgm:prSet presAssocID="{3950BBF2-3107-4DD7-8043-E6B90D3557C4}" presName="composite" presStyleCnt="0"/>
      <dgm:spPr/>
    </dgm:pt>
    <dgm:pt modelId="{E1F4C30B-4F19-48E3-9664-20996408A6E8}" type="pres">
      <dgm:prSet presAssocID="{3950BBF2-3107-4DD7-8043-E6B90D3557C4}" presName="parTx" presStyleLbl="node1" presStyleIdx="0" presStyleCnt="2">
        <dgm:presLayoutVars>
          <dgm:chMax val="0"/>
          <dgm:chPref val="0"/>
          <dgm:bulletEnabled val="1"/>
        </dgm:presLayoutVars>
      </dgm:prSet>
      <dgm:spPr/>
      <dgm:t>
        <a:bodyPr/>
        <a:lstStyle/>
        <a:p>
          <a:endParaRPr lang="en-US"/>
        </a:p>
      </dgm:t>
    </dgm:pt>
    <dgm:pt modelId="{93150B65-8479-4C90-B012-485D512B397C}" type="pres">
      <dgm:prSet presAssocID="{3950BBF2-3107-4DD7-8043-E6B90D3557C4}" presName="parSh" presStyleLbl="node1" presStyleIdx="0" presStyleCnt="2" custScaleX="45470" custScaleY="86972" custLinFactNeighborX="-36" custLinFactNeighborY="-5316"/>
      <dgm:spPr/>
      <dgm:t>
        <a:bodyPr/>
        <a:lstStyle/>
        <a:p>
          <a:endParaRPr lang="en-US"/>
        </a:p>
      </dgm:t>
    </dgm:pt>
    <dgm:pt modelId="{3F529D8D-15FA-4432-A418-1E832443920E}" type="pres">
      <dgm:prSet presAssocID="{3950BBF2-3107-4DD7-8043-E6B90D3557C4}" presName="desTx" presStyleLbl="fgAcc1" presStyleIdx="0" presStyleCnt="2" custScaleX="46792" custLinFactNeighborX="-11983" custLinFactNeighborY="1293">
        <dgm:presLayoutVars>
          <dgm:bulletEnabled val="1"/>
        </dgm:presLayoutVars>
      </dgm:prSet>
      <dgm:spPr/>
      <dgm:t>
        <a:bodyPr/>
        <a:lstStyle/>
        <a:p>
          <a:endParaRPr lang="en-US"/>
        </a:p>
      </dgm:t>
    </dgm:pt>
    <dgm:pt modelId="{47278E3E-F860-48CA-ABE8-7E38810CE84B}" type="pres">
      <dgm:prSet presAssocID="{5CAAAFD8-8F8D-44B5-B7D7-65E99F3CD992}" presName="sibTrans" presStyleLbl="sibTrans2D1" presStyleIdx="0" presStyleCnt="1" custScaleX="115189" custLinFactY="318" custLinFactNeighborX="16949" custLinFactNeighborY="100000"/>
      <dgm:spPr/>
      <dgm:t>
        <a:bodyPr/>
        <a:lstStyle/>
        <a:p>
          <a:endParaRPr lang="en-US"/>
        </a:p>
      </dgm:t>
    </dgm:pt>
    <dgm:pt modelId="{C37D16E1-6F60-4DBD-9F5E-0BBE72C85081}" type="pres">
      <dgm:prSet presAssocID="{5CAAAFD8-8F8D-44B5-B7D7-65E99F3CD992}" presName="connTx" presStyleLbl="sibTrans2D1" presStyleIdx="0" presStyleCnt="1"/>
      <dgm:spPr/>
      <dgm:t>
        <a:bodyPr/>
        <a:lstStyle/>
        <a:p>
          <a:endParaRPr lang="en-US"/>
        </a:p>
      </dgm:t>
    </dgm:pt>
    <dgm:pt modelId="{C69127FF-AE16-4FFD-AF5A-EF21F81FA3DC}" type="pres">
      <dgm:prSet presAssocID="{B63E62EC-3808-4437-9E64-35FEB8D4661B}" presName="composite" presStyleCnt="0"/>
      <dgm:spPr/>
    </dgm:pt>
    <dgm:pt modelId="{BCF09163-EBC8-47DD-9BDD-866BAB96F6DB}" type="pres">
      <dgm:prSet presAssocID="{B63E62EC-3808-4437-9E64-35FEB8D4661B}" presName="parTx" presStyleLbl="node1" presStyleIdx="0" presStyleCnt="2">
        <dgm:presLayoutVars>
          <dgm:chMax val="0"/>
          <dgm:chPref val="0"/>
          <dgm:bulletEnabled val="1"/>
        </dgm:presLayoutVars>
      </dgm:prSet>
      <dgm:spPr/>
      <dgm:t>
        <a:bodyPr/>
        <a:lstStyle/>
        <a:p>
          <a:endParaRPr lang="en-US"/>
        </a:p>
      </dgm:t>
    </dgm:pt>
    <dgm:pt modelId="{F3E15987-E619-4F59-BCCB-D9F09A4F27A5}" type="pres">
      <dgm:prSet presAssocID="{B63E62EC-3808-4437-9E64-35FEB8D4661B}" presName="parSh" presStyleLbl="node1" presStyleIdx="1" presStyleCnt="2" custScaleX="47521" custLinFactNeighborX="12810" custLinFactNeighborY="-1724"/>
      <dgm:spPr/>
      <dgm:t>
        <a:bodyPr/>
        <a:lstStyle/>
        <a:p>
          <a:endParaRPr lang="en-US"/>
        </a:p>
      </dgm:t>
    </dgm:pt>
    <dgm:pt modelId="{717B7BC9-3500-49FC-9C4A-A4928EF2FEE6}" type="pres">
      <dgm:prSet presAssocID="{B63E62EC-3808-4437-9E64-35FEB8D4661B}" presName="desTx" presStyleLbl="fgAcc1" presStyleIdx="1" presStyleCnt="2" custScaleX="50830">
        <dgm:presLayoutVars>
          <dgm:bulletEnabled val="1"/>
        </dgm:presLayoutVars>
      </dgm:prSet>
      <dgm:spPr/>
      <dgm:t>
        <a:bodyPr/>
        <a:lstStyle/>
        <a:p>
          <a:endParaRPr lang="en-US"/>
        </a:p>
      </dgm:t>
    </dgm:pt>
  </dgm:ptLst>
  <dgm:cxnLst>
    <dgm:cxn modelId="{CB4A092E-2642-45FA-A710-ACBB8C9AFEEB}" type="presOf" srcId="{5CAAAFD8-8F8D-44B5-B7D7-65E99F3CD992}" destId="{47278E3E-F860-48CA-ABE8-7E38810CE84B}" srcOrd="0" destOrd="0" presId="urn:microsoft.com/office/officeart/2005/8/layout/process3"/>
    <dgm:cxn modelId="{A07B328B-FC8F-43EB-8411-CDE03D744618}" srcId="{B63E62EC-3808-4437-9E64-35FEB8D4661B}" destId="{E398FC54-4E48-43FB-8446-ED05F4A896F1}" srcOrd="2" destOrd="0" parTransId="{D176E7C7-1088-4A2D-9C1A-4F96B135B525}" sibTransId="{6C6EE8A2-8208-4786-8113-C660EB116893}"/>
    <dgm:cxn modelId="{F6C27113-FC2A-4253-8456-F5D447A59DC2}" type="presOf" srcId="{B63E62EC-3808-4437-9E64-35FEB8D4661B}" destId="{BCF09163-EBC8-47DD-9BDD-866BAB96F6DB}" srcOrd="0" destOrd="0" presId="urn:microsoft.com/office/officeart/2005/8/layout/process3"/>
    <dgm:cxn modelId="{D43301C9-0E72-4224-8E71-0324E09DD520}" srcId="{F8F2AB05-0589-42D9-92BF-D0964F709C2B}" destId="{B63E62EC-3808-4437-9E64-35FEB8D4661B}" srcOrd="1" destOrd="0" parTransId="{CD4BCD37-3AFE-467D-B748-92C8E76EF554}" sibTransId="{B2C6B5AC-B4E5-4DFE-A2CC-51A85492492F}"/>
    <dgm:cxn modelId="{C0EEA788-458D-424F-9EDE-ADBAE474ABA2}" type="presOf" srcId="{F9583D9A-8D76-4431-AB27-77F5FE616E58}" destId="{3F529D8D-15FA-4432-A418-1E832443920E}" srcOrd="0" destOrd="2" presId="urn:microsoft.com/office/officeart/2005/8/layout/process3"/>
    <dgm:cxn modelId="{985AFA45-4A2D-4B66-9BEA-6B2B599A6AC4}" srcId="{3950BBF2-3107-4DD7-8043-E6B90D3557C4}" destId="{9ED0B1D2-DBFE-4574-9087-863D9B20E2DC}" srcOrd="0" destOrd="0" parTransId="{4AB1BBCE-25E1-4521-8014-93F6167C7BCE}" sibTransId="{245F41B7-FE0C-456B-9B2F-5EC9B27DBC29}"/>
    <dgm:cxn modelId="{51992DEB-638C-40E3-B581-3506C3EB6B4E}" type="presOf" srcId="{F8F2AB05-0589-42D9-92BF-D0964F709C2B}" destId="{6FF5CFC2-9BB0-4AE2-964B-A16131111FB1}" srcOrd="0" destOrd="0" presId="urn:microsoft.com/office/officeart/2005/8/layout/process3"/>
    <dgm:cxn modelId="{A6B67321-A80B-4345-A950-DCD0EA88FF5F}" type="presOf" srcId="{58E4452A-5164-44A0-A5D8-EB335D214081}" destId="{717B7BC9-3500-49FC-9C4A-A4928EF2FEE6}" srcOrd="0" destOrd="0" presId="urn:microsoft.com/office/officeart/2005/8/layout/process3"/>
    <dgm:cxn modelId="{B1FE08F7-729B-4B7B-B9BA-75672805C41C}" type="presOf" srcId="{FCA3CAA3-E861-43A4-A559-09E58F85D568}" destId="{3F529D8D-15FA-4432-A418-1E832443920E}" srcOrd="0" destOrd="1" presId="urn:microsoft.com/office/officeart/2005/8/layout/process3"/>
    <dgm:cxn modelId="{AFAC1E69-3036-47AB-A1DA-D452F77CFFF1}" type="presOf" srcId="{E398FC54-4E48-43FB-8446-ED05F4A896F1}" destId="{717B7BC9-3500-49FC-9C4A-A4928EF2FEE6}" srcOrd="0" destOrd="2" presId="urn:microsoft.com/office/officeart/2005/8/layout/process3"/>
    <dgm:cxn modelId="{6BA5A200-2B24-44B7-935E-3403644F42E9}" srcId="{B63E62EC-3808-4437-9E64-35FEB8D4661B}" destId="{58E4452A-5164-44A0-A5D8-EB335D214081}" srcOrd="0" destOrd="0" parTransId="{C64648E7-26D3-4C03-BA78-9099EEEE1D32}" sibTransId="{BB015B66-D7C0-4C4D-8DA3-FD082594BD64}"/>
    <dgm:cxn modelId="{2AF78B03-B372-4C91-9FB4-77715C41D1C4}" srcId="{3950BBF2-3107-4DD7-8043-E6B90D3557C4}" destId="{F9583D9A-8D76-4431-AB27-77F5FE616E58}" srcOrd="2" destOrd="0" parTransId="{383C8D7A-D40C-4B47-AE02-DCC6F2E40D28}" sibTransId="{B6268B4E-D3B2-4F38-9487-2B56A8BCFD1A}"/>
    <dgm:cxn modelId="{83482249-89B7-47C9-9581-1FF4ABBC3F30}" type="presOf" srcId="{3950BBF2-3107-4DD7-8043-E6B90D3557C4}" destId="{93150B65-8479-4C90-B012-485D512B397C}" srcOrd="1" destOrd="0" presId="urn:microsoft.com/office/officeart/2005/8/layout/process3"/>
    <dgm:cxn modelId="{BEF3A428-F34D-4B73-A950-721D3263C6C2}" srcId="{F8F2AB05-0589-42D9-92BF-D0964F709C2B}" destId="{3950BBF2-3107-4DD7-8043-E6B90D3557C4}" srcOrd="0" destOrd="0" parTransId="{C1DAA762-7E27-4A40-A712-AC98187E2D1B}" sibTransId="{5CAAAFD8-8F8D-44B5-B7D7-65E99F3CD992}"/>
    <dgm:cxn modelId="{306ACFA8-D9C3-45A1-A408-CA8E29F6B974}" type="presOf" srcId="{9ED0B1D2-DBFE-4574-9087-863D9B20E2DC}" destId="{3F529D8D-15FA-4432-A418-1E832443920E}" srcOrd="0" destOrd="0" presId="urn:microsoft.com/office/officeart/2005/8/layout/process3"/>
    <dgm:cxn modelId="{02577D63-742D-4287-A8DA-2E3EA859A38E}" type="presOf" srcId="{5CAAAFD8-8F8D-44B5-B7D7-65E99F3CD992}" destId="{C37D16E1-6F60-4DBD-9F5E-0BBE72C85081}" srcOrd="1" destOrd="0" presId="urn:microsoft.com/office/officeart/2005/8/layout/process3"/>
    <dgm:cxn modelId="{06B68FC3-D5C6-43DA-BBE4-D1DD68BE0207}" type="presOf" srcId="{B63E62EC-3808-4437-9E64-35FEB8D4661B}" destId="{F3E15987-E619-4F59-BCCB-D9F09A4F27A5}" srcOrd="1" destOrd="0" presId="urn:microsoft.com/office/officeart/2005/8/layout/process3"/>
    <dgm:cxn modelId="{3B68188A-CA7F-4FCB-B91E-53CADEE94537}" srcId="{3950BBF2-3107-4DD7-8043-E6B90D3557C4}" destId="{FCA3CAA3-E861-43A4-A559-09E58F85D568}" srcOrd="1" destOrd="0" parTransId="{2B360FE5-8BEA-49E4-B2A9-9C1CE8E42FF1}" sibTransId="{8C03693F-946B-40C9-8AC3-9C13FD1E735D}"/>
    <dgm:cxn modelId="{01FE5B9C-AEEC-495F-8319-15BFDA86A5E2}" type="presOf" srcId="{3950BBF2-3107-4DD7-8043-E6B90D3557C4}" destId="{E1F4C30B-4F19-48E3-9664-20996408A6E8}" srcOrd="0" destOrd="0" presId="urn:microsoft.com/office/officeart/2005/8/layout/process3"/>
    <dgm:cxn modelId="{41653134-17AC-4223-84AD-6610D135C345}" srcId="{B63E62EC-3808-4437-9E64-35FEB8D4661B}" destId="{EE12DF05-7F5B-4F6E-A87E-9796715D39D7}" srcOrd="1" destOrd="0" parTransId="{96A1AC15-F7AB-4656-98E7-DF2343B16804}" sibTransId="{7E341CC7-7FDE-4B70-AA9D-0495594AD52D}"/>
    <dgm:cxn modelId="{C501001B-7A73-4F33-B26B-190B1E263C8D}" type="presOf" srcId="{EE12DF05-7F5B-4F6E-A87E-9796715D39D7}" destId="{717B7BC9-3500-49FC-9C4A-A4928EF2FEE6}" srcOrd="0" destOrd="1" presId="urn:microsoft.com/office/officeart/2005/8/layout/process3"/>
    <dgm:cxn modelId="{07D26E73-0E54-4067-BA63-84C1476ADBE6}" type="presParOf" srcId="{6FF5CFC2-9BB0-4AE2-964B-A16131111FB1}" destId="{C9964A03-1FC8-4569-9FE6-57CFA4BD3202}" srcOrd="0" destOrd="0" presId="urn:microsoft.com/office/officeart/2005/8/layout/process3"/>
    <dgm:cxn modelId="{DD26F09A-E4C2-4E75-9488-73E8BEB0A9A2}" type="presParOf" srcId="{C9964A03-1FC8-4569-9FE6-57CFA4BD3202}" destId="{E1F4C30B-4F19-48E3-9664-20996408A6E8}" srcOrd="0" destOrd="0" presId="urn:microsoft.com/office/officeart/2005/8/layout/process3"/>
    <dgm:cxn modelId="{E7E587F4-690A-4AF6-94D0-FC7CEF130239}" type="presParOf" srcId="{C9964A03-1FC8-4569-9FE6-57CFA4BD3202}" destId="{93150B65-8479-4C90-B012-485D512B397C}" srcOrd="1" destOrd="0" presId="urn:microsoft.com/office/officeart/2005/8/layout/process3"/>
    <dgm:cxn modelId="{2B909F47-D208-43F9-8693-9B85DAD10CBE}" type="presParOf" srcId="{C9964A03-1FC8-4569-9FE6-57CFA4BD3202}" destId="{3F529D8D-15FA-4432-A418-1E832443920E}" srcOrd="2" destOrd="0" presId="urn:microsoft.com/office/officeart/2005/8/layout/process3"/>
    <dgm:cxn modelId="{AE10CB0C-AF2A-4053-BCE3-E44E44DFE92A}" type="presParOf" srcId="{6FF5CFC2-9BB0-4AE2-964B-A16131111FB1}" destId="{47278E3E-F860-48CA-ABE8-7E38810CE84B}" srcOrd="1" destOrd="0" presId="urn:microsoft.com/office/officeart/2005/8/layout/process3"/>
    <dgm:cxn modelId="{99ECEAB8-49C2-4B0E-AAFD-EA41807076D1}" type="presParOf" srcId="{47278E3E-F860-48CA-ABE8-7E38810CE84B}" destId="{C37D16E1-6F60-4DBD-9F5E-0BBE72C85081}" srcOrd="0" destOrd="0" presId="urn:microsoft.com/office/officeart/2005/8/layout/process3"/>
    <dgm:cxn modelId="{D56F0705-BAAB-4D8F-AB2D-C8E0E011514A}" type="presParOf" srcId="{6FF5CFC2-9BB0-4AE2-964B-A16131111FB1}" destId="{C69127FF-AE16-4FFD-AF5A-EF21F81FA3DC}" srcOrd="2" destOrd="0" presId="urn:microsoft.com/office/officeart/2005/8/layout/process3"/>
    <dgm:cxn modelId="{04F36992-817A-4466-A772-4BDDF734569B}" type="presParOf" srcId="{C69127FF-AE16-4FFD-AF5A-EF21F81FA3DC}" destId="{BCF09163-EBC8-47DD-9BDD-866BAB96F6DB}" srcOrd="0" destOrd="0" presId="urn:microsoft.com/office/officeart/2005/8/layout/process3"/>
    <dgm:cxn modelId="{6BC50BA6-8A8C-495C-BA1A-DCE26E1886D8}" type="presParOf" srcId="{C69127FF-AE16-4FFD-AF5A-EF21F81FA3DC}" destId="{F3E15987-E619-4F59-BCCB-D9F09A4F27A5}" srcOrd="1" destOrd="0" presId="urn:microsoft.com/office/officeart/2005/8/layout/process3"/>
    <dgm:cxn modelId="{9ED188AB-F267-40E6-A7A5-E0560F803FB2}" type="presParOf" srcId="{C69127FF-AE16-4FFD-AF5A-EF21F81FA3DC}" destId="{717B7BC9-3500-49FC-9C4A-A4928EF2FEE6}" srcOrd="2" destOrd="0" presId="urn:microsoft.com/office/officeart/2005/8/layout/process3"/>
  </dgm:cxnLst>
  <dgm:bg/>
  <dgm:whole/>
  <dgm:extLst>
    <a:ext uri="http://schemas.microsoft.com/office/drawing/2008/diagram">
      <dsp:dataModelExt xmlns:dsp="http://schemas.microsoft.com/office/drawing/2008/diagram" xmlns=""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24AB571-A8EA-49E1-B69E-952458ED746F}" type="doc">
      <dgm:prSet loTypeId="urn:microsoft.com/office/officeart/2005/8/layout/vList6" loCatId="list" qsTypeId="urn:microsoft.com/office/officeart/2005/8/quickstyle/simple4" qsCatId="simple" csTypeId="urn:microsoft.com/office/officeart/2005/8/colors/accent1_2" csCatId="accent1" phldr="1"/>
      <dgm:spPr/>
      <dgm:t>
        <a:bodyPr/>
        <a:lstStyle/>
        <a:p>
          <a:endParaRPr lang="lt-LT"/>
        </a:p>
      </dgm:t>
    </dgm:pt>
    <dgm:pt modelId="{BDAC9E03-E567-4BE0-A294-4A0E5052137D}">
      <dgm:prSet phldrT="[Text]"/>
      <dgm:spPr/>
      <dgm:t>
        <a:bodyPr/>
        <a:lstStyle/>
        <a:p>
          <a:r>
            <a:rPr lang="lt-LT" b="1"/>
            <a:t>Afganistanas</a:t>
          </a:r>
        </a:p>
      </dgm:t>
    </dgm:pt>
    <dgm:pt modelId="{0D86EC6E-E854-43B9-976C-377872FFB916}" type="parTrans" cxnId="{92C82FAD-F9F3-4EA0-813B-401EBC263AD9}">
      <dgm:prSet/>
      <dgm:spPr/>
      <dgm:t>
        <a:bodyPr/>
        <a:lstStyle/>
        <a:p>
          <a:endParaRPr lang="lt-LT"/>
        </a:p>
      </dgm:t>
    </dgm:pt>
    <dgm:pt modelId="{0645E18C-3B94-4E53-BE43-A47BCA21AEAD}" type="sibTrans" cxnId="{92C82FAD-F9F3-4EA0-813B-401EBC263AD9}">
      <dgm:prSet/>
      <dgm:spPr/>
      <dgm:t>
        <a:bodyPr/>
        <a:lstStyle/>
        <a:p>
          <a:endParaRPr lang="lt-LT"/>
        </a:p>
      </dgm:t>
    </dgm:pt>
    <dgm:pt modelId="{8D4E1E3C-0967-46EE-A24B-5960B7660997}">
      <dgm:prSet phldrT="[Text]" custT="1"/>
      <dgm:spPr/>
      <dgm:t>
        <a:bodyPr vert="vert270"/>
        <a:lstStyle/>
        <a:p>
          <a:pPr algn="l"/>
          <a:r>
            <a:rPr lang="lt-LT" sz="1000"/>
            <a:t>kariniai JAV ir Didžiosios Britanijos veiksmai</a:t>
          </a:r>
        </a:p>
      </dgm:t>
    </dgm:pt>
    <dgm:pt modelId="{CF4E6A9E-DEA9-4C46-B488-0DD174C41C52}" type="parTrans" cxnId="{F92FC430-E342-46C1-A659-CFD4A77775E1}">
      <dgm:prSet/>
      <dgm:spPr/>
      <dgm:t>
        <a:bodyPr/>
        <a:lstStyle/>
        <a:p>
          <a:endParaRPr lang="lt-LT"/>
        </a:p>
      </dgm:t>
    </dgm:pt>
    <dgm:pt modelId="{40277725-25C5-4CCE-8B93-662D798C25CC}" type="sibTrans" cxnId="{F92FC430-E342-46C1-A659-CFD4A77775E1}">
      <dgm:prSet/>
      <dgm:spPr/>
      <dgm:t>
        <a:bodyPr/>
        <a:lstStyle/>
        <a:p>
          <a:endParaRPr lang="lt-LT"/>
        </a:p>
      </dgm:t>
    </dgm:pt>
    <dgm:pt modelId="{968FCB82-BF0E-44C0-9277-B2FC73EF4204}">
      <dgm:prSet phldrT="[Text]" custT="1"/>
      <dgm:spPr/>
      <dgm:t>
        <a:bodyPr vert="vert270"/>
        <a:lstStyle/>
        <a:p>
          <a:pPr algn="ctr"/>
          <a:endParaRPr lang="lt-LT" sz="1000"/>
        </a:p>
      </dgm:t>
    </dgm:pt>
    <dgm:pt modelId="{50E927FD-B950-48C9-9768-42C3667DCC3C}" type="parTrans" cxnId="{235E9E69-F4A8-496D-B140-5EDD20667276}">
      <dgm:prSet/>
      <dgm:spPr/>
      <dgm:t>
        <a:bodyPr/>
        <a:lstStyle/>
        <a:p>
          <a:endParaRPr lang="lt-LT"/>
        </a:p>
      </dgm:t>
    </dgm:pt>
    <dgm:pt modelId="{FC543BAE-F80A-4A7C-B16F-AA959D5F7279}" type="sibTrans" cxnId="{235E9E69-F4A8-496D-B140-5EDD20667276}">
      <dgm:prSet/>
      <dgm:spPr/>
      <dgm:t>
        <a:bodyPr/>
        <a:lstStyle/>
        <a:p>
          <a:endParaRPr lang="lt-LT"/>
        </a:p>
      </dgm:t>
    </dgm:pt>
    <dgm:pt modelId="{B2BB13FD-15FB-4796-887F-62A67888CD66}">
      <dgm:prSet phldrT="[Text]"/>
      <dgm:spPr/>
      <dgm:t>
        <a:bodyPr/>
        <a:lstStyle/>
        <a:p>
          <a:r>
            <a:rPr lang="lt-LT" b="1"/>
            <a:t>Tradicinis taikos įtvirtinimo būdas</a:t>
          </a:r>
        </a:p>
      </dgm:t>
    </dgm:pt>
    <dgm:pt modelId="{4CF0F36A-4CEA-4399-81D8-E37B3C1C23F4}" type="parTrans" cxnId="{58A462AB-F34F-478A-A242-96B7F432D277}">
      <dgm:prSet/>
      <dgm:spPr/>
      <dgm:t>
        <a:bodyPr/>
        <a:lstStyle/>
        <a:p>
          <a:endParaRPr lang="lt-LT"/>
        </a:p>
      </dgm:t>
    </dgm:pt>
    <dgm:pt modelId="{D4214A2B-E832-409B-936D-F86075C73489}" type="sibTrans" cxnId="{58A462AB-F34F-478A-A242-96B7F432D277}">
      <dgm:prSet/>
      <dgm:spPr/>
      <dgm:t>
        <a:bodyPr/>
        <a:lstStyle/>
        <a:p>
          <a:endParaRPr lang="lt-LT"/>
        </a:p>
      </dgm:t>
    </dgm:pt>
    <dgm:pt modelId="{A9D896FB-2D83-4862-95F6-999810075686}">
      <dgm:prSet phldrT="[Text]" custT="1"/>
      <dgm:spPr/>
      <dgm:t>
        <a:bodyPr vert="vert270"/>
        <a:lstStyle/>
        <a:p>
          <a:pPr algn="l"/>
          <a:r>
            <a:rPr lang="lt-LT" sz="1000"/>
            <a:t>civilinio karo pabaiga</a:t>
          </a:r>
        </a:p>
      </dgm:t>
    </dgm:pt>
    <dgm:pt modelId="{14C72F80-5032-47DC-A18C-0BB2C81C323A}" type="parTrans" cxnId="{8AD3408D-39C9-458C-9AFB-D425CFBB0D2C}">
      <dgm:prSet/>
      <dgm:spPr/>
      <dgm:t>
        <a:bodyPr/>
        <a:lstStyle/>
        <a:p>
          <a:endParaRPr lang="lt-LT"/>
        </a:p>
      </dgm:t>
    </dgm:pt>
    <dgm:pt modelId="{22F9E6C5-E762-42CC-8387-92C83976F6E8}" type="sibTrans" cxnId="{8AD3408D-39C9-458C-9AFB-D425CFBB0D2C}">
      <dgm:prSet/>
      <dgm:spPr/>
      <dgm:t>
        <a:bodyPr/>
        <a:lstStyle/>
        <a:p>
          <a:endParaRPr lang="lt-LT"/>
        </a:p>
      </dgm:t>
    </dgm:pt>
    <dgm:pt modelId="{156EA411-8392-42CD-A8AF-CA0C81F6C9A1}">
      <dgm:prSet phldrT="[Text]" custT="1"/>
      <dgm:spPr/>
      <dgm:t>
        <a:bodyPr vert="vert270"/>
        <a:lstStyle/>
        <a:p>
          <a:pPr algn="l"/>
          <a:r>
            <a:rPr lang="lt-LT" sz="1000"/>
            <a:t>šalies sutikimas</a:t>
          </a:r>
        </a:p>
      </dgm:t>
    </dgm:pt>
    <dgm:pt modelId="{3CA89C19-E183-4FAC-A6CD-277942BD35F9}" type="parTrans" cxnId="{2007A1AD-94EF-47B0-AA07-70C1FFD4EE54}">
      <dgm:prSet/>
      <dgm:spPr/>
      <dgm:t>
        <a:bodyPr/>
        <a:lstStyle/>
        <a:p>
          <a:endParaRPr lang="lt-LT"/>
        </a:p>
      </dgm:t>
    </dgm:pt>
    <dgm:pt modelId="{2F62BABE-C542-4A9E-840F-01B962BC5CF5}" type="sibTrans" cxnId="{2007A1AD-94EF-47B0-AA07-70C1FFD4EE54}">
      <dgm:prSet/>
      <dgm:spPr/>
      <dgm:t>
        <a:bodyPr/>
        <a:lstStyle/>
        <a:p>
          <a:endParaRPr lang="lt-LT"/>
        </a:p>
      </dgm:t>
    </dgm:pt>
    <dgm:pt modelId="{CBB6E1EB-3437-42EE-A70C-FFE4CAD013E8}">
      <dgm:prSet phldrT="[Text]" custT="1"/>
      <dgm:spPr/>
      <dgm:t>
        <a:bodyPr vert="vert270"/>
        <a:lstStyle/>
        <a:p>
          <a:pPr algn="l"/>
          <a:r>
            <a:rPr lang="lt-LT" sz="1000"/>
            <a:t>paliaubos</a:t>
          </a:r>
        </a:p>
      </dgm:t>
    </dgm:pt>
    <dgm:pt modelId="{BA3ED5FC-A973-4E62-A508-5976BFAF57FB}" type="parTrans" cxnId="{AAA87D64-5A73-4115-93F3-9EDDFB519F11}">
      <dgm:prSet/>
      <dgm:spPr/>
      <dgm:t>
        <a:bodyPr/>
        <a:lstStyle/>
        <a:p>
          <a:endParaRPr lang="lt-LT"/>
        </a:p>
      </dgm:t>
    </dgm:pt>
    <dgm:pt modelId="{C1F471C8-EC2B-48ED-9994-7A8DF6B8C038}" type="sibTrans" cxnId="{AAA87D64-5A73-4115-93F3-9EDDFB519F11}">
      <dgm:prSet/>
      <dgm:spPr/>
      <dgm:t>
        <a:bodyPr/>
        <a:lstStyle/>
        <a:p>
          <a:endParaRPr lang="lt-LT"/>
        </a:p>
      </dgm:t>
    </dgm:pt>
    <dgm:pt modelId="{092B630D-621C-433D-8504-3ED9BAE5AE3D}">
      <dgm:prSet phldrT="[Text]" custT="1"/>
      <dgm:spPr/>
      <dgm:t>
        <a:bodyPr vert="vert270"/>
        <a:lstStyle/>
        <a:p>
          <a:pPr algn="ctr"/>
          <a:endParaRPr lang="lt-LT" sz="1000"/>
        </a:p>
      </dgm:t>
    </dgm:pt>
    <dgm:pt modelId="{FA87A8F6-FB7C-41DF-B728-87A102F3D54F}" type="parTrans" cxnId="{90203870-994C-420B-AFC1-C7BF399034C5}">
      <dgm:prSet/>
      <dgm:spPr/>
      <dgm:t>
        <a:bodyPr/>
        <a:lstStyle/>
        <a:p>
          <a:endParaRPr lang="lt-LT"/>
        </a:p>
      </dgm:t>
    </dgm:pt>
    <dgm:pt modelId="{7ACFBCEC-CD8F-4693-B0CD-1EBB90E634C7}" type="sibTrans" cxnId="{90203870-994C-420B-AFC1-C7BF399034C5}">
      <dgm:prSet/>
      <dgm:spPr/>
      <dgm:t>
        <a:bodyPr/>
        <a:lstStyle/>
        <a:p>
          <a:endParaRPr lang="lt-LT"/>
        </a:p>
      </dgm:t>
    </dgm:pt>
    <dgm:pt modelId="{4CB93F66-35EB-4FB8-9BC0-27172A81F83D}">
      <dgm:prSet phldrT="[Text]" custT="1"/>
      <dgm:spPr/>
      <dgm:t>
        <a:bodyPr vert="vert270"/>
        <a:lstStyle/>
        <a:p>
          <a:pPr algn="l"/>
          <a:endParaRPr lang="lt-LT" sz="1000"/>
        </a:p>
      </dgm:t>
    </dgm:pt>
    <dgm:pt modelId="{736B0DBE-7407-4E34-944D-941A0C9C6A7B}" type="parTrans" cxnId="{610E1F8C-1A18-402C-A996-0F3445E4C533}">
      <dgm:prSet/>
      <dgm:spPr/>
      <dgm:t>
        <a:bodyPr/>
        <a:lstStyle/>
        <a:p>
          <a:endParaRPr lang="lt-LT"/>
        </a:p>
      </dgm:t>
    </dgm:pt>
    <dgm:pt modelId="{6C47384C-8D83-4A2F-9EFB-3DAB7F91FEC6}" type="sibTrans" cxnId="{610E1F8C-1A18-402C-A996-0F3445E4C533}">
      <dgm:prSet/>
      <dgm:spPr/>
      <dgm:t>
        <a:bodyPr/>
        <a:lstStyle/>
        <a:p>
          <a:endParaRPr lang="lt-LT"/>
        </a:p>
      </dgm:t>
    </dgm:pt>
    <dgm:pt modelId="{93972EBD-6014-4A51-B50A-A63B9CAE2494}" type="pres">
      <dgm:prSet presAssocID="{A24AB571-A8EA-49E1-B69E-952458ED746F}" presName="Name0" presStyleCnt="0">
        <dgm:presLayoutVars>
          <dgm:dir/>
          <dgm:animLvl val="lvl"/>
          <dgm:resizeHandles/>
        </dgm:presLayoutVars>
      </dgm:prSet>
      <dgm:spPr/>
      <dgm:t>
        <a:bodyPr/>
        <a:lstStyle/>
        <a:p>
          <a:endParaRPr lang="lt-LT"/>
        </a:p>
      </dgm:t>
    </dgm:pt>
    <dgm:pt modelId="{4FA917AF-C77F-49DF-AB63-BE3F4C77A987}" type="pres">
      <dgm:prSet presAssocID="{BDAC9E03-E567-4BE0-A294-4A0E5052137D}" presName="linNode" presStyleCnt="0"/>
      <dgm:spPr/>
    </dgm:pt>
    <dgm:pt modelId="{0F75DE8D-59DB-4E93-BACC-EDF71F7FAA4B}" type="pres">
      <dgm:prSet presAssocID="{BDAC9E03-E567-4BE0-A294-4A0E5052137D}" presName="parentShp" presStyleLbl="node1" presStyleIdx="0" presStyleCnt="2" custScaleX="110913" custScaleY="76836" custLinFactY="-32460" custLinFactNeighborX="67766" custLinFactNeighborY="-100000">
        <dgm:presLayoutVars>
          <dgm:bulletEnabled val="1"/>
        </dgm:presLayoutVars>
      </dgm:prSet>
      <dgm:spPr/>
      <dgm:t>
        <a:bodyPr/>
        <a:lstStyle/>
        <a:p>
          <a:endParaRPr lang="lt-LT"/>
        </a:p>
      </dgm:t>
    </dgm:pt>
    <dgm:pt modelId="{41A611B3-4B8B-4D02-9FC0-D15028F8502B}" type="pres">
      <dgm:prSet presAssocID="{BDAC9E03-E567-4BE0-A294-4A0E5052137D}" presName="childShp" presStyleLbl="bgAccFollowNode1" presStyleIdx="0" presStyleCnt="2" custAng="5400000" custScaleX="46213" custScaleY="320348" custLinFactY="3891" custLinFactNeighborX="10085" custLinFactNeighborY="100000">
        <dgm:presLayoutVars>
          <dgm:bulletEnabled val="1"/>
        </dgm:presLayoutVars>
      </dgm:prSet>
      <dgm:spPr/>
      <dgm:t>
        <a:bodyPr/>
        <a:lstStyle/>
        <a:p>
          <a:endParaRPr lang="lt-LT"/>
        </a:p>
      </dgm:t>
    </dgm:pt>
    <dgm:pt modelId="{B9B736E0-C09D-4BB3-AE6C-57E9BD961FD0}" type="pres">
      <dgm:prSet presAssocID="{0645E18C-3B94-4E53-BE43-A47BCA21AEAD}" presName="spacing" presStyleCnt="0"/>
      <dgm:spPr/>
    </dgm:pt>
    <dgm:pt modelId="{6E7C968C-8C9F-432A-8616-621AB7BF7DB5}" type="pres">
      <dgm:prSet presAssocID="{B2BB13FD-15FB-4796-887F-62A67888CD66}" presName="linNode" presStyleCnt="0"/>
      <dgm:spPr/>
    </dgm:pt>
    <dgm:pt modelId="{A0415A4E-C923-4A20-97A1-39FE9A5778FA}" type="pres">
      <dgm:prSet presAssocID="{B2BB13FD-15FB-4796-887F-62A67888CD66}" presName="parentShp" presStyleLbl="node1" presStyleIdx="1" presStyleCnt="2" custScaleX="109761" custScaleY="79172" custLinFactY="-200000" custLinFactNeighborX="-15748" custLinFactNeighborY="-249639">
        <dgm:presLayoutVars>
          <dgm:bulletEnabled val="1"/>
        </dgm:presLayoutVars>
      </dgm:prSet>
      <dgm:spPr/>
      <dgm:t>
        <a:bodyPr/>
        <a:lstStyle/>
        <a:p>
          <a:endParaRPr lang="lt-LT"/>
        </a:p>
      </dgm:t>
    </dgm:pt>
    <dgm:pt modelId="{6E002C33-5B93-49DD-A0E8-5F0F437D6075}" type="pres">
      <dgm:prSet presAssocID="{B2BB13FD-15FB-4796-887F-62A67888CD66}" presName="childShp" presStyleLbl="bgAccFollowNode1" presStyleIdx="1" presStyleCnt="2" custAng="5400000" custScaleX="45534" custScaleY="316750" custLinFactX="-7867" custLinFactY="-100000" custLinFactNeighborX="-100000" custLinFactNeighborY="-124789">
        <dgm:presLayoutVars>
          <dgm:bulletEnabled val="1"/>
        </dgm:presLayoutVars>
      </dgm:prSet>
      <dgm:spPr/>
      <dgm:t>
        <a:bodyPr/>
        <a:lstStyle/>
        <a:p>
          <a:endParaRPr lang="lt-LT"/>
        </a:p>
      </dgm:t>
    </dgm:pt>
  </dgm:ptLst>
  <dgm:cxnLst>
    <dgm:cxn modelId="{235E9E69-F4A8-496D-B140-5EDD20667276}" srcId="{BDAC9E03-E567-4BE0-A294-4A0E5052137D}" destId="{968FCB82-BF0E-44C0-9277-B2FC73EF4204}" srcOrd="2" destOrd="0" parTransId="{50E927FD-B950-48C9-9768-42C3667DCC3C}" sibTransId="{FC543BAE-F80A-4A7C-B16F-AA959D5F7279}"/>
    <dgm:cxn modelId="{8AD3408D-39C9-458C-9AFB-D425CFBB0D2C}" srcId="{B2BB13FD-15FB-4796-887F-62A67888CD66}" destId="{A9D896FB-2D83-4862-95F6-999810075686}" srcOrd="1" destOrd="0" parTransId="{14C72F80-5032-47DC-A18C-0BB2C81C323A}" sibTransId="{22F9E6C5-E762-42CC-8387-92C83976F6E8}"/>
    <dgm:cxn modelId="{455996B1-201D-4C46-A7DF-9586DC2E0295}" type="presOf" srcId="{4CB93F66-35EB-4FB8-9BC0-27172A81F83D}" destId="{6E002C33-5B93-49DD-A0E8-5F0F437D6075}" srcOrd="0" destOrd="0" presId="urn:microsoft.com/office/officeart/2005/8/layout/vList6"/>
    <dgm:cxn modelId="{8D9920C5-4386-4128-8BE2-49F811DE4BD8}" type="presOf" srcId="{8D4E1E3C-0967-46EE-A24B-5960B7660997}" destId="{41A611B3-4B8B-4D02-9FC0-D15028F8502B}" srcOrd="0" destOrd="1" presId="urn:microsoft.com/office/officeart/2005/8/layout/vList6"/>
    <dgm:cxn modelId="{7BFB5FD3-F8BB-4299-AD29-EB3903EABEBB}" type="presOf" srcId="{BDAC9E03-E567-4BE0-A294-4A0E5052137D}" destId="{0F75DE8D-59DB-4E93-BACC-EDF71F7FAA4B}" srcOrd="0" destOrd="0" presId="urn:microsoft.com/office/officeart/2005/8/layout/vList6"/>
    <dgm:cxn modelId="{FEB12898-4702-47E4-9019-80EC1EA8D1C0}" type="presOf" srcId="{156EA411-8392-42CD-A8AF-CA0C81F6C9A1}" destId="{6E002C33-5B93-49DD-A0E8-5F0F437D6075}" srcOrd="0" destOrd="3" presId="urn:microsoft.com/office/officeart/2005/8/layout/vList6"/>
    <dgm:cxn modelId="{92C82FAD-F9F3-4EA0-813B-401EBC263AD9}" srcId="{A24AB571-A8EA-49E1-B69E-952458ED746F}" destId="{BDAC9E03-E567-4BE0-A294-4A0E5052137D}" srcOrd="0" destOrd="0" parTransId="{0D86EC6E-E854-43B9-976C-377872FFB916}" sibTransId="{0645E18C-3B94-4E53-BE43-A47BCA21AEAD}"/>
    <dgm:cxn modelId="{F92FC430-E342-46C1-A659-CFD4A77775E1}" srcId="{BDAC9E03-E567-4BE0-A294-4A0E5052137D}" destId="{8D4E1E3C-0967-46EE-A24B-5960B7660997}" srcOrd="1" destOrd="0" parTransId="{CF4E6A9E-DEA9-4C46-B488-0DD174C41C52}" sibTransId="{40277725-25C5-4CCE-8B93-662D798C25CC}"/>
    <dgm:cxn modelId="{70EA3BF5-8051-4FC4-98D3-620959CDA944}" type="presOf" srcId="{A24AB571-A8EA-49E1-B69E-952458ED746F}" destId="{93972EBD-6014-4A51-B50A-A63B9CAE2494}" srcOrd="0" destOrd="0" presId="urn:microsoft.com/office/officeart/2005/8/layout/vList6"/>
    <dgm:cxn modelId="{610E1F8C-1A18-402C-A996-0F3445E4C533}" srcId="{B2BB13FD-15FB-4796-887F-62A67888CD66}" destId="{4CB93F66-35EB-4FB8-9BC0-27172A81F83D}" srcOrd="0" destOrd="0" parTransId="{736B0DBE-7407-4E34-944D-941A0C9C6A7B}" sibTransId="{6C47384C-8D83-4A2F-9EFB-3DAB7F91FEC6}"/>
    <dgm:cxn modelId="{BD16E560-086F-4B4A-8290-E7E3D2AB0A5C}" type="presOf" srcId="{968FCB82-BF0E-44C0-9277-B2FC73EF4204}" destId="{41A611B3-4B8B-4D02-9FC0-D15028F8502B}" srcOrd="0" destOrd="2" presId="urn:microsoft.com/office/officeart/2005/8/layout/vList6"/>
    <dgm:cxn modelId="{64F50F36-B502-4B1D-ACE6-EAD50B249781}" type="presOf" srcId="{A9D896FB-2D83-4862-95F6-999810075686}" destId="{6E002C33-5B93-49DD-A0E8-5F0F437D6075}" srcOrd="0" destOrd="1" presId="urn:microsoft.com/office/officeart/2005/8/layout/vList6"/>
    <dgm:cxn modelId="{1A35938E-B6C0-4D2F-8A4A-F9BF6DAA9F84}" type="presOf" srcId="{CBB6E1EB-3437-42EE-A70C-FFE4CAD013E8}" destId="{6E002C33-5B93-49DD-A0E8-5F0F437D6075}" srcOrd="0" destOrd="2" presId="urn:microsoft.com/office/officeart/2005/8/layout/vList6"/>
    <dgm:cxn modelId="{6AD6D976-E530-413B-AEBB-FFD4F61903E8}" type="presOf" srcId="{B2BB13FD-15FB-4796-887F-62A67888CD66}" destId="{A0415A4E-C923-4A20-97A1-39FE9A5778FA}" srcOrd="0" destOrd="0" presId="urn:microsoft.com/office/officeart/2005/8/layout/vList6"/>
    <dgm:cxn modelId="{36BCDE3F-66DE-415E-9987-21497CC02E13}" type="presOf" srcId="{092B630D-621C-433D-8504-3ED9BAE5AE3D}" destId="{41A611B3-4B8B-4D02-9FC0-D15028F8502B}" srcOrd="0" destOrd="0" presId="urn:microsoft.com/office/officeart/2005/8/layout/vList6"/>
    <dgm:cxn modelId="{58A462AB-F34F-478A-A242-96B7F432D277}" srcId="{A24AB571-A8EA-49E1-B69E-952458ED746F}" destId="{B2BB13FD-15FB-4796-887F-62A67888CD66}" srcOrd="1" destOrd="0" parTransId="{4CF0F36A-4CEA-4399-81D8-E37B3C1C23F4}" sibTransId="{D4214A2B-E832-409B-936D-F86075C73489}"/>
    <dgm:cxn modelId="{90203870-994C-420B-AFC1-C7BF399034C5}" srcId="{BDAC9E03-E567-4BE0-A294-4A0E5052137D}" destId="{092B630D-621C-433D-8504-3ED9BAE5AE3D}" srcOrd="0" destOrd="0" parTransId="{FA87A8F6-FB7C-41DF-B728-87A102F3D54F}" sibTransId="{7ACFBCEC-CD8F-4693-B0CD-1EBB90E634C7}"/>
    <dgm:cxn modelId="{2007A1AD-94EF-47B0-AA07-70C1FFD4EE54}" srcId="{B2BB13FD-15FB-4796-887F-62A67888CD66}" destId="{156EA411-8392-42CD-A8AF-CA0C81F6C9A1}" srcOrd="3" destOrd="0" parTransId="{3CA89C19-E183-4FAC-A6CD-277942BD35F9}" sibTransId="{2F62BABE-C542-4A9E-840F-01B962BC5CF5}"/>
    <dgm:cxn modelId="{AAA87D64-5A73-4115-93F3-9EDDFB519F11}" srcId="{B2BB13FD-15FB-4796-887F-62A67888CD66}" destId="{CBB6E1EB-3437-42EE-A70C-FFE4CAD013E8}" srcOrd="2" destOrd="0" parTransId="{BA3ED5FC-A973-4E62-A508-5976BFAF57FB}" sibTransId="{C1F471C8-EC2B-48ED-9994-7A8DF6B8C038}"/>
    <dgm:cxn modelId="{54D06D3E-507F-49B5-9E85-25ECF4C97939}" type="presParOf" srcId="{93972EBD-6014-4A51-B50A-A63B9CAE2494}" destId="{4FA917AF-C77F-49DF-AB63-BE3F4C77A987}" srcOrd="0" destOrd="0" presId="urn:microsoft.com/office/officeart/2005/8/layout/vList6"/>
    <dgm:cxn modelId="{B03910CB-19DE-4262-81CD-2C387ED9ED45}" type="presParOf" srcId="{4FA917AF-C77F-49DF-AB63-BE3F4C77A987}" destId="{0F75DE8D-59DB-4E93-BACC-EDF71F7FAA4B}" srcOrd="0" destOrd="0" presId="urn:microsoft.com/office/officeart/2005/8/layout/vList6"/>
    <dgm:cxn modelId="{6476EDFF-C9D1-4445-B85C-294894F59A53}" type="presParOf" srcId="{4FA917AF-C77F-49DF-AB63-BE3F4C77A987}" destId="{41A611B3-4B8B-4D02-9FC0-D15028F8502B}" srcOrd="1" destOrd="0" presId="urn:microsoft.com/office/officeart/2005/8/layout/vList6"/>
    <dgm:cxn modelId="{E8B9F17E-6CB5-4768-83A4-4C1850B02738}" type="presParOf" srcId="{93972EBD-6014-4A51-B50A-A63B9CAE2494}" destId="{B9B736E0-C09D-4BB3-AE6C-57E9BD961FD0}" srcOrd="1" destOrd="0" presId="urn:microsoft.com/office/officeart/2005/8/layout/vList6"/>
    <dgm:cxn modelId="{077FD94E-7215-4A2C-9D36-639B614C30CE}" type="presParOf" srcId="{93972EBD-6014-4A51-B50A-A63B9CAE2494}" destId="{6E7C968C-8C9F-432A-8616-621AB7BF7DB5}" srcOrd="2" destOrd="0" presId="urn:microsoft.com/office/officeart/2005/8/layout/vList6"/>
    <dgm:cxn modelId="{D7962599-2AEB-414F-ADE8-86394AEF60DB}" type="presParOf" srcId="{6E7C968C-8C9F-432A-8616-621AB7BF7DB5}" destId="{A0415A4E-C923-4A20-97A1-39FE9A5778FA}" srcOrd="0" destOrd="0" presId="urn:microsoft.com/office/officeart/2005/8/layout/vList6"/>
    <dgm:cxn modelId="{4EC83EB0-4389-41C2-91A7-1A86C336AF9F}" type="presParOf" srcId="{6E7C968C-8C9F-432A-8616-621AB7BF7DB5}" destId="{6E002C33-5B93-49DD-A0E8-5F0F437D6075}" srcOrd="1" destOrd="0" presId="urn:microsoft.com/office/officeart/2005/8/layout/vList6"/>
  </dgm:cxnLst>
  <dgm:bg>
    <a:effectLst>
      <a:outerShdw blurRad="50800" dist="50800" dir="5400000" algn="ctr" rotWithShape="0">
        <a:srgbClr val="000000">
          <a:alpha val="48000"/>
        </a:srgbClr>
      </a:outerShdw>
    </a:effectLst>
  </dgm:bg>
  <dgm:whole/>
  <dgm:extLst>
    <a:ext uri="http://schemas.microsoft.com/office/drawing/2008/diagram">
      <dsp:dataModelExt xmlns:dsp="http://schemas.microsoft.com/office/drawing/2008/diagram" xmlns="" relId="rId27"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44E71F6-1135-44A0-BAD9-4D17AF5BE7B2}">
      <dsp:nvSpPr>
        <dsp:cNvPr id="0" name=""/>
        <dsp:cNvSpPr/>
      </dsp:nvSpPr>
      <dsp:spPr>
        <a:xfrm rot="16200000">
          <a:off x="-226606" y="227106"/>
          <a:ext cx="1754802" cy="1300589"/>
        </a:xfrm>
        <a:prstGeom prst="flowChartManualOperati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0" tIns="0" rIns="90294" bIns="0" numCol="1" spcCol="1270" anchor="t" anchorCtr="0">
          <a:noAutofit/>
        </a:bodyPr>
        <a:lstStyle/>
        <a:p>
          <a:pPr lvl="0" algn="l" defTabSz="622300">
            <a:lnSpc>
              <a:spcPct val="90000"/>
            </a:lnSpc>
            <a:spcBef>
              <a:spcPct val="0"/>
            </a:spcBef>
            <a:spcAft>
              <a:spcPct val="35000"/>
            </a:spcAft>
          </a:pPr>
          <a:r>
            <a:rPr lang="lt-LT" sz="1400" kern="1200"/>
            <a:t>VI skyrius</a:t>
          </a:r>
          <a:endParaRPr lang="en-US" sz="1400" kern="1200"/>
        </a:p>
        <a:p>
          <a:pPr marL="57150" lvl="1" indent="-57150" algn="l" defTabSz="488950">
            <a:lnSpc>
              <a:spcPct val="90000"/>
            </a:lnSpc>
            <a:spcBef>
              <a:spcPct val="0"/>
            </a:spcBef>
            <a:spcAft>
              <a:spcPct val="15000"/>
            </a:spcAft>
            <a:buChar char="••"/>
          </a:pPr>
          <a:r>
            <a:rPr lang="lt-LT" sz="1100" kern="1200"/>
            <a:t> Prevencinė diplomatija</a:t>
          </a:r>
          <a:endParaRPr lang="en-US" sz="1100" kern="1200"/>
        </a:p>
      </dsp:txBody>
      <dsp:txXfrm rot="16200000">
        <a:off x="-226606" y="227106"/>
        <a:ext cx="1754802" cy="1300589"/>
      </dsp:txXfrm>
    </dsp:sp>
    <dsp:sp modelId="{52EAB5E7-8F0D-4980-AD7C-E2DFCC349B3A}">
      <dsp:nvSpPr>
        <dsp:cNvPr id="0" name=""/>
        <dsp:cNvSpPr/>
      </dsp:nvSpPr>
      <dsp:spPr>
        <a:xfrm rot="16200000">
          <a:off x="1171527" y="227106"/>
          <a:ext cx="1754802" cy="1300589"/>
        </a:xfrm>
        <a:prstGeom prst="flowChartManualOperati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0" tIns="0" rIns="90294" bIns="0" numCol="1" spcCol="1270" anchor="t" anchorCtr="0">
          <a:noAutofit/>
        </a:bodyPr>
        <a:lstStyle/>
        <a:p>
          <a:pPr lvl="0" algn="l" defTabSz="622300">
            <a:lnSpc>
              <a:spcPct val="90000"/>
            </a:lnSpc>
            <a:spcBef>
              <a:spcPct val="0"/>
            </a:spcBef>
            <a:spcAft>
              <a:spcPct val="35000"/>
            </a:spcAft>
          </a:pPr>
          <a:r>
            <a:rPr lang="lt-LT" sz="1400" kern="1200"/>
            <a:t>VI </a:t>
          </a:r>
          <a:r>
            <a:rPr lang="lt-LT" sz="1400" kern="1200">
              <a:latin typeface="Times New Roman"/>
              <a:cs typeface="Times New Roman"/>
            </a:rPr>
            <a:t>½</a:t>
          </a:r>
          <a:r>
            <a:rPr lang="en-US" sz="1400" kern="1200">
              <a:latin typeface="Times New Roman"/>
              <a:cs typeface="Times New Roman"/>
            </a:rPr>
            <a:t> </a:t>
          </a:r>
          <a:r>
            <a:rPr lang="lt-LT" sz="1400" kern="1200"/>
            <a:t>skyrius</a:t>
          </a:r>
        </a:p>
        <a:p>
          <a:pPr marL="57150" lvl="1" indent="-57150" algn="l" defTabSz="488950">
            <a:lnSpc>
              <a:spcPct val="90000"/>
            </a:lnSpc>
            <a:spcBef>
              <a:spcPct val="0"/>
            </a:spcBef>
            <a:spcAft>
              <a:spcPct val="15000"/>
            </a:spcAft>
            <a:buChar char="••"/>
          </a:pPr>
          <a:r>
            <a:rPr lang="lt-LT" sz="1100" kern="1200"/>
            <a:t> Tradicinė taikos misija</a:t>
          </a:r>
          <a:endParaRPr lang="en-US" sz="1100" kern="1200"/>
        </a:p>
      </dsp:txBody>
      <dsp:txXfrm rot="16200000">
        <a:off x="1171527" y="227106"/>
        <a:ext cx="1754802" cy="1300589"/>
      </dsp:txXfrm>
    </dsp:sp>
    <dsp:sp modelId="{72E8816A-5462-4C2F-A3BF-5680C75492FC}">
      <dsp:nvSpPr>
        <dsp:cNvPr id="0" name=""/>
        <dsp:cNvSpPr/>
      </dsp:nvSpPr>
      <dsp:spPr>
        <a:xfrm rot="16200000">
          <a:off x="2569661" y="227106"/>
          <a:ext cx="1754802" cy="1300589"/>
        </a:xfrm>
        <a:prstGeom prst="flowChartManualOperati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0" tIns="0" rIns="90294" bIns="0" numCol="1" spcCol="1270" anchor="t" anchorCtr="0">
          <a:noAutofit/>
        </a:bodyPr>
        <a:lstStyle/>
        <a:p>
          <a:pPr lvl="0" algn="l" defTabSz="622300">
            <a:lnSpc>
              <a:spcPct val="90000"/>
            </a:lnSpc>
            <a:spcBef>
              <a:spcPct val="0"/>
            </a:spcBef>
            <a:spcAft>
              <a:spcPct val="35000"/>
            </a:spcAft>
          </a:pPr>
          <a:r>
            <a:rPr lang="lt-LT" sz="1400" kern="1200"/>
            <a:t>VII skyrius</a:t>
          </a:r>
          <a:endParaRPr lang="en-US" sz="1400" kern="1200"/>
        </a:p>
        <a:p>
          <a:pPr marL="57150" lvl="1" indent="-57150" algn="l" defTabSz="488950">
            <a:lnSpc>
              <a:spcPct val="90000"/>
            </a:lnSpc>
            <a:spcBef>
              <a:spcPct val="0"/>
            </a:spcBef>
            <a:spcAft>
              <a:spcPct val="15000"/>
            </a:spcAft>
            <a:buChar char="••"/>
          </a:pPr>
          <a:r>
            <a:rPr lang="lt-LT" sz="1100" kern="1200"/>
            <a:t> Platesnio masto taikos misija</a:t>
          </a:r>
          <a:endParaRPr lang="en-US" sz="1100" kern="1200"/>
        </a:p>
        <a:p>
          <a:pPr marL="57150" lvl="1" indent="-57150" algn="l" defTabSz="488950">
            <a:lnSpc>
              <a:spcPct val="90000"/>
            </a:lnSpc>
            <a:spcBef>
              <a:spcPct val="0"/>
            </a:spcBef>
            <a:spcAft>
              <a:spcPct val="15000"/>
            </a:spcAft>
            <a:buChar char="••"/>
          </a:pPr>
          <a:r>
            <a:rPr lang="lt-LT" sz="1100" kern="1200"/>
            <a:t> Priverstinis taikos vykdymas</a:t>
          </a:r>
          <a:endParaRPr lang="en-US" sz="1100" kern="1200"/>
        </a:p>
      </dsp:txBody>
      <dsp:txXfrm rot="16200000">
        <a:off x="2569661" y="227106"/>
        <a:ext cx="1754802" cy="1300589"/>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3150B65-8479-4C90-B012-485D512B397C}">
      <dsp:nvSpPr>
        <dsp:cNvPr id="0" name=""/>
        <dsp:cNvSpPr/>
      </dsp:nvSpPr>
      <dsp:spPr>
        <a:xfrm>
          <a:off x="16" y="37964"/>
          <a:ext cx="1469846" cy="826581"/>
        </a:xfrm>
        <a:prstGeom prst="roundRect">
          <a:avLst>
            <a:gd name="adj" fmla="val 10000"/>
          </a:avLst>
        </a:prstGeom>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w="9525" cap="flat" cmpd="sng" algn="ctr">
          <a:solidFill>
            <a:schemeClr val="accent3">
              <a:shade val="95000"/>
              <a:satMod val="105000"/>
            </a:schemeClr>
          </a:solidFill>
          <a:prstDash val="solid"/>
        </a:ln>
        <a:effectLst>
          <a:outerShdw blurRad="40000" dist="23000" dir="5400000" rotWithShape="0">
            <a:srgbClr val="000000">
              <a:alpha val="35000"/>
            </a:srgbClr>
          </a:outerShdw>
        </a:effectLst>
      </dsp:spPr>
      <dsp:style>
        <a:lnRef idx="1">
          <a:schemeClr val="accent3"/>
        </a:lnRef>
        <a:fillRef idx="3">
          <a:schemeClr val="accent3"/>
        </a:fillRef>
        <a:effectRef idx="2">
          <a:schemeClr val="accent3"/>
        </a:effectRef>
        <a:fontRef idx="minor">
          <a:schemeClr val="lt1"/>
        </a:fontRef>
      </dsp:style>
      <dsp:txBody>
        <a:bodyPr spcFirstLastPara="0" vert="horz" wrap="square" lIns="99568" tIns="99568" rIns="99568" bIns="53340" numCol="1" spcCol="1270" anchor="t" anchorCtr="0">
          <a:noAutofit/>
        </a:bodyPr>
        <a:lstStyle/>
        <a:p>
          <a:pPr lvl="0" algn="ctr" defTabSz="622300">
            <a:lnSpc>
              <a:spcPct val="90000"/>
            </a:lnSpc>
            <a:spcBef>
              <a:spcPct val="0"/>
            </a:spcBef>
            <a:spcAft>
              <a:spcPct val="35000"/>
            </a:spcAft>
          </a:pPr>
          <a:r>
            <a:rPr lang="en-US" sz="1400" b="1" kern="1200"/>
            <a:t>Tradicin</a:t>
          </a:r>
          <a:r>
            <a:rPr lang="lt-LT" sz="1400" b="1" kern="1200"/>
            <a:t>ė taikos misija</a:t>
          </a:r>
          <a:endParaRPr lang="en-US" sz="1400" b="1" kern="1200"/>
        </a:p>
      </dsp:txBody>
      <dsp:txXfrm>
        <a:off x="16" y="37964"/>
        <a:ext cx="1469846" cy="551054"/>
      </dsp:txXfrm>
    </dsp:sp>
    <dsp:sp modelId="{3F529D8D-15FA-4432-A418-1E832443920E}">
      <dsp:nvSpPr>
        <dsp:cNvPr id="0" name=""/>
        <dsp:cNvSpPr/>
      </dsp:nvSpPr>
      <dsp:spPr>
        <a:xfrm>
          <a:off x="254546" y="594018"/>
          <a:ext cx="1512581" cy="1267200"/>
        </a:xfrm>
        <a:prstGeom prst="roundRect">
          <a:avLst>
            <a:gd name="adj" fmla="val 10000"/>
          </a:avLst>
        </a:prstGeom>
        <a:solidFill>
          <a:schemeClr val="lt1"/>
        </a:solidFill>
        <a:ln w="25400" cap="flat" cmpd="sng" algn="ctr">
          <a:solidFill>
            <a:schemeClr val="accent3"/>
          </a:solidFill>
          <a:prstDash val="solid"/>
        </a:ln>
        <a:effectLst/>
      </dsp:spPr>
      <dsp:style>
        <a:lnRef idx="2">
          <a:schemeClr val="accent3"/>
        </a:lnRef>
        <a:fillRef idx="1">
          <a:schemeClr val="lt1"/>
        </a:fillRef>
        <a:effectRef idx="0">
          <a:schemeClr val="accent3"/>
        </a:effectRef>
        <a:fontRef idx="minor">
          <a:schemeClr val="dk1"/>
        </a:fontRef>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lt-LT" sz="1100" kern="1200"/>
            <a:t>Neutralumas</a:t>
          </a:r>
          <a:endParaRPr lang="en-US" sz="1100" kern="1200"/>
        </a:p>
        <a:p>
          <a:pPr marL="57150" lvl="1" indent="-57150" algn="l" defTabSz="488950">
            <a:lnSpc>
              <a:spcPct val="90000"/>
            </a:lnSpc>
            <a:spcBef>
              <a:spcPct val="0"/>
            </a:spcBef>
            <a:spcAft>
              <a:spcPct val="15000"/>
            </a:spcAft>
            <a:buChar char="••"/>
          </a:pPr>
          <a:r>
            <a:rPr lang="lt-LT" sz="1100" kern="1200"/>
            <a:t>Jėgos panaudojimas tik savigynos atveju</a:t>
          </a:r>
          <a:endParaRPr lang="en-US" sz="1100" kern="1200"/>
        </a:p>
        <a:p>
          <a:pPr marL="57150" lvl="1" indent="-57150" algn="l" defTabSz="488950">
            <a:lnSpc>
              <a:spcPct val="90000"/>
            </a:lnSpc>
            <a:spcBef>
              <a:spcPct val="0"/>
            </a:spcBef>
            <a:spcAft>
              <a:spcPct val="15000"/>
            </a:spcAft>
            <a:buChar char="••"/>
          </a:pPr>
          <a:r>
            <a:rPr lang="lt-LT" sz="1100" kern="1200"/>
            <a:t>Būtinas šalies sutikimas</a:t>
          </a:r>
          <a:endParaRPr lang="en-US" sz="1100" kern="1200"/>
        </a:p>
      </dsp:txBody>
      <dsp:txXfrm>
        <a:off x="254546" y="594018"/>
        <a:ext cx="1512581" cy="1267200"/>
      </dsp:txXfrm>
    </dsp:sp>
    <dsp:sp modelId="{47278E3E-F860-48CA-ABE8-7E38810CE84B}">
      <dsp:nvSpPr>
        <dsp:cNvPr id="0" name=""/>
        <dsp:cNvSpPr/>
      </dsp:nvSpPr>
      <dsp:spPr>
        <a:xfrm rot="2916">
          <a:off x="2187894" y="720129"/>
          <a:ext cx="1463252" cy="804814"/>
        </a:xfrm>
        <a:prstGeom prst="rightArrow">
          <a:avLst>
            <a:gd name="adj1" fmla="val 60000"/>
            <a:gd name="adj2" fmla="val 50000"/>
          </a:avLst>
        </a:prstGeom>
        <a:solidFill>
          <a:schemeClr val="lt1"/>
        </a:solidFill>
        <a:ln w="25400" cap="flat" cmpd="sng" algn="ctr">
          <a:solidFill>
            <a:schemeClr val="accent2"/>
          </a:solidFill>
          <a:prstDash val="solid"/>
        </a:ln>
        <a:effectLst/>
      </dsp:spPr>
      <dsp:style>
        <a:lnRef idx="2">
          <a:schemeClr val="accent2"/>
        </a:lnRef>
        <a:fillRef idx="1">
          <a:schemeClr val="lt1"/>
        </a:fillRef>
        <a:effectRef idx="0">
          <a:schemeClr val="accent2"/>
        </a:effectRef>
        <a:fontRef idx="minor">
          <a:schemeClr val="dk1"/>
        </a:fontRef>
      </dsp:style>
      <dsp:txBody>
        <a:bodyPr spcFirstLastPara="0" vert="horz" wrap="square" lIns="0" tIns="0" rIns="0" bIns="201168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rPr>
            <a:t>Vietinė valdžia nebegalėjo užtikrinti tvarkos valstybėje. Misijos dalyviai buvo priversti perimti šias funkcijas, taip išeidami už taikos misijos ribų</a:t>
          </a:r>
          <a:endParaRPr lang="en-US" sz="1000" kern="1200">
            <a:solidFill>
              <a:sysClr val="windowText" lastClr="000000"/>
            </a:solidFill>
          </a:endParaRPr>
        </a:p>
      </dsp:txBody>
      <dsp:txXfrm rot="2916">
        <a:off x="2187894" y="720129"/>
        <a:ext cx="1463252" cy="804814"/>
      </dsp:txXfrm>
    </dsp:sp>
    <dsp:sp modelId="{F3E15987-E619-4F59-BCCB-D9F09A4F27A5}">
      <dsp:nvSpPr>
        <dsp:cNvPr id="0" name=""/>
        <dsp:cNvSpPr/>
      </dsp:nvSpPr>
      <dsp:spPr>
        <a:xfrm>
          <a:off x="3866665" y="0"/>
          <a:ext cx="1536146" cy="950400"/>
        </a:xfrm>
        <a:prstGeom prst="roundRect">
          <a:avLst>
            <a:gd name="adj" fmla="val 10000"/>
          </a:avLst>
        </a:prstGeom>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5" cap="flat" cmpd="sng" algn="ctr">
          <a:solidFill>
            <a:schemeClr val="accent2">
              <a:shade val="95000"/>
              <a:satMod val="105000"/>
            </a:schemeClr>
          </a:solidFill>
          <a:prstDash val="solid"/>
        </a:ln>
        <a:effectLst>
          <a:outerShdw blurRad="40000" dist="23000" dir="5400000" rotWithShape="0">
            <a:srgbClr val="000000">
              <a:alpha val="35000"/>
            </a:srgbClr>
          </a:outerShdw>
        </a:effectLst>
      </dsp:spPr>
      <dsp:style>
        <a:lnRef idx="1">
          <a:schemeClr val="accent2"/>
        </a:lnRef>
        <a:fillRef idx="3">
          <a:schemeClr val="accent2"/>
        </a:fillRef>
        <a:effectRef idx="2">
          <a:schemeClr val="accent2"/>
        </a:effectRef>
        <a:fontRef idx="minor">
          <a:schemeClr val="lt1"/>
        </a:fontRef>
      </dsp:style>
      <dsp:txBody>
        <a:bodyPr spcFirstLastPara="0" vert="horz" wrap="square" lIns="99568" tIns="99568" rIns="99568" bIns="53340" numCol="1" spcCol="1270" anchor="t" anchorCtr="0">
          <a:noAutofit/>
        </a:bodyPr>
        <a:lstStyle/>
        <a:p>
          <a:pPr lvl="0" algn="ctr" defTabSz="622300">
            <a:lnSpc>
              <a:spcPct val="90000"/>
            </a:lnSpc>
            <a:spcBef>
              <a:spcPct val="0"/>
            </a:spcBef>
            <a:spcAft>
              <a:spcPct val="35000"/>
            </a:spcAft>
          </a:pPr>
          <a:r>
            <a:rPr lang="lt-LT" sz="1400" b="1" kern="1200"/>
            <a:t>Priverstinis taikos vykdymas, </a:t>
          </a:r>
          <a:r>
            <a:rPr lang="en-US" sz="1400" b="1" kern="1200"/>
            <a:t>42 str.</a:t>
          </a:r>
        </a:p>
      </dsp:txBody>
      <dsp:txXfrm>
        <a:off x="3866665" y="0"/>
        <a:ext cx="1536146" cy="633600"/>
      </dsp:txXfrm>
    </dsp:sp>
    <dsp:sp modelId="{717B7BC9-3500-49FC-9C4A-A4928EF2FEE6}">
      <dsp:nvSpPr>
        <dsp:cNvPr id="0" name=""/>
        <dsp:cNvSpPr/>
      </dsp:nvSpPr>
      <dsp:spPr>
        <a:xfrm>
          <a:off x="4061182" y="649860"/>
          <a:ext cx="1643112" cy="1267200"/>
        </a:xfrm>
        <a:prstGeom prst="roundRect">
          <a:avLst>
            <a:gd name="adj" fmla="val 10000"/>
          </a:avLst>
        </a:prstGeom>
        <a:solidFill>
          <a:schemeClr val="lt1"/>
        </a:solidFill>
        <a:ln w="25400" cap="flat" cmpd="sng" algn="ctr">
          <a:solidFill>
            <a:schemeClr val="accent2"/>
          </a:solidFill>
          <a:prstDash val="solid"/>
        </a:ln>
        <a:effectLst/>
      </dsp:spPr>
      <dsp:style>
        <a:lnRef idx="2">
          <a:schemeClr val="accent2"/>
        </a:lnRef>
        <a:fillRef idx="1">
          <a:schemeClr val="lt1"/>
        </a:fillRef>
        <a:effectRef idx="0">
          <a:schemeClr val="accent2"/>
        </a:effectRef>
        <a:fontRef idx="minor">
          <a:schemeClr val="dk1"/>
        </a:fontRef>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lt-LT" sz="1100" kern="1200"/>
            <a:t>JTO tikslų vykdymas</a:t>
          </a:r>
          <a:endParaRPr lang="en-US" sz="1100" kern="1200"/>
        </a:p>
        <a:p>
          <a:pPr marL="57150" lvl="1" indent="-57150" algn="l" defTabSz="488950">
            <a:lnSpc>
              <a:spcPct val="90000"/>
            </a:lnSpc>
            <a:spcBef>
              <a:spcPct val="0"/>
            </a:spcBef>
            <a:spcAft>
              <a:spcPct val="15000"/>
            </a:spcAft>
            <a:buChar char="••"/>
          </a:pPr>
          <a:r>
            <a:rPr lang="lt-LT" sz="1100" kern="1200"/>
            <a:t>Jėgos panaudojimas taikos atstatymui </a:t>
          </a:r>
          <a:endParaRPr lang="en-US" sz="1100" kern="1200"/>
        </a:p>
        <a:p>
          <a:pPr marL="57150" lvl="1" indent="-57150" algn="l" defTabSz="488950">
            <a:lnSpc>
              <a:spcPct val="90000"/>
            </a:lnSpc>
            <a:spcBef>
              <a:spcPct val="0"/>
            </a:spcBef>
            <a:spcAft>
              <a:spcPct val="15000"/>
            </a:spcAft>
            <a:buChar char="••"/>
          </a:pPr>
          <a:r>
            <a:rPr lang="lt-LT" sz="1100" kern="1200"/>
            <a:t> Būtinas Saugumo tarybos įgaliojimas</a:t>
          </a:r>
          <a:endParaRPr lang="en-US" sz="1100" kern="1200"/>
        </a:p>
      </dsp:txBody>
      <dsp:txXfrm>
        <a:off x="4061182" y="649860"/>
        <a:ext cx="1643112" cy="1267200"/>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41A611B3-4B8B-4D02-9FC0-D15028F8502B}">
      <dsp:nvSpPr>
        <dsp:cNvPr id="0" name=""/>
        <dsp:cNvSpPr/>
      </dsp:nvSpPr>
      <dsp:spPr>
        <a:xfrm rot="5400000">
          <a:off x="3280912" y="405856"/>
          <a:ext cx="1457855" cy="1245444"/>
        </a:xfrm>
        <a:prstGeom prst="rightArrow">
          <a:avLst>
            <a:gd name="adj1" fmla="val 75000"/>
            <a:gd name="adj2" fmla="val 5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vert270" wrap="square" lIns="6350" tIns="6350" rIns="6350" bIns="6350" numCol="1" spcCol="1270" anchor="t" anchorCtr="0">
          <a:noAutofit/>
        </a:bodyPr>
        <a:lstStyle/>
        <a:p>
          <a:pPr marL="57150" lvl="1" indent="-57150" algn="ctr" defTabSz="444500">
            <a:lnSpc>
              <a:spcPct val="90000"/>
            </a:lnSpc>
            <a:spcBef>
              <a:spcPct val="0"/>
            </a:spcBef>
            <a:spcAft>
              <a:spcPct val="15000"/>
            </a:spcAft>
            <a:buChar char="••"/>
          </a:pPr>
          <a:endParaRPr lang="lt-LT" sz="1000" kern="1200"/>
        </a:p>
        <a:p>
          <a:pPr marL="57150" lvl="1" indent="-57150" algn="l" defTabSz="444500">
            <a:lnSpc>
              <a:spcPct val="90000"/>
            </a:lnSpc>
            <a:spcBef>
              <a:spcPct val="0"/>
            </a:spcBef>
            <a:spcAft>
              <a:spcPct val="15000"/>
            </a:spcAft>
            <a:buChar char="••"/>
          </a:pPr>
          <a:r>
            <a:rPr lang="lt-LT" sz="1000" kern="1200"/>
            <a:t>kariniai JAV ir Didžiosios Britanijos veiksmai</a:t>
          </a:r>
        </a:p>
        <a:p>
          <a:pPr marL="57150" lvl="1" indent="-57150" algn="ctr" defTabSz="444500">
            <a:lnSpc>
              <a:spcPct val="90000"/>
            </a:lnSpc>
            <a:spcBef>
              <a:spcPct val="0"/>
            </a:spcBef>
            <a:spcAft>
              <a:spcPct val="15000"/>
            </a:spcAft>
            <a:buChar char="••"/>
          </a:pPr>
          <a:endParaRPr lang="lt-LT" sz="1000" kern="1200"/>
        </a:p>
      </dsp:txBody>
      <dsp:txXfrm rot="5400000">
        <a:off x="3280912" y="405856"/>
        <a:ext cx="1457855" cy="1245444"/>
      </dsp:txXfrm>
    </dsp:sp>
    <dsp:sp modelId="{0F75DE8D-59DB-4E93-BACC-EDF71F7FAA4B}">
      <dsp:nvSpPr>
        <dsp:cNvPr id="0" name=""/>
        <dsp:cNvSpPr/>
      </dsp:nvSpPr>
      <dsp:spPr>
        <a:xfrm>
          <a:off x="2873984" y="0"/>
          <a:ext cx="2332607" cy="298722"/>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lt-LT" sz="1200" b="1" kern="1200"/>
            <a:t>Afganistanas</a:t>
          </a:r>
        </a:p>
      </dsp:txBody>
      <dsp:txXfrm>
        <a:off x="2873984" y="0"/>
        <a:ext cx="2332607" cy="298722"/>
      </dsp:txXfrm>
    </dsp:sp>
    <dsp:sp modelId="{6E002C33-5B93-49DD-A0E8-5F0F437D6075}">
      <dsp:nvSpPr>
        <dsp:cNvPr id="0" name=""/>
        <dsp:cNvSpPr/>
      </dsp:nvSpPr>
      <dsp:spPr>
        <a:xfrm rot="5400000">
          <a:off x="716139" y="412341"/>
          <a:ext cx="1436435" cy="1231456"/>
        </a:xfrm>
        <a:prstGeom prst="rightArrow">
          <a:avLst>
            <a:gd name="adj1" fmla="val 75000"/>
            <a:gd name="adj2" fmla="val 5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vert270"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endParaRPr lang="lt-LT" sz="1000" kern="1200"/>
        </a:p>
        <a:p>
          <a:pPr marL="57150" lvl="1" indent="-57150" algn="l" defTabSz="444500">
            <a:lnSpc>
              <a:spcPct val="90000"/>
            </a:lnSpc>
            <a:spcBef>
              <a:spcPct val="0"/>
            </a:spcBef>
            <a:spcAft>
              <a:spcPct val="15000"/>
            </a:spcAft>
            <a:buChar char="••"/>
          </a:pPr>
          <a:r>
            <a:rPr lang="lt-LT" sz="1000" kern="1200"/>
            <a:t>civilinio karo pabaiga</a:t>
          </a:r>
        </a:p>
        <a:p>
          <a:pPr marL="57150" lvl="1" indent="-57150" algn="l" defTabSz="444500">
            <a:lnSpc>
              <a:spcPct val="90000"/>
            </a:lnSpc>
            <a:spcBef>
              <a:spcPct val="0"/>
            </a:spcBef>
            <a:spcAft>
              <a:spcPct val="15000"/>
            </a:spcAft>
            <a:buChar char="••"/>
          </a:pPr>
          <a:r>
            <a:rPr lang="lt-LT" sz="1000" kern="1200"/>
            <a:t>paliaubos</a:t>
          </a:r>
        </a:p>
        <a:p>
          <a:pPr marL="57150" lvl="1" indent="-57150" algn="l" defTabSz="444500">
            <a:lnSpc>
              <a:spcPct val="90000"/>
            </a:lnSpc>
            <a:spcBef>
              <a:spcPct val="0"/>
            </a:spcBef>
            <a:spcAft>
              <a:spcPct val="15000"/>
            </a:spcAft>
            <a:buChar char="••"/>
          </a:pPr>
          <a:r>
            <a:rPr lang="lt-LT" sz="1000" kern="1200"/>
            <a:t>šalies sutikimas</a:t>
          </a:r>
        </a:p>
      </dsp:txBody>
      <dsp:txXfrm rot="5400000">
        <a:off x="716139" y="412341"/>
        <a:ext cx="1436435" cy="1231456"/>
      </dsp:txXfrm>
    </dsp:sp>
    <dsp:sp modelId="{A0415A4E-C923-4A20-97A1-39FE9A5778FA}">
      <dsp:nvSpPr>
        <dsp:cNvPr id="0" name=""/>
        <dsp:cNvSpPr/>
      </dsp:nvSpPr>
      <dsp:spPr>
        <a:xfrm>
          <a:off x="262239" y="0"/>
          <a:ext cx="2308379" cy="307803"/>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lt-LT" sz="1200" b="1" kern="1200"/>
            <a:t>Tradicinis taikos įtvirtinimo būdas</a:t>
          </a:r>
        </a:p>
      </dsp:txBody>
      <dsp:txXfrm>
        <a:off x="262239" y="0"/>
        <a:ext cx="2308379" cy="307803"/>
      </dsp:txXfrm>
    </dsp:sp>
  </dsp:spTree>
</dsp:drawing>
</file>

<file path=word/diagrams/layout1.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449BA7-014A-4D49-87D2-33E2758E6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69</Pages>
  <Words>90242</Words>
  <Characters>51439</Characters>
  <Application>Microsoft Office Word</Application>
  <DocSecurity>0</DocSecurity>
  <Lines>428</Lines>
  <Paragraphs>282</Paragraphs>
  <ScaleCrop>false</ScaleCrop>
  <HeadingPairs>
    <vt:vector size="2" baseType="variant">
      <vt:variant>
        <vt:lpstr>Title</vt:lpstr>
      </vt:variant>
      <vt:variant>
        <vt:i4>1</vt:i4>
      </vt:variant>
    </vt:vector>
  </HeadingPairs>
  <TitlesOfParts>
    <vt:vector size="1" baseType="lpstr">
      <vt:lpstr>JTO taikos misijų teisinis reglamentavimas</vt:lpstr>
    </vt:vector>
  </TitlesOfParts>
  <Company>MYKOLO ROMERIO UNIVERSITETOTEISĖS FAKULTETO</Company>
  <LinksUpToDate>false</LinksUpToDate>
  <CharactersWithSpaces>141399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JTO taikos misijų teisinis reglamentavimas</dc:title>
  <dc:subject>Magistro baigiamasis darbas</dc:subject>
  <dc:creator>LINA MIKŠYTĖ</dc:creator>
  <cp:lastModifiedBy>Linuce</cp:lastModifiedBy>
  <cp:revision>297</cp:revision>
  <dcterms:created xsi:type="dcterms:W3CDTF">2010-12-28T19:10:00Z</dcterms:created>
  <dcterms:modified xsi:type="dcterms:W3CDTF">2011-01-09T18:29:00Z</dcterms:modified>
  <cp:category>Magistro baigiamasis darbas</cp:category>
</cp:coreProperties>
</file>